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STROBE statement</w:t>
      </w:r>
    </w:p>
    <w:p>
      <w:r>
        <w:t>Ecological repeated-observation subcounty screening analysis, Kenya, 2015-2025; climatological trend context, 1991-2025.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</w:t>
            </w:r>
          </w:p>
        </w:tc>
        <w:tc>
          <w:tcPr>
            <w:tcW w:type="dxa" w:w="2340"/>
          </w:tcPr>
          <w:p>
            <w:r>
              <w:t>STROBE recommendation</w:t>
            </w:r>
          </w:p>
        </w:tc>
        <w:tc>
          <w:tcPr>
            <w:tcW w:type="dxa" w:w="2340"/>
          </w:tcPr>
          <w:p>
            <w:r>
              <w:t>Manuscript location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Title and abstract</w:t>
            </w:r>
          </w:p>
        </w:tc>
        <w:tc>
          <w:tcPr>
            <w:tcW w:type="dxa" w:w="2340"/>
          </w:tcPr>
          <w:p>
            <w:r>
              <w:t>Title; Abstract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Background/rationale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Objectives</w:t>
            </w:r>
          </w:p>
        </w:tc>
        <w:tc>
          <w:tcPr>
            <w:tcW w:type="dxa" w:w="2340"/>
          </w:tcPr>
          <w:p>
            <w:r>
              <w:t>Introduction; study questions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Study design</w:t>
            </w:r>
          </w:p>
        </w:tc>
        <w:tc>
          <w:tcPr>
            <w:tcW w:type="dxa" w:w="2340"/>
          </w:tcPr>
          <w:p>
            <w:r>
              <w:t>Materials and methods: Study design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Setting</w:t>
            </w:r>
          </w:p>
        </w:tc>
        <w:tc>
          <w:tcPr>
            <w:tcW w:type="dxa" w:w="2340"/>
          </w:tcPr>
          <w:p>
            <w:r>
              <w:t>Materials and methods: Study setting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Participants</w:t>
            </w:r>
          </w:p>
        </w:tc>
        <w:tc>
          <w:tcPr>
            <w:tcW w:type="dxa" w:w="2340"/>
          </w:tcPr>
          <w:p>
            <w:r>
              <w:t>Not applicable: ecological subcounty units</w:t>
            </w:r>
          </w:p>
        </w:tc>
        <w:tc>
          <w:tcPr>
            <w:tcW w:type="dxa" w:w="2340"/>
          </w:tcPr>
          <w:p>
            <w:r>
              <w:t>Adapted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Variables</w:t>
            </w:r>
          </w:p>
        </w:tc>
        <w:tc>
          <w:tcPr>
            <w:tcW w:type="dxa" w:w="2340"/>
          </w:tcPr>
          <w:p>
            <w:r>
              <w:t>Heat metrics; population denominators; socioeconomic position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Data sources/measurement</w:t>
            </w:r>
          </w:p>
        </w:tc>
        <w:tc>
          <w:tcPr>
            <w:tcW w:type="dxa" w:w="2340"/>
          </w:tcPr>
          <w:p>
            <w:r>
              <w:t>Data sources; exposure and denominator methods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Bias</w:t>
            </w:r>
          </w:p>
        </w:tc>
        <w:tc>
          <w:tcPr>
            <w:tcW w:type="dxa" w:w="2340"/>
          </w:tcPr>
          <w:p>
            <w:r>
              <w:t>Limitations; sensitivity analyses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Study size</w:t>
            </w:r>
          </w:p>
        </w:tc>
        <w:tc>
          <w:tcPr>
            <w:tcW w:type="dxa" w:w="2340"/>
          </w:tcPr>
          <w:p>
            <w:r>
              <w:t>All 290 Kenyan subcounties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Quantitative variables</w:t>
            </w:r>
          </w:p>
        </w:tc>
        <w:tc>
          <w:tcPr>
            <w:tcW w:type="dxa" w:w="2340"/>
          </w:tcPr>
          <w:p>
            <w:r>
              <w:t>Screening-priority framework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Statistical methods</w:t>
            </w:r>
          </w:p>
        </w:tc>
        <w:tc>
          <w:tcPr>
            <w:tcW w:type="dxa" w:w="2340"/>
          </w:tcPr>
          <w:p>
            <w:r>
              <w:t>Trend, FDR, Moran's I, scenario and Heat Index methods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Participants/units</w:t>
            </w:r>
          </w:p>
        </w:tc>
        <w:tc>
          <w:tcPr>
            <w:tcW w:type="dxa" w:w="2340"/>
          </w:tcPr>
          <w:p>
            <w:r>
              <w:t>Results: nationwide complete subcounty panel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Descriptive data</w:t>
            </w:r>
          </w:p>
        </w:tc>
        <w:tc>
          <w:tcPr>
            <w:tcW w:type="dxa" w:w="2340"/>
          </w:tcPr>
          <w:p>
            <w:r>
              <w:t>Results; supplementary outputs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Outcome data</w:t>
            </w:r>
          </w:p>
        </w:tc>
        <w:tc>
          <w:tcPr>
            <w:tcW w:type="dxa" w:w="2340"/>
          </w:tcPr>
          <w:p>
            <w:r>
              <w:t>Results: H38 and person-day burden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Main results</w:t>
            </w:r>
          </w:p>
        </w:tc>
        <w:tc>
          <w:tcPr>
            <w:tcW w:type="dxa" w:w="2340"/>
          </w:tcPr>
          <w:p>
            <w:r>
              <w:t>Results; Tables 3-4; Figure 6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Other analyses</w:t>
            </w:r>
          </w:p>
        </w:tc>
        <w:tc>
          <w:tcPr>
            <w:tcW w:type="dxa" w:w="2340"/>
          </w:tcPr>
          <w:p>
            <w:r>
              <w:t>Pregnancy, spatial, FDR and Heat Index sensitivity analyses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Key results</w:t>
            </w:r>
          </w:p>
        </w:tc>
        <w:tc>
          <w:tcPr>
            <w:tcW w:type="dxa" w:w="2340"/>
          </w:tcPr>
          <w:p>
            <w:r>
              <w:t>Discussion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Limitations</w:t>
            </w:r>
          </w:p>
        </w:tc>
        <w:tc>
          <w:tcPr>
            <w:tcW w:type="dxa" w:w="2340"/>
          </w:tcPr>
          <w:p>
            <w:r>
              <w:t>Discussion: limitations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Interpretation</w:t>
            </w:r>
          </w:p>
        </w:tc>
        <w:tc>
          <w:tcPr>
            <w:tcW w:type="dxa" w:w="2340"/>
          </w:tcPr>
          <w:p>
            <w:r>
              <w:t>Discussion and conclusion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Generalisability</w:t>
            </w:r>
          </w:p>
        </w:tc>
        <w:tc>
          <w:tcPr>
            <w:tcW w:type="dxa" w:w="2340"/>
          </w:tcPr>
          <w:p>
            <w:r>
              <w:t>Discussion; ecological screening scope</w:t>
            </w:r>
          </w:p>
        </w:tc>
        <w:tc>
          <w:tcPr>
            <w:tcW w:type="dxa" w:w="2340"/>
          </w:tcPr>
          <w:p>
            <w:r>
              <w:t>Reported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Funding</w:t>
            </w:r>
          </w:p>
        </w:tc>
        <w:tc>
          <w:tcPr>
            <w:tcW w:type="dxa" w:w="2340"/>
          </w:tcPr>
          <w:p>
            <w:r>
              <w:t>Manuscript funding statement</w:t>
            </w:r>
          </w:p>
        </w:tc>
        <w:tc>
          <w:tcPr>
            <w:tcW w:type="dxa" w:w="2340"/>
          </w:tcPr>
          <w:p>
            <w:r>
              <w:t>Author to confirm</w:t>
            </w:r>
          </w:p>
        </w:tc>
      </w:tr>
    </w:tbl>
    <w:p>
      <w:r>
        <w:t>Note: STROBE is adapted to this ecological, subcounty-level observational analysis. Item 22 requires confirmation before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