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/>
        <w:t xml:space="preserve">Registro da marca no INPI — passo a passo para você fazer</w:t>
      </w:r>
    </w:p>
    <w:p>
      <w:pPr>
        <w:spacing w:after="120"/>
      </w:pPr>
      <w:r>
        <w:rPr/>
        <w:t xml:space="preserve">Complementa o </w:t>
      </w:r>
      <w:r>
        <w:rPr>
          <w:rFonts w:ascii="Consolas" w:hAnsi="Consolas" w:cs="Consolas"/>
          <w:color w:val="7A2E0E"/>
        </w:rPr>
        <w:t xml:space="preserve">INPI-DOSSIE.md</w:t>
      </w:r>
      <w:r>
        <w:rPr/>
        <w:t xml:space="preserve"> (o que registrar e por quê). Aqui está </w:t>
      </w:r>
      <w:r>
        <w:rPr>
          <w:b/>
        </w:rPr>
        <w:t xml:space="preserve">o que clicar, em que ordem</w:t>
      </w:r>
      <w:r>
        <w:rPr/>
        <w:t xml:space="preserve">. Eu não consigo entrar no sistema do INPI (exige login e verificação humana) e </w:t>
      </w:r>
      <w:r>
        <w:rPr>
          <w:b/>
        </w:rPr>
        <w:t xml:space="preserve">não verifiquei a disponibilidade de nenhum nome</w:t>
      </w:r>
      <w:r>
        <w:rPr/>
        <w:t xml:space="preserve">. Valores e prazos mudam: confirme sempre na tabela de retribuição vigente do INPI.</w:t>
      </w:r>
    </w:p>
    <w:p>
      <w:pPr>
        <w:pBdr>
          <w:left w:val="single" w:sz="18" w:space="8" w:color="A55F00"/>
        </w:pBdr>
        <w:spacing w:after="120"/>
        <w:ind w:left="300"/>
      </w:pPr>
      <w:r>
        <w:rPr>
          <w:b/>
          <w:i/>
        </w:rPr>
        <w:t xml:space="preserve">Cuidado com golpe, o mais comum do assunto:</w:t>
      </w:r>
      <w:r>
        <w:rPr>
          <w:i/>
        </w:rPr>
        <w:t xml:space="preserve"> depois que você deposita, chegam e-mails, cartas e boletos de "empresas" cobrando "publicação", "renovação" ou "registro internacional". </w:t>
      </w:r>
      <w:r>
        <w:rPr>
          <w:b/>
          <w:i/>
        </w:rPr>
        <w:t xml:space="preserve">O INPI nunca cobra assim.</w:t>
      </w:r>
      <w:r>
        <w:rPr>
          <w:i/>
        </w:rPr>
        <w:t xml:space="preserve"> Só pague a GRU que você mesmo gerou dentro do sistema do INPI.</w:t>
      </w:r>
    </w:p>
    <w:p>
      <w:pPr>
        <w:pStyle w:val="Heading2"/>
        <w:spacing w:after="120"/>
      </w:pPr>
      <w:r>
        <w:rPr/>
        <w:t xml:space="preserve">Etapa 0 — Pré-requisitos (resolva antes de tudo)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MEI/CNPJ ativo</w:t>
      </w:r>
      <w:r>
        <w:rPr/>
        <w:t xml:space="preserve">. O titular da marca deve ser a empresa que vai usá-la. Se hoje fosse pessoa física, depois seria preciso ceder a marca ao CNPJ (mais custo e trabalho).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Decidir a </w:t>
      </w:r>
      <w:r>
        <w:rPr>
          <w:b/>
        </w:rPr>
        <w:t xml:space="preserve">ordem de depósito</w:t>
      </w:r>
      <w:r>
        <w:rPr/>
        <w:t xml:space="preserve">: 1º </w:t>
      </w:r>
      <w:r>
        <w:rPr>
          <w:b/>
        </w:rPr>
        <w:t xml:space="preserve">FÔLEGO</w:t>
      </w:r>
      <w:r>
        <w:rPr/>
        <w:t xml:space="preserve"> (palavra), 2º </w:t>
      </w:r>
      <w:r>
        <w:rPr>
          <w:b/>
        </w:rPr>
        <w:t xml:space="preserve">logotipo do Fôlego</w:t>
      </w:r>
      <w:r>
        <w:rPr/>
        <w:t xml:space="preserve">, 3º </w:t>
      </w:r>
      <w:r>
        <w:rPr>
          <w:b/>
        </w:rPr>
        <w:t xml:space="preserve">PRUMO</w:t>
      </w:r>
      <w:r>
        <w:rPr/>
        <w:t xml:space="preserve"> só se a busca estiver limpa (ver Etapa 2).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Ter os arquivos: </w:t>
      </w:r>
      <w:r>
        <w:rPr>
          <w:rFonts w:ascii="Consolas" w:hAnsi="Consolas" w:cs="Consolas"/>
          <w:color w:val="7A2E0E"/>
        </w:rPr>
        <w:t xml:space="preserve">marca/svg/folego-horizontal.svg</w:t>
      </w:r>
      <w:r>
        <w:rPr/>
        <w:t xml:space="preserve"> (converter o texto em curvas num editor, ou usar o PNG de alta resolução) e </w:t>
      </w:r>
      <w:r>
        <w:rPr>
          <w:rFonts w:ascii="Consolas" w:hAnsi="Consolas" w:cs="Consolas"/>
          <w:color w:val="7A2E0E"/>
        </w:rPr>
        <w:t xml:space="preserve">marca/png/avatar-folego-1024.png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Etapa 1 — Cadastro no INPI (15 minutos)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Acesse o portal do INPI (gov.br/inpi) → área </w:t>
      </w:r>
      <w:r>
        <w:rPr>
          <w:b/>
        </w:rPr>
        <w:t xml:space="preserve">Marcas</w:t>
      </w:r>
      <w:r>
        <w:rPr/>
        <w:t xml:space="preserve"> → sistema </w:t>
      </w:r>
      <w:r>
        <w:rPr>
          <w:b/>
        </w:rPr>
        <w:t xml:space="preserve">e-INPI</w:t>
      </w:r>
      <w:r>
        <w:rPr/>
        <w:t xml:space="preserve"> (e-Marcas).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Faça o </w:t>
      </w:r>
      <w:r>
        <w:rPr>
          <w:b/>
        </w:rPr>
        <w:t xml:space="preserve">cadastro de usuário</w:t>
      </w:r>
      <w:r>
        <w:rPr/>
        <w:t xml:space="preserve"> com seu CPF e e-mail (gratuito). Depois do cadastro, entre com seu login.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Guarde login e senha num gerenciador de senhas. É por esse e-mail que o INPI avisa exigências.</w:t>
      </w:r>
    </w:p>
    <w:p>
      <w:pPr>
        <w:pStyle w:val="Heading2"/>
        <w:spacing w:after="120"/>
      </w:pPr>
      <w:r>
        <w:rPr/>
        <w:t xml:space="preserve">Etapa 2 — Busca de anterioridade (1 a 2 horas) — obrigatória antes de pagar</w:t>
      </w:r>
    </w:p>
    <w:p>
      <w:pPr>
        <w:spacing w:after="120"/>
      </w:pPr>
      <w:r>
        <w:rPr/>
        <w:t xml:space="preserve">Objetivo: descobrir se já existe marca igual ou parecida que possa barrar o seu pedido.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portal do INPI, abra a </w:t>
      </w:r>
      <w:r>
        <w:rPr>
          <w:b/>
        </w:rPr>
        <w:t xml:space="preserve">Pesquisa em Marcas</w:t>
      </w:r>
      <w:r>
        <w:rPr/>
        <w:t xml:space="preserve"> (busca básica, aba </w:t>
      </w:r>
      <w:r>
        <w:rPr>
          <w:b/>
        </w:rPr>
        <w:t xml:space="preserve">Marca</w:t>
      </w:r>
      <w:r>
        <w:rPr/>
        <w:t xml:space="preserve">).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Pesquise cada termo abaixo, </w:t>
      </w:r>
      <w:r>
        <w:rPr>
          <w:b/>
        </w:rPr>
        <w:t xml:space="preserve">um por vez</w:t>
      </w:r>
      <w:r>
        <w:rPr/>
        <w:t xml:space="preserve">, e anote os resultados numa planilha (colunas: termo pesquisado, nº do processo, marca encontrada, titular, classe, </w:t>
      </w:r>
      <w:r>
        <w:rPr>
          <w:b/>
        </w:rPr>
        <w:t xml:space="preserve">situação</w:t>
      </w:r>
      <w:r>
        <w:rPr/>
        <w:t xml:space="preserve">, observação):</w:t>
      </w:r>
    </w:p>
    <w:p>
      <w:pPr>
        <w:spacing w:after="60"/>
        <w:ind w:left="920" w:hanging="300"/>
      </w:pPr>
      <w:r>
        <w:rPr/>
        <w:t xml:space="preserve">•  </w:t>
      </w:r>
      <w:r>
        <w:rPr>
          <w:rFonts w:ascii="Consolas" w:hAnsi="Consolas" w:cs="Consolas"/>
          <w:color w:val="7A2E0E"/>
        </w:rPr>
        <w:t xml:space="preserve">folego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fôlego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folegos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folego*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fôlego pay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folegu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e, para o segundo nome: </w:t>
      </w:r>
      <w:r>
        <w:rPr>
          <w:rFonts w:ascii="Consolas" w:hAnsi="Consolas" w:cs="Consolas"/>
          <w:color w:val="7A2E0E"/>
        </w:rPr>
        <w:t xml:space="preserve">prumo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prumus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prumo app</w:t>
      </w:r>
      <w:r>
        <w:rPr/>
        <w:t xml:space="preserve">, </w:t>
      </w:r>
      <w:r>
        <w:rPr>
          <w:rFonts w:ascii="Consolas" w:hAnsi="Consolas" w:cs="Consolas"/>
          <w:color w:val="7A2E0E"/>
        </w:rPr>
        <w:t xml:space="preserve">prumo*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Depois, pesquise de novo </w:t>
      </w:r>
      <w:r>
        <w:rPr>
          <w:b/>
        </w:rPr>
        <w:t xml:space="preserve">filtrando pela classe</w:t>
      </w:r>
      <w:r>
        <w:rPr/>
        <w:t xml:space="preserve"> (campo "Classe de Nice/NCL"): </w:t>
      </w:r>
      <w:r>
        <w:rPr>
          <w:b/>
        </w:rPr>
        <w:t xml:space="preserve">36</w:t>
      </w:r>
      <w:r>
        <w:rPr/>
        <w:t xml:space="preserve">, </w:t>
      </w:r>
      <w:r>
        <w:rPr>
          <w:b/>
        </w:rPr>
        <w:t xml:space="preserve">42</w:t>
      </w:r>
      <w:r>
        <w:rPr/>
        <w:t xml:space="preserve">, </w:t>
      </w:r>
      <w:r>
        <w:rPr>
          <w:b/>
        </w:rPr>
        <w:t xml:space="preserve">41</w:t>
      </w:r>
      <w:r>
        <w:rPr/>
        <w:t xml:space="preserve"> e </w:t>
      </w:r>
      <w:r>
        <w:rPr>
          <w:b/>
        </w:rPr>
        <w:t xml:space="preserve">35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/>
        <w:t xml:space="preserve">Leia a </w:t>
      </w:r>
      <w:r>
        <w:rPr>
          <w:b/>
        </w:rPr>
        <w:t xml:space="preserve">situação</w:t>
      </w:r>
      <w:r>
        <w:rPr/>
        <w:t xml:space="preserve"> de cada resultado: </w:t>
      </w:r>
      <w:r>
        <w:rPr>
          <w:b/>
        </w:rPr>
        <w:t xml:space="preserve">Pedido</w:t>
      </w:r>
      <w:r>
        <w:rPr/>
        <w:t xml:space="preserve"> (em análise) e </w:t>
      </w:r>
      <w:r>
        <w:rPr>
          <w:b/>
        </w:rPr>
        <w:t xml:space="preserve">Registro</w:t>
      </w:r>
      <w:r>
        <w:rPr/>
        <w:t xml:space="preserve"> (vigente) são os que bloqueiam; </w:t>
      </w:r>
      <w:r>
        <w:rPr>
          <w:b/>
        </w:rPr>
        <w:t xml:space="preserve">Arquivado</w:t>
      </w:r>
      <w:r>
        <w:rPr/>
        <w:t xml:space="preserve">, </w:t>
      </w:r>
      <w:r>
        <w:rPr>
          <w:b/>
        </w:rPr>
        <w:t xml:space="preserve">Extinto</w:t>
      </w:r>
      <w:r>
        <w:rPr/>
        <w:t xml:space="preserve">, </w:t>
      </w:r>
      <w:r>
        <w:rPr>
          <w:b/>
        </w:rPr>
        <w:t xml:space="preserve">Indeferido</w:t>
      </w:r>
      <w:r>
        <w:rPr/>
        <w:t xml:space="preserve"> não bloqueiam.</w:t>
      </w:r>
    </w:p>
    <w:p>
      <w:pPr>
        <w:spacing w:after="80"/>
        <w:ind w:left="560" w:hanging="400"/>
      </w:pPr>
      <w:r>
        <w:rPr>
          <w:b/>
        </w:rPr>
        <w:t xml:space="preserve">5.  </w:t>
      </w:r>
      <w:r>
        <w:rPr/>
        <w:t xml:space="preserve">Classifique:</w:t>
      </w:r>
    </w:p>
    <w:p>
      <w:pPr>
        <w:spacing w:after="60"/>
        <w:ind w:left="920" w:hanging="300"/>
      </w:pPr>
      <w:r>
        <w:rPr/>
        <w:t xml:space="preserve">•  </w:t>
      </w:r>
      <w:r>
        <w:rPr>
          <w:b/>
        </w:rPr>
        <w:t xml:space="preserve">Risco alto:</w:t>
      </w:r>
      <w:r>
        <w:rPr/>
        <w:t xml:space="preserve"> mesmo nome (ou quase igual) nas classes 36 ou 42 → pare e converse com um agente de PI.</w:t>
      </w:r>
    </w:p>
    <w:p>
      <w:pPr>
        <w:spacing w:after="60"/>
        <w:ind w:left="920" w:hanging="300"/>
      </w:pPr>
      <w:r>
        <w:rPr/>
        <w:t xml:space="preserve">•  </w:t>
      </w:r>
      <w:r>
        <w:rPr>
          <w:b/>
        </w:rPr>
        <w:t xml:space="preserve">Risco médio:</w:t>
      </w:r>
      <w:r>
        <w:rPr/>
        <w:t xml:space="preserve"> mesmo nome em classe próxima (35, 41) ou radical muito parecido → siga com um agente de PI.</w:t>
      </w:r>
    </w:p>
    <w:p>
      <w:pPr>
        <w:spacing w:after="60"/>
        <w:ind w:left="920" w:hanging="300"/>
      </w:pPr>
      <w:r>
        <w:rPr/>
        <w:t xml:space="preserve">•  </w:t>
      </w:r>
      <w:r>
        <w:rPr>
          <w:b/>
        </w:rPr>
        <w:t xml:space="preserve">Risco baixo:</w:t>
      </w:r>
      <w:r>
        <w:rPr/>
        <w:t xml:space="preserve"> o nome só existe em atividades sem relação (ex.: calçados, alimentos) → pode seguir.</w:t>
      </w:r>
    </w:p>
    <w:p>
      <w:pPr>
        <w:spacing w:after="80"/>
        <w:ind w:left="560" w:hanging="400"/>
      </w:pPr>
      <w:r>
        <w:rPr>
          <w:b/>
        </w:rPr>
        <w:t xml:space="preserve">6.  </w:t>
      </w:r>
      <w:r>
        <w:rPr/>
        <w:t xml:space="preserve">Pesquise também fora do INPI: Google ("fôlego" + finanças/dívidas), Instagram, LinkedIn, lojas de aplicativos e Registro.br. Salve capturas de tela com data.</w:t>
      </w:r>
    </w:p>
    <w:p>
      <w:pPr>
        <w:spacing w:after="80"/>
        <w:ind w:left="560" w:hanging="400"/>
      </w:pPr>
      <w:r>
        <w:rPr>
          <w:b/>
        </w:rPr>
        <w:t xml:space="preserve">7.  </w:t>
      </w:r>
      <w:r>
        <w:rPr>
          <w:b/>
        </w:rPr>
        <w:t xml:space="preserve">Atenção especial:</w:t>
      </w:r>
      <w:r>
        <w:rPr/>
        <w:t xml:space="preserve"> </w:t>
      </w:r>
      <w:r>
        <w:rPr>
          <w:rFonts w:ascii="Consolas" w:hAnsi="Consolas" w:cs="Consolas"/>
          <w:color w:val="7A2E0E"/>
        </w:rPr>
        <w:t xml:space="preserve">folego.com.br</w:t>
      </w:r>
      <w:r>
        <w:rPr/>
        <w:t xml:space="preserve"> é de outra pessoa (Whois de 2026-09-26). Veja o que o site dele faz e se ele aparece como titular na busca.</w:t>
      </w:r>
    </w:p>
    <w:p>
      <w:pPr>
        <w:spacing w:after="120"/>
      </w:pPr>
      <w:r>
        <w:rPr>
          <w:b/>
        </w:rPr>
        <w:t xml:space="preserve">Decisão do Prumo:</w:t>
      </w:r>
      <w:r>
        <w:rPr/>
        <w:t xml:space="preserve"> se aparecer "Prumo" em 36 ou 42, não invista no nome. Alternativas: "Prumo Fôlego", ou outro nome para o app. Só continue com o Prumo se a busca estiver limpa.</w:t>
      </w:r>
    </w:p>
    <w:p>
      <w:pPr>
        <w:pStyle w:val="Heading2"/>
        <w:spacing w:after="120"/>
      </w:pPr>
      <w:r>
        <w:rPr/>
        <w:t xml:space="preserve">Etapa 3 — Definir classes e a lista de produtos/serviços (30 minutos)</w:t>
      </w:r>
    </w:p>
    <w:p>
      <w:pPr>
        <w:spacing w:after="120"/>
      </w:pPr>
      <w:r>
        <w:rPr/>
        <w:t xml:space="preserve">Para </w:t>
      </w:r>
      <w:r>
        <w:rPr>
          <w:b/>
        </w:rPr>
        <w:t xml:space="preserve">FÔLEGO</w:t>
      </w:r>
      <w:r>
        <w:rPr/>
        <w:t xml:space="preserve"> (nominativa e mista), peça as classes </w:t>
      </w:r>
      <w:r>
        <w:rPr>
          <w:b/>
        </w:rPr>
        <w:t xml:space="preserve">36</w:t>
      </w:r>
      <w:r>
        <w:rPr/>
        <w:t xml:space="preserve"> e </w:t>
      </w:r>
      <w:r>
        <w:rPr>
          <w:b/>
        </w:rPr>
        <w:t xml:space="preserve">42</w:t>
      </w:r>
      <w:r>
        <w:rPr/>
        <w:t xml:space="preserve"> (e </w:t>
      </w:r>
      <w:r>
        <w:rPr>
          <w:b/>
        </w:rPr>
        <w:t xml:space="preserve">41</w:t>
      </w:r>
      <w:r>
        <w:rPr/>
        <w:t xml:space="preserve"> por causa do eBook/guias). Na hora do pedido, o sistema oferece uma </w:t>
      </w:r>
      <w:r>
        <w:rPr>
          <w:b/>
        </w:rPr>
        <w:t xml:space="preserve">lista de termos pré-aprovados</w:t>
      </w:r>
      <w:r>
        <w:rPr/>
        <w:t xml:space="preserve"> para cada classe: escolha os que descrevem o que você faz (isso reduz o risco de "exigência"). Textos de referência:</w:t>
      </w:r>
    </w:p>
    <w:p>
      <w:pPr>
        <w:spacing w:after="60"/>
        <w:ind w:left="560" w:hanging="300"/>
      </w:pPr>
      <w:r>
        <w:rPr/>
        <w:t xml:space="preserve">•  </w:t>
      </w:r>
      <w:r>
        <w:rPr>
          <w:b/>
        </w:rPr>
        <w:t xml:space="preserve">Classe 36:</w:t>
      </w:r>
      <w:r>
        <w:rPr/>
        <w:t xml:space="preserve"> consultoria e informação financeira; organização de orçamento e de dívidas pessoais; gestão de informações financeiras.</w:t>
      </w:r>
    </w:p>
    <w:p>
      <w:pPr>
        <w:spacing w:after="60"/>
        <w:ind w:left="560" w:hanging="300"/>
      </w:pPr>
      <w:r>
        <w:rPr/>
        <w:t xml:space="preserve">•  </w:t>
      </w:r>
      <w:r>
        <w:rPr>
          <w:b/>
        </w:rPr>
        <w:t xml:space="preserve">Classe 42:</w:t>
      </w:r>
      <w:r>
        <w:rPr/>
        <w:t xml:space="preserve"> software como serviço (SaaS) para organização financeira; plataforma web; desenvolvimento e hospedagem de software.</w:t>
      </w:r>
    </w:p>
    <w:p>
      <w:pPr>
        <w:spacing w:after="60"/>
        <w:ind w:left="560" w:hanging="300"/>
      </w:pPr>
      <w:r>
        <w:rPr/>
        <w:t xml:space="preserve">•  </w:t>
      </w:r>
      <w:r>
        <w:rPr>
          <w:b/>
        </w:rPr>
        <w:t xml:space="preserve">Classe 41:</w:t>
      </w:r>
      <w:r>
        <w:rPr/>
        <w:t xml:space="preserve"> publicação de livros eletrônicos e guias educativos on-line; serviços educacionais sobre educação financeira.</w:t>
      </w:r>
    </w:p>
    <w:p>
      <w:pPr>
        <w:spacing w:after="120"/>
      </w:pPr>
      <w:r>
        <w:rPr/>
        <w:t xml:space="preserve">Cada classe soma uma retribuição. Se o orçamento apertar, comece com </w:t>
      </w:r>
      <w:r>
        <w:rPr>
          <w:b/>
        </w:rPr>
        <w:t xml:space="preserve">36 + 42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Etapa 4 — Fazer o pedido no e-Marcas (1 hora por pedido)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Entre no e-INPI → </w:t>
      </w:r>
      <w:r>
        <w:rPr>
          <w:b/>
        </w:rPr>
        <w:t xml:space="preserve">e-Marcas</w:t>
      </w:r>
      <w:r>
        <w:rPr/>
        <w:t xml:space="preserve"> → </w:t>
      </w:r>
      <w:r>
        <w:rPr>
          <w:b/>
        </w:rPr>
        <w:t xml:space="preserve">Pedido de registro de marca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>
          <w:b/>
        </w:rPr>
        <w:t xml:space="preserve">Titular:</w:t>
      </w:r>
      <w:r>
        <w:rPr/>
        <w:t xml:space="preserve"> os dados do CNPJ do MEI (razão social, CNPJ, endereço). Se for usar agente de PI, informe-o em "Procurador".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>
          <w:b/>
        </w:rPr>
        <w:t xml:space="preserve">Natureza:</w:t>
      </w:r>
      <w:r>
        <w:rPr/>
        <w:t xml:space="preserve"> marca de </w:t>
      </w:r>
      <w:r>
        <w:rPr>
          <w:b/>
        </w:rPr>
        <w:t xml:space="preserve">serviço</w:t>
      </w:r>
      <w:r>
        <w:rPr/>
        <w:t xml:space="preserve"> (e de produto, se incluir a classe 9 ou 41 de e-book).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>
          <w:b/>
        </w:rPr>
        <w:t xml:space="preserve">Apresentação: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Pedido 1: </w:t>
      </w:r>
      <w:r>
        <w:rPr>
          <w:b/>
        </w:rPr>
        <w:t xml:space="preserve">Nominativa</w:t>
      </w:r>
      <w:r>
        <w:rPr/>
        <w:t xml:space="preserve"> → digite </w:t>
      </w:r>
      <w:r>
        <w:rPr>
          <w:rFonts w:ascii="Consolas" w:hAnsi="Consolas" w:cs="Consolas"/>
          <w:color w:val="7A2E0E"/>
        </w:rPr>
        <w:t xml:space="preserve">FÔLEGO</w:t>
      </w:r>
      <w:r>
        <w:rPr/>
        <w:t xml:space="preserve">.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Pedido 2: </w:t>
      </w:r>
      <w:r>
        <w:rPr>
          <w:b/>
        </w:rPr>
        <w:t xml:space="preserve">Mista</w:t>
      </w:r>
      <w:r>
        <w:rPr/>
        <w:t xml:space="preserve"> → envie a imagem do logotipo (PNG, fundo branco). </w:t>
      </w:r>
      <w:r>
        <w:rPr>
          <w:b/>
        </w:rPr>
        <w:t xml:space="preserve">Confira no formulário o formato, a dimensão e o tamanho aceitos</w:t>
      </w:r>
      <w:r>
        <w:rPr/>
        <w:t xml:space="preserve">, pois o INPI muda a regra.</w:t>
      </w:r>
    </w:p>
    <w:p>
      <w:pPr>
        <w:spacing w:after="80"/>
        <w:ind w:left="560" w:hanging="400"/>
      </w:pPr>
      <w:r>
        <w:rPr>
          <w:b/>
        </w:rPr>
        <w:t xml:space="preserve">5.  </w:t>
      </w:r>
      <w:r>
        <w:rPr>
          <w:b/>
        </w:rPr>
        <w:t xml:space="preserve">Classe(s)</w:t>
      </w:r>
      <w:r>
        <w:rPr/>
        <w:t xml:space="preserve"> e </w:t>
      </w:r>
      <w:r>
        <w:rPr>
          <w:b/>
        </w:rPr>
        <w:t xml:space="preserve">especificação</w:t>
      </w:r>
      <w:r>
        <w:rPr/>
        <w:t xml:space="preserve">: escolha na lista pré-aprovada (Etapa 3).</w:t>
      </w:r>
    </w:p>
    <w:p>
      <w:pPr>
        <w:spacing w:after="80"/>
        <w:ind w:left="560" w:hanging="400"/>
      </w:pPr>
      <w:r>
        <w:rPr>
          <w:b/>
        </w:rPr>
        <w:t xml:space="preserve">6.  </w:t>
      </w:r>
      <w:r>
        <w:rPr>
          <w:b/>
        </w:rPr>
        <w:t xml:space="preserve">Benefício de desconto:</w:t>
      </w:r>
      <w:r>
        <w:rPr/>
        <w:t xml:space="preserve"> MEI e microempresa costumam ter desconto na retribuição. O sistema pede uma declaração/comprovação do enquadramento: marque e anexe se solicitado.</w:t>
      </w:r>
    </w:p>
    <w:p>
      <w:pPr>
        <w:spacing w:after="80"/>
        <w:ind w:left="560" w:hanging="400"/>
      </w:pPr>
      <w:r>
        <w:rPr>
          <w:b/>
        </w:rPr>
        <w:t xml:space="preserve">7.  </w:t>
      </w:r>
      <w:r>
        <w:rPr/>
        <w:t xml:space="preserve">Revise tudo e </w:t>
      </w:r>
      <w:r>
        <w:rPr>
          <w:b/>
        </w:rPr>
        <w:t xml:space="preserve">gere a GRU</w:t>
      </w:r>
      <w:r>
        <w:rPr/>
        <w:t xml:space="preserve"> (guia de pagamento). </w:t>
      </w:r>
      <w:r>
        <w:rPr>
          <w:b/>
        </w:rPr>
        <w:t xml:space="preserve">Pague pelo internet banking, no mesmo dia</w:t>
      </w:r>
      <w:r>
        <w:rPr/>
        <w:t xml:space="preserve"> (o boleto vence em poucos dias; pedido sem pagamento é arquivado).</w:t>
      </w:r>
    </w:p>
    <w:p>
      <w:pPr>
        <w:spacing w:after="80"/>
        <w:ind w:left="560" w:hanging="400"/>
      </w:pPr>
      <w:r>
        <w:rPr>
          <w:b/>
        </w:rPr>
        <w:t xml:space="preserve">8.  </w:t>
      </w:r>
      <w:r>
        <w:rPr/>
        <w:t xml:space="preserve">Quando o pagamento for compensado, o sistema mostra o </w:t>
      </w:r>
      <w:r>
        <w:rPr>
          <w:b/>
        </w:rPr>
        <w:t xml:space="preserve">número do processo</w:t>
      </w:r>
      <w:r>
        <w:rPr/>
        <w:t xml:space="preserve">. Anote e salve o comprovante (PDF).</w:t>
      </w:r>
    </w:p>
    <w:p>
      <w:pPr>
        <w:spacing w:after="120"/>
      </w:pPr>
      <w:r>
        <w:rPr/>
        <w:t xml:space="preserve">Repita para o pedido do logotipo (e para PRUMO, se a Etapa 2 liberar).</w:t>
      </w:r>
    </w:p>
    <w:p>
      <w:pPr>
        <w:pStyle w:val="Heading2"/>
        <w:spacing w:after="120"/>
      </w:pPr>
      <w:r>
        <w:rPr/>
        <w:t xml:space="preserve">Etapa 5 — Acompanhar (semanal, 10 minutos)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A </w:t>
      </w:r>
      <w:r>
        <w:rPr>
          <w:b/>
        </w:rPr>
        <w:t xml:space="preserve">Revista da Propriedade Industrial (RPI)</w:t>
      </w:r>
      <w:r>
        <w:rPr/>
        <w:t xml:space="preserve"> sai semanalmente (às terças). Pesquise seus números de processo na RPI ou ative os avisos no e-INPI.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Marque numa planilha cada </w:t>
      </w:r>
      <w:r>
        <w:rPr>
          <w:b/>
        </w:rPr>
        <w:t xml:space="preserve">despacho</w:t>
      </w:r>
      <w:r>
        <w:rPr/>
        <w:t xml:space="preserve"> (decisão) que aparecer: exame formal, publicação, oposição, exigência, deferimento, indeferimento.</w:t>
      </w:r>
    </w:p>
    <w:p>
      <w:pPr>
        <w:pStyle w:val="Heading2"/>
        <w:spacing w:after="120"/>
      </w:pPr>
      <w:r>
        <w:rPr/>
        <w:t xml:space="preserve">Etapa 6 — O que pode acontecer e o que fazer</w:t>
      </w:r>
    </w:p>
    <w:tbl>
      <w:tblPr>
        <w:tblW w:w="9400" w:type="dxa"/>
        <w:tblBorders>
          <w:top w:val="single" w:sz="4" w:color="B9C4BE"/>
          <w:left w:val="single" w:sz="4" w:color="B9C4BE"/>
          <w:bottom w:val="single" w:sz="4" w:color="B9C4BE"/>
          <w:right w:val="single" w:sz="4" w:color="B9C4BE"/>
          <w:insideH w:val="single" w:sz="4" w:color="B9C4BE"/>
          <w:insideV w:val="single" w:sz="4" w:color="B9C4B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w="235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Despacho</w:t>
            </w:r>
          </w:p>
        </w:tc>
        <w:tc>
          <w:tcPr>
            <w:tcW w:w="235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O que significa</w:t>
            </w:r>
          </w:p>
        </w:tc>
        <w:tc>
          <w:tcPr>
            <w:tcW w:w="235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O que fazer</w:t>
            </w:r>
          </w:p>
        </w:tc>
        <w:tc>
          <w:tcPr>
            <w:tcW w:w="235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Prazo típico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Publicação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Pedido publicado; abre oposição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Esperar; vigiar quem se opõe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60 dias para terceiros se oporem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Oposição</w:t>
            </w:r>
            <w:r>
              <w:rPr>
                <w:sz w:val="20"/>
              </w:rPr>
              <w:t xml:space="preserve"> de terceiro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Alguém contestou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Responder com argumentos (agente de PI)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60 dias para manifestar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Exigência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O INPI pede ajuste (ex.: especificação)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Responder no sistema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60 dias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Indeferimento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Pedido negado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Recurso (agente de PI)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60 dias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Deferimento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Aprovado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Pagar a retribuição final (concessão)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60 dias</w:t>
            </w:r>
          </w:p>
        </w:tc>
      </w:tr>
      <w:tr>
        <w:tc>
          <w:tcPr>
            <w:tcW w:w="2350" w:type="dxa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Concessão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Registro vigente por 10 anos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Guardar o certificado; marcar a renovação</w:t>
            </w:r>
          </w:p>
        </w:tc>
        <w:tc>
          <w:tcPr>
            <w:tcW w:w="2350" w:type="dxa"/>
          </w:tcPr>
          <w:p>
            <w:pPr>
              <w:spacing w:after="0"/>
            </w:pPr>
            <w:r>
              <w:rPr>
                <w:sz w:val="20"/>
              </w:rPr>
              <w:t xml:space="preserve">renovação no último ano</w:t>
            </w:r>
          </w:p>
        </w:tc>
      </w:tr>
    </w:tbl>
    <w:p>
      <w:pPr>
        <w:spacing w:after="60"/>
      </w:pPr>
    </w:p>
    <w:p>
      <w:pPr>
        <w:spacing w:after="120"/>
      </w:pPr>
      <w:r>
        <w:rPr/>
        <w:t xml:space="preserve">O processo costuma levar </w:t>
      </w:r>
      <w:r>
        <w:rPr>
          <w:b/>
        </w:rPr>
        <w:t xml:space="preserve">mais de um ano</w:t>
      </w:r>
      <w:r>
        <w:rPr/>
        <w:t xml:space="preserve">. Enquanto isso, use </w:t>
      </w:r>
      <w:r>
        <w:rPr>
          <w:b/>
        </w:rPr>
        <w:t xml:space="preserve">Fôlego™</w:t>
      </w:r>
      <w:r>
        <w:rPr/>
        <w:t xml:space="preserve"> (nunca ® antes da concessão).</w:t>
      </w:r>
    </w:p>
    <w:p>
      <w:pPr>
        <w:pStyle w:val="Heading2"/>
        <w:spacing w:after="120"/>
      </w:pPr>
      <w:r>
        <w:rPr/>
        <w:t xml:space="preserve">Etapa 7 — Cuidados práticos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Guarde </w:t>
      </w:r>
      <w:r>
        <w:rPr>
          <w:b/>
        </w:rPr>
        <w:t xml:space="preserve">tudo</w:t>
      </w:r>
      <w:r>
        <w:rPr/>
        <w:t xml:space="preserve"> (prints da busca, comprovantes, protocolos) numa pasta </w:t>
      </w:r>
      <w:r>
        <w:rPr>
          <w:rFonts w:ascii="Consolas" w:hAnsi="Consolas" w:cs="Consolas"/>
          <w:color w:val="7A2E0E"/>
        </w:rPr>
        <w:t xml:space="preserve">marca/inpi/</w:t>
      </w:r>
      <w:r>
        <w:rPr/>
        <w:t xml:space="preserve"> fora do repositório público (contém dados do CNPJ).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Não troque o logotipo depois do pedido: o registro vale para o desenho depositado. Se mudar, é pedido novo.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Use </w:t>
      </w:r>
      <w:r>
        <w:rPr>
          <w:b/>
        </w:rPr>
        <w:t xml:space="preserve">Fôlego™</w:t>
      </w:r>
      <w:r>
        <w:rPr/>
        <w:t xml:space="preserve"> e </w:t>
      </w:r>
      <w:r>
        <w:rPr>
          <w:b/>
        </w:rPr>
        <w:t xml:space="preserve">Prumo™</w:t>
      </w:r>
      <w:r>
        <w:rPr/>
        <w:t xml:space="preserve"> nos perfis e no rodapé do site até a concessão.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Contrate um </w:t>
      </w:r>
      <w:r>
        <w:rPr>
          <w:b/>
        </w:rPr>
        <w:t xml:space="preserve">agente de propriedade industrial</w:t>
      </w:r>
      <w:r>
        <w:rPr/>
        <w:t xml:space="preserve"> se a busca tiver risco médio ou alto, ou se vier oposição: o custo é pequeno perto de perder o nome depois de investir na marca.</w:t>
      </w:r>
    </w:p>
    <w:p>
      <w:pPr>
        <w:pStyle w:val="Heading2"/>
        <w:spacing w:after="120"/>
      </w:pPr>
      <w:r>
        <w:rPr/>
        <w:t xml:space="preserve">Cronograma sugerido</w:t>
      </w:r>
    </w:p>
    <w:tbl>
      <w:tblPr>
        <w:tblW w:w="9400" w:type="dxa"/>
        <w:tblBorders>
          <w:top w:val="single" w:sz="4" w:color="B9C4BE"/>
          <w:left w:val="single" w:sz="4" w:color="B9C4BE"/>
          <w:bottom w:val="single" w:sz="4" w:color="B9C4BE"/>
          <w:right w:val="single" w:sz="4" w:color="B9C4BE"/>
          <w:insideH w:val="single" w:sz="4" w:color="B9C4BE"/>
          <w:insideV w:val="single" w:sz="4" w:color="B9C4B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0"/>
        <w:gridCol w:w="4700"/>
      </w:tblGrid>
      <w:tr>
        <w:trPr>
          <w:tblHeader/>
        </w:trPr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Quando</w:t>
            </w:r>
          </w:p>
        </w:tc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O que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Hoje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Cadastro no e-INPI e busca de anterioridade (Etapas 1 e 2)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Quando o MEI sair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Depositar FÔLEGO (nominativa, 36 + 42)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Mesma semana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Depositar o logotipo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Depois da busca do Prumo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Decidir o nome e depositar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Toda semana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Olhar a RPI</w:t>
            </w: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rPr/>
        <w:t xml:space="preserve">Checklist final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Cadastro no e-INPI feito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Planilha da busca preenchida (FÔLEGO e PRUMO, classes 36/42/41/35)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Risco avaliado; Prumo: manter, "Prumo Fôlego" ou trocar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CNPJ do MEI ativo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Pedido nominativa FÔLEGO pago (36 + 42, + 41 se quiser)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Pedido do logotipo pago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Números de processo anotados e RPI acompanhada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Perfis das redes reservados (ver </w:t>
      </w:r>
      <w:r>
        <w:rPr>
          <w:rFonts w:ascii="Consolas" w:hAnsi="Consolas" w:cs="Consolas"/>
          <w:color w:val="7A2E0E"/>
        </w:rPr>
        <w:t xml:space="preserve">REDES-SOCIAIS.md</w:t>
      </w:r>
      <w:r>
        <w:rPr/>
        <w:t xml:space="preserve">) com prints datados</w:t>
      </w:r>
    </w:p>
    <w:sectPr>
      <w:pgSz w:w="11906" w:h="16838"/>
      <w:pgMar w:top="1134" w:right="1247" w:bottom="1134" w:left="124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color w:val="0E5B49"/>
      <w:sz w:val="44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b/>
      <w:color w:val="0E5B49"/>
      <w:sz w:val="32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0E5B49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