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rFonts w:ascii="Times New Roman" w:cs="Traditional Arabic" w:eastAsia="Times New Roman" w:hAnsi="Times New Roman"/>
          <w:b/>
          <w:bCs/>
          <w:i w:val="false"/>
          <w:color w:val="1F3864"/>
          <w:sz w:val="40"/>
          <w:szCs w:val="40"/>
        </w:rPr>
        <w:t xml:space="preserve">DİN EĞİTİMİNDE NİTEL ARAŞTIRMA</w:t>
      </w:r>
    </w:p>
    <w:p>
      <w:pPr>
        <w:spacing w:after="300"/>
        <w:jc w:val="center"/>
      </w:pPr>
      <w:r>
        <w:rPr>
          <w:rFonts w:ascii="Times New Roman" w:cs="Traditional Arabic" w:eastAsia="Times New Roman" w:hAnsi="Times New Roman"/>
          <w:i/>
          <w:iCs/>
          <w:color w:val="404040"/>
          <w:sz w:val="26"/>
          <w:szCs w:val="26"/>
        </w:rPr>
        <w:t xml:space="preserve">Tahkîk Paradigması: İslam Usul Geleneği ile Modern Sosyal Bilimler Arasında Bir Araştırma Anlayışı</w:t>
      </w:r>
    </w:p>
    <w:p>
      <w:pPr>
        <w:spacing w:after="1600"/>
        <w:jc w:val="center"/>
      </w:pPr>
      <w:r>
        <w:rPr>
          <w:rFonts w:ascii="Times New Roman" w:cs="Traditional Arabic" w:eastAsia="Times New Roman" w:hAnsi="Times New Roman"/>
          <w:i w:val="false"/>
          <w:sz w:val="28"/>
          <w:szCs w:val="28"/>
        </w:rPr>
        <w:t xml:space="preserve">[YAZAR ADI]</w:t>
      </w:r>
    </w:p>
    <w:p>
      <w:pPr>
        <w:spacing w:after="120"/>
        <w:jc w:val="center"/>
      </w:pPr>
      <w:r>
        <w:rPr>
          <w:rFonts w:ascii="Times New Roman" w:cs="Traditional Arabic" w:eastAsia="Times New Roman" w:hAnsi="Times New Roman"/>
          <w:i w:val="false"/>
          <w:color w:val="595959"/>
          <w:sz w:val="22"/>
          <w:szCs w:val="22"/>
        </w:rPr>
        <w:t xml:space="preserve">Lisansüstü Ders Kitabı</w:t>
      </w:r>
    </w:p>
    <w:p>
      <w:pPr>
        <w:spacing w:after="120"/>
        <w:jc w:val="center"/>
      </w:pPr>
      <w:r>
        <w:rPr>
          <w:rFonts w:ascii="Times New Roman" w:cs="Traditional Arabic" w:eastAsia="Times New Roman" w:hAnsi="Times New Roman"/>
          <w:i w:val="false"/>
          <w:color w:val="595959"/>
          <w:sz w:val="22"/>
          <w:szCs w:val="22"/>
        </w:rPr>
        <w:t xml:space="preserve">Taslak metin. Her atfın ardından denetim için doğrulama blokları bulunmaktadır; bu bloklar baskı öncesinde çıkarılacaktır.</w:t>
      </w:r>
    </w:p>
    <w:p>
      <w:pPr>
        <w:spacing w:after="120"/>
        <w:jc w:val="center"/>
      </w:pPr>
      <w:r>
        <w:rPr>
          <w:rFonts w:ascii="Times New Roman" w:cs="Traditional Arabic" w:eastAsia="Times New Roman" w:hAnsi="Times New Roman"/>
          <w:i w:val="false"/>
          <w:color w:val="595959"/>
          <w:sz w:val="22"/>
          <w:szCs w:val="22"/>
        </w:rPr>
        <w:t xml:space="preserve">Ekim 2026</w:t>
      </w:r>
    </w:p>
    <w:p>
      <w:pPr>
        <w:pStyle w:val="Heading1"/>
        <w:pageBreakBefore/>
        <w:spacing w:after="360" w:before="600"/>
        <w:jc w:val="center"/>
      </w:pPr>
      <w:r>
        <w:rPr>
          <w:rFonts w:ascii="Times New Roman" w:cs="Traditional Arabic" w:eastAsia="Times New Roman" w:hAnsi="Times New Roman"/>
          <w:b/>
          <w:bCs/>
          <w:i w:val="false"/>
          <w:color w:val="1F3864"/>
          <w:sz w:val="28"/>
          <w:szCs w:val="28"/>
        </w:rPr>
        <w:t xml:space="preserve">İÇİNDEKİLER</w:t>
      </w:r>
    </w:p>
    <w:p>
      <w:pPr>
        <w:spacing w:after="60" w:line="276"/>
      </w:pPr>
      <w:r>
        <w:rPr>
          <w:rFonts w:ascii="Times New Roman" w:cs="Traditional Arabic" w:eastAsia="Times New Roman" w:hAnsi="Times New Roman"/>
          <w:b/>
          <w:bCs/>
          <w:i w:val="false"/>
          <w:sz w:val="22"/>
          <w:szCs w:val="22"/>
        </w:rPr>
        <w:t xml:space="preserve">ÖN SÖZ</w:t>
      </w:r>
    </w:p>
    <w:p>
      <w:pPr>
        <w:spacing w:after="60" w:line="276"/>
      </w:pPr>
      <w:r>
        <w:rPr>
          <w:rFonts w:ascii="Times New Roman" w:cs="Traditional Arabic" w:eastAsia="Times New Roman" w:hAnsi="Times New Roman"/>
          <w:b/>
          <w:bCs/>
          <w:i w:val="false"/>
          <w:sz w:val="22"/>
          <w:szCs w:val="22"/>
        </w:rPr>
        <w:t xml:space="preserve">GİRİŞ</w:t>
      </w:r>
    </w:p>
    <w:p>
      <w:pPr>
        <w:spacing w:after="60" w:before="120" w:line="276"/>
      </w:pPr>
      <w:r>
        <w:rPr>
          <w:rFonts w:ascii="Times New Roman" w:cs="Traditional Arabic" w:eastAsia="Times New Roman" w:hAnsi="Times New Roman"/>
          <w:b/>
          <w:bCs/>
          <w:i w:val="false"/>
          <w:sz w:val="22"/>
          <w:szCs w:val="22"/>
        </w:rPr>
        <w:t xml:space="preserve">BİRİNCİ KISIM: TEMELLER</w:t>
      </w:r>
    </w:p>
    <w:p>
      <w:pPr>
        <w:spacing w:after="60" w:line="276"/>
        <w:ind w:left="567"/>
      </w:pPr>
      <w:r>
        <w:rPr>
          <w:rFonts w:ascii="Times New Roman" w:cs="Traditional Arabic" w:eastAsia="Times New Roman" w:hAnsi="Times New Roman"/>
          <w:i w:val="false"/>
          <w:sz w:val="22"/>
          <w:szCs w:val="22"/>
        </w:rPr>
        <w:t xml:space="preserve">1. Modern Sosyal Bilimlerde Paradigma Meselesi: Batı Birikiminin Geldiği Yer</w:t>
      </w:r>
    </w:p>
    <w:p>
      <w:pPr>
        <w:spacing w:after="60" w:line="276"/>
        <w:ind w:left="567"/>
      </w:pPr>
      <w:r>
        <w:rPr>
          <w:rFonts w:ascii="Times New Roman" w:cs="Traditional Arabic" w:eastAsia="Times New Roman" w:hAnsi="Times New Roman"/>
          <w:i w:val="false"/>
          <w:sz w:val="22"/>
          <w:szCs w:val="22"/>
        </w:rPr>
        <w:t xml:space="preserve">2. Bilgi, Anlam ve Yöntem: Klasik Bilgi Yolları ile Nitel Araştırmanın Bilgi Anlayışı</w:t>
      </w:r>
    </w:p>
    <w:p>
      <w:pPr>
        <w:spacing w:after="60" w:line="276"/>
        <w:ind w:left="567"/>
      </w:pPr>
      <w:r>
        <w:rPr>
          <w:rFonts w:ascii="Times New Roman" w:cs="Traditional Arabic" w:eastAsia="Times New Roman" w:hAnsi="Times New Roman"/>
          <w:i w:val="false"/>
          <w:sz w:val="22"/>
          <w:szCs w:val="22"/>
        </w:rPr>
        <w:t xml:space="preserve">3. Tahkîk Paradigması: Din Eğitimi Araştırmaları İçin Usûl Temelli Bir Nitel Araştırma Anlayışı</w:t>
      </w:r>
    </w:p>
    <w:p>
      <w:pPr>
        <w:spacing w:after="60" w:line="276"/>
        <w:ind w:left="567"/>
      </w:pPr>
      <w:r>
        <w:rPr>
          <w:rFonts w:ascii="Times New Roman" w:cs="Traditional Arabic" w:eastAsia="Times New Roman" w:hAnsi="Times New Roman"/>
          <w:i w:val="false"/>
          <w:sz w:val="22"/>
          <w:szCs w:val="22"/>
        </w:rPr>
        <w:t xml:space="preserve">4. Nitel Araştırmanın Temel Özellikleri ve Din Eğitimi</w:t>
      </w:r>
    </w:p>
    <w:p>
      <w:pPr>
        <w:spacing w:after="60" w:line="276"/>
        <w:ind w:left="567"/>
      </w:pPr>
      <w:r>
        <w:rPr>
          <w:rFonts w:ascii="Times New Roman" w:cs="Traditional Arabic" w:eastAsia="Times New Roman" w:hAnsi="Times New Roman"/>
          <w:i w:val="false"/>
          <w:sz w:val="22"/>
          <w:szCs w:val="22"/>
        </w:rPr>
        <w:t xml:space="preserve">5. Nitel Araştırma Desenleri ve Klasik Gelenekte Benzer Çalışma Tarzları</w:t>
      </w:r>
    </w:p>
    <w:p>
      <w:pPr>
        <w:spacing w:after="60" w:before="120" w:line="276"/>
      </w:pPr>
      <w:r>
        <w:rPr>
          <w:rFonts w:ascii="Times New Roman" w:cs="Traditional Arabic" w:eastAsia="Times New Roman" w:hAnsi="Times New Roman"/>
          <w:b/>
          <w:bCs/>
          <w:i w:val="false"/>
          <w:sz w:val="22"/>
          <w:szCs w:val="22"/>
        </w:rPr>
        <w:t xml:space="preserve">İKİNCİ KISIM: VERİYE ULAŞMA: ʿİYÂN VE AHBÂR</w:t>
      </w:r>
    </w:p>
    <w:p>
      <w:pPr>
        <w:spacing w:after="60" w:line="276"/>
        <w:ind w:left="567"/>
      </w:pPr>
      <w:r>
        <w:rPr>
          <w:rFonts w:ascii="Times New Roman" w:cs="Traditional Arabic" w:eastAsia="Times New Roman" w:hAnsi="Times New Roman"/>
          <w:i w:val="false"/>
          <w:sz w:val="22"/>
          <w:szCs w:val="22"/>
        </w:rPr>
        <w:t xml:space="preserve">6. Araştırma Süreci, Araştırma Sorusu ve Örneklem</w:t>
      </w:r>
    </w:p>
    <w:p>
      <w:pPr>
        <w:spacing w:after="60" w:line="276"/>
        <w:ind w:left="567"/>
      </w:pPr>
      <w:r>
        <w:rPr>
          <w:rFonts w:ascii="Times New Roman" w:cs="Traditional Arabic" w:eastAsia="Times New Roman" w:hAnsi="Times New Roman"/>
          <w:i w:val="false"/>
          <w:sz w:val="22"/>
          <w:szCs w:val="22"/>
        </w:rPr>
        <w:t xml:space="preserve">7. Görüşme ve Odak Grup Görüşmesi</w:t>
      </w:r>
    </w:p>
    <w:p>
      <w:pPr>
        <w:spacing w:after="60" w:line="276"/>
        <w:ind w:left="567"/>
      </w:pPr>
      <w:r>
        <w:rPr>
          <w:rFonts w:ascii="Times New Roman" w:cs="Traditional Arabic" w:eastAsia="Times New Roman" w:hAnsi="Times New Roman"/>
          <w:i w:val="false"/>
          <w:sz w:val="22"/>
          <w:szCs w:val="22"/>
        </w:rPr>
        <w:t xml:space="preserve">8. Gözlem</w:t>
      </w:r>
    </w:p>
    <w:p>
      <w:pPr>
        <w:spacing w:after="60" w:line="276"/>
        <w:ind w:left="567"/>
      </w:pPr>
      <w:r>
        <w:rPr>
          <w:rFonts w:ascii="Times New Roman" w:cs="Traditional Arabic" w:eastAsia="Times New Roman" w:hAnsi="Times New Roman"/>
          <w:i w:val="false"/>
          <w:sz w:val="22"/>
          <w:szCs w:val="22"/>
        </w:rPr>
        <w:t xml:space="preserve">9. Doküman İncelemesi</w:t>
      </w:r>
    </w:p>
    <w:p>
      <w:pPr>
        <w:spacing w:after="60" w:line="276"/>
        <w:ind w:left="567"/>
      </w:pPr>
      <w:r>
        <w:rPr>
          <w:rFonts w:ascii="Times New Roman" w:cs="Traditional Arabic" w:eastAsia="Times New Roman" w:hAnsi="Times New Roman"/>
          <w:i w:val="false"/>
          <w:sz w:val="22"/>
          <w:szCs w:val="22"/>
        </w:rPr>
        <w:t xml:space="preserve">10. Mecazlar Yoluyla Veri Toplama</w:t>
      </w:r>
    </w:p>
    <w:p>
      <w:pPr>
        <w:spacing w:after="60" w:before="120" w:line="276"/>
      </w:pPr>
      <w:r>
        <w:rPr>
          <w:rFonts w:ascii="Times New Roman" w:cs="Traditional Arabic" w:eastAsia="Times New Roman" w:hAnsi="Times New Roman"/>
          <w:b/>
          <w:bCs/>
          <w:i w:val="false"/>
          <w:sz w:val="22"/>
          <w:szCs w:val="22"/>
        </w:rPr>
        <w:t xml:space="preserve">ÜÇÜNCÜ KISIM: VERİYİ ANLAMA VE SUNMA: NAZAR</w:t>
      </w:r>
    </w:p>
    <w:p>
      <w:pPr>
        <w:spacing w:after="60" w:line="276"/>
        <w:ind w:left="567"/>
      </w:pPr>
      <w:r>
        <w:rPr>
          <w:rFonts w:ascii="Times New Roman" w:cs="Traditional Arabic" w:eastAsia="Times New Roman" w:hAnsi="Times New Roman"/>
          <w:i w:val="false"/>
          <w:sz w:val="22"/>
          <w:szCs w:val="22"/>
        </w:rPr>
        <w:t xml:space="preserve">11. Nitel Veri Analizi</w:t>
      </w:r>
    </w:p>
    <w:p>
      <w:pPr>
        <w:spacing w:after="60" w:line="276"/>
        <w:ind w:left="567"/>
      </w:pPr>
      <w:r>
        <w:rPr>
          <w:rFonts w:ascii="Times New Roman" w:cs="Traditional Arabic" w:eastAsia="Times New Roman" w:hAnsi="Times New Roman"/>
          <w:i w:val="false"/>
          <w:sz w:val="22"/>
          <w:szCs w:val="22"/>
        </w:rPr>
        <w:t xml:space="preserve">12. Geçerlik ve Güvenirlik</w:t>
      </w:r>
    </w:p>
    <w:p>
      <w:pPr>
        <w:spacing w:after="60" w:line="276"/>
        <w:ind w:left="567"/>
      </w:pPr>
      <w:r>
        <w:rPr>
          <w:rFonts w:ascii="Times New Roman" w:cs="Traditional Arabic" w:eastAsia="Times New Roman" w:hAnsi="Times New Roman"/>
          <w:i w:val="false"/>
          <w:sz w:val="22"/>
          <w:szCs w:val="22"/>
        </w:rPr>
        <w:t xml:space="preserve">13. Araştırma Etiği ve Araştırmacının Ahlakı</w:t>
      </w:r>
    </w:p>
    <w:p>
      <w:pPr>
        <w:spacing w:after="60" w:line="276"/>
        <w:ind w:left="567"/>
      </w:pPr>
      <w:r>
        <w:rPr>
          <w:rFonts w:ascii="Times New Roman" w:cs="Traditional Arabic" w:eastAsia="Times New Roman" w:hAnsi="Times New Roman"/>
          <w:i w:val="false"/>
          <w:sz w:val="22"/>
          <w:szCs w:val="22"/>
        </w:rPr>
        <w:t xml:space="preserve">14. Raporlaştırma ve Eser Telifi</w:t>
      </w:r>
    </w:p>
    <w:p>
      <w:pPr>
        <w:spacing w:after="60" w:line="276"/>
        <w:ind w:left="567"/>
      </w:pPr>
      <w:r>
        <w:rPr>
          <w:rFonts w:ascii="Times New Roman" w:cs="Traditional Arabic" w:eastAsia="Times New Roman" w:hAnsi="Times New Roman"/>
          <w:i w:val="false"/>
          <w:sz w:val="22"/>
          <w:szCs w:val="22"/>
        </w:rPr>
        <w:t xml:space="preserve">15. Nitel Araştırma Sonuçlarının Din Eğitimine Katkısı</w:t>
      </w:r>
    </w:p>
    <w:p>
      <w:pPr>
        <w:spacing w:after="60" w:line="276"/>
      </w:pPr>
      <w:r>
        <w:rPr>
          <w:rFonts w:ascii="Times New Roman" w:cs="Traditional Arabic" w:eastAsia="Times New Roman" w:hAnsi="Times New Roman"/>
          <w:b/>
          <w:bCs/>
          <w:i w:val="false"/>
          <w:sz w:val="22"/>
          <w:szCs w:val="22"/>
        </w:rPr>
        <w:t xml:space="preserve">SONUÇ</w:t>
      </w:r>
    </w:p>
    <w:p>
      <w:pPr>
        <w:spacing w:after="60" w:line="276"/>
      </w:pPr>
      <w:r>
        <w:rPr>
          <w:rFonts w:ascii="Times New Roman" w:cs="Traditional Arabic" w:eastAsia="Times New Roman" w:hAnsi="Times New Roman"/>
          <w:b/>
          <w:bCs/>
          <w:i w:val="false"/>
          <w:sz w:val="22"/>
          <w:szCs w:val="22"/>
        </w:rPr>
        <w:t xml:space="preserve">KAYNAKÇA</w:t>
      </w:r>
    </w:p>
    <w:p>
      <w:pPr>
        <w:pStyle w:val="Heading1"/>
        <w:pageBreakBefore/>
        <w:spacing w:after="360" w:before="600"/>
        <w:jc w:val="center"/>
      </w:pPr>
      <w:r>
        <w:rPr>
          <w:rFonts w:ascii="Times New Roman" w:cs="Traditional Arabic" w:eastAsia="Times New Roman" w:hAnsi="Times New Roman"/>
          <w:b/>
          <w:bCs/>
          <w:i w:val="false"/>
          <w:color w:val="1F3864"/>
          <w:sz w:val="28"/>
          <w:szCs w:val="28"/>
        </w:rPr>
        <w:t xml:space="preserve">ÖN SÖZ</w:t>
      </w:r>
    </w:p>
    <w:p>
      <w:pPr>
        <w:spacing w:after="120" w:line="360"/>
        <w:ind w:firstLine="567"/>
        <w:jc w:val="both"/>
      </w:pPr>
      <w:r>
        <w:rPr>
          <w:rFonts w:ascii="Times New Roman" w:cs="Traditional Arabic" w:eastAsia="Times New Roman" w:hAnsi="Times New Roman"/>
          <w:i w:val="false"/>
          <w:sz w:val="24"/>
          <w:szCs w:val="24"/>
        </w:rPr>
        <w:t xml:space="preserve">Din eğitimi, insanın en mahrem tecrübelerinden biriyle, inancıyla, ibadetiyle ve ahlakıyla ilgilenen bir alandır. Bu alanda sorulabilecek soruların bir kısmı, sayılarla ifade edilebilen davranışlardan çok, insanların yaşadıklarına yükledikleri anlamlarla ilgilidir. Bir öğrencinin namazı nasıl öğrendiği, bir Kur'an kursu hocasının talebesine nasıl seslendiği, bir ailenin çocuğuna dinî bir değeri hangi kelimelerle aktardığı ancak o tecrübenin içine bakabilen bir yöntemle anlaşılabilir. Bu kitap, din eğitimi alanında nitel araştırma yapmak isteyen araştırmacılara bu yöntemin kavramlarını, desenlerini, veri toplama ve analiz tekniklerini tanıtmayı amaçlamaktadır.</w:t>
      </w:r>
    </w:p>
    <w:p>
      <w:pPr>
        <w:spacing w:after="120" w:line="360"/>
        <w:ind w:firstLine="567"/>
        <w:jc w:val="both"/>
      </w:pPr>
      <w:r>
        <w:rPr>
          <w:rFonts w:ascii="Times New Roman" w:cs="Traditional Arabic" w:eastAsia="Times New Roman" w:hAnsi="Times New Roman"/>
          <w:i w:val="false"/>
          <w:sz w:val="24"/>
          <w:szCs w:val="24"/>
        </w:rPr>
        <w:t xml:space="preserve">Kitabın asıl iddiası ise bundan bir adım öteye geçmektedir. Modern sosyal bilimler, pozitivizmden yorumlayıcı ve yapılandırmacı yaklaşımlara, oradan hermenötik ve postmodern eleştiriye uzanan bir yolculuk sonunda, araştırmacının konumunu, geleneğin bilgideki payını ve anlamanın tarihselliğini kabul eden bir noktaya gelmiştir. Bu nokta, İslam ilim geleneğinin asırlar boyunca işlediği usul birikimiyle sahici bir konuşmanın kapısını aralamaktadır. Hadis usulünün râviye yönelttiği adalet ve zabt ölçütleri, fıkıh usulünün istikrâ, sebr ve taksîm, tahkîku'l-menât gibi akıl yürütme yolları, âdâbü'l-bahs ve'l-münâzara geleneği ve ilim ahlakı eserlerinin niyet ve emanet vurgusu, bugünün araştırmacısına yabancı bir geçmişin hatırası olarak değil, yeniden işlenmeye elverişli bir miras olarak sunulmaktadır. Bu kitapta söz konusu miras, Batı sosyal biliminin birikiminden azami ölçüde istifade edilerek, adına </w:t>
      </w:r>
      <w:r>
        <w:rPr>
          <w:rFonts w:ascii="Times New Roman" w:cs="Traditional Arabic" w:eastAsia="Times New Roman" w:hAnsi="Times New Roman"/>
          <w:i/>
          <w:iCs/>
          <w:sz w:val="24"/>
          <w:szCs w:val="24"/>
        </w:rPr>
        <w:t xml:space="preserve">tahkîk paradigması</w:t>
      </w:r>
      <w:r>
        <w:rPr>
          <w:rFonts w:ascii="Times New Roman" w:cs="Traditional Arabic" w:eastAsia="Times New Roman" w:hAnsi="Times New Roman"/>
          <w:i w:val="false"/>
          <w:sz w:val="24"/>
          <w:szCs w:val="24"/>
        </w:rPr>
        <w:t xml:space="preserve"> dediğimiz bir araştırma anlayışı halinde terkip edilmeye çalışılmıştır. Hedef, ne Batı'daki modellerin taklidi ne de onlara sırt çeviren bir içe kapanmadır. Hedef, kendi usul geleneğimizin araştırma tavrını günümüzün sorularına uyarlamak ve bunu yaparken modern yöntem bilgisinin sınanmış imkânlarını bu tavrın içine mezc etmektir.</w:t>
      </w:r>
    </w:p>
    <w:p>
      <w:pPr>
        <w:spacing w:after="120" w:line="360"/>
        <w:ind w:firstLine="567"/>
        <w:jc w:val="both"/>
      </w:pPr>
      <w:r>
        <w:rPr>
          <w:rFonts w:ascii="Times New Roman" w:cs="Traditional Arabic" w:eastAsia="Times New Roman" w:hAnsi="Times New Roman"/>
          <w:i w:val="false"/>
          <w:sz w:val="24"/>
          <w:szCs w:val="24"/>
        </w:rPr>
        <w:t xml:space="preserve">Kitap üç kısım ve on beş bölümden oluşmaktadır. Birinci kısım paradigma meselesini ele almakta; modern sosyal bilimlerdeki paradigma tartışmasının geldiği yeri, klasik bilgi yollarını ve bunların üzerine kurulan tahkîk paradigmasını ortaya koymaktadır. İkinci kısım veriye ulaşma sürecini, üçüncü kısım ise veriyi anlama, değerlendirme ve sunma sürecini işlemektedir. Her bölüm önce ele aldığı yöntemi modern kaynaklara dayanarak tanıtmakta, ardından bu yöntemle mukayese edilebilecek klasik metinleri okumakta, benzerlik ve ayrılık noktalarını belirtmekte ve bir din eğitimi uygulamasıyla tamamlanmaktadır.</w:t>
      </w:r>
    </w:p>
    <w:p>
      <w:pPr>
        <w:spacing w:after="120" w:line="360"/>
        <w:ind w:firstLine="567"/>
        <w:jc w:val="both"/>
      </w:pPr>
      <w:r>
        <w:rPr>
          <w:rFonts w:ascii="Times New Roman" w:cs="Traditional Arabic" w:eastAsia="Times New Roman" w:hAnsi="Times New Roman"/>
          <w:i w:val="false"/>
          <w:sz w:val="24"/>
          <w:szCs w:val="24"/>
        </w:rPr>
        <w:t xml:space="preserve">Kitabın dayandığı kaynaklar iki gruptadır. Klasik metinler el-Mektebetü'ş-Şâmile kütüphanesindeki eserlerden alınmıştır. Bu metinlerin bir kısmı, kitabın ilk taslağı ile yazarın </w:t>
      </w:r>
      <w:r>
        <w:rPr>
          <w:rFonts w:ascii="Times New Roman" w:cs="Traditional Arabic" w:eastAsia="Times New Roman" w:hAnsi="Times New Roman"/>
          <w:i/>
          <w:iCs/>
          <w:sz w:val="24"/>
          <w:szCs w:val="24"/>
        </w:rPr>
        <w:t xml:space="preserve">Sosyal Bilimler ve Din Eğitiminde Usul Meselesi</w:t>
      </w:r>
      <w:r>
        <w:rPr>
          <w:rFonts w:ascii="Times New Roman" w:cs="Traditional Arabic" w:eastAsia="Times New Roman" w:hAnsi="Times New Roman"/>
          <w:i w:val="false"/>
          <w:sz w:val="24"/>
          <w:szCs w:val="24"/>
        </w:rPr>
        <w:t xml:space="preserve"> ve </w:t>
      </w:r>
      <w:r>
        <w:rPr>
          <w:rFonts w:ascii="Times New Roman" w:cs="Traditional Arabic" w:eastAsia="Times New Roman" w:hAnsi="Times New Roman"/>
          <w:i/>
          <w:iCs/>
          <w:sz w:val="24"/>
          <w:szCs w:val="24"/>
        </w:rPr>
        <w:t xml:space="preserve">Sosyal Bilimlerde Metodlar</w:t>
      </w:r>
      <w:r>
        <w:rPr>
          <w:rFonts w:ascii="Times New Roman" w:cs="Traditional Arabic" w:eastAsia="Times New Roman" w:hAnsi="Times New Roman"/>
          <w:i w:val="false"/>
          <w:sz w:val="24"/>
          <w:szCs w:val="24"/>
        </w:rPr>
        <w:t xml:space="preserve"> başlıklı hazırlık çalışmalarında Şâmile'den bizzat okunarak teyit edilmiştir. Bu son gözden geçirme sırasında Şâmile'ye yeniden erişilemediği için söz konusu alıntılar, hazırlık çalışmalarındaki teyitli hâlleriyle aktarılmış ve ilgili doğrulama bloklarında bu durum ayrıca not edilmiştir. Modern yöntem bilgisi için Creswell'in </w:t>
      </w:r>
      <w:r>
        <w:rPr>
          <w:rFonts w:ascii="Times New Roman" w:cs="Traditional Arabic" w:eastAsia="Times New Roman" w:hAnsi="Times New Roman"/>
          <w:i/>
          <w:iCs/>
          <w:sz w:val="24"/>
          <w:szCs w:val="24"/>
        </w:rPr>
        <w:t xml:space="preserve">Araştırma Deseni</w:t>
      </w:r>
      <w:r>
        <w:rPr>
          <w:rFonts w:ascii="Times New Roman" w:cs="Traditional Arabic" w:eastAsia="Times New Roman" w:hAnsi="Times New Roman"/>
          <w:i w:val="false"/>
          <w:sz w:val="24"/>
          <w:szCs w:val="24"/>
        </w:rPr>
        <w:t xml:space="preserve"> ve </w:t>
      </w:r>
      <w:r>
        <w:rPr>
          <w:rFonts w:ascii="Times New Roman" w:cs="Traditional Arabic" w:eastAsia="Times New Roman" w:hAnsi="Times New Roman"/>
          <w:i/>
          <w:iCs/>
          <w:sz w:val="24"/>
          <w:szCs w:val="24"/>
        </w:rPr>
        <w:t xml:space="preserve">Karma Yöntem Araştırmalarına Giriş</w:t>
      </w:r>
      <w:r>
        <w:rPr>
          <w:rFonts w:ascii="Times New Roman" w:cs="Traditional Arabic" w:eastAsia="Times New Roman" w:hAnsi="Times New Roman"/>
          <w:i w:val="false"/>
          <w:sz w:val="24"/>
          <w:szCs w:val="24"/>
        </w:rPr>
        <w:t xml:space="preserve">, Yıldırım ile Şimşek'in </w:t>
      </w:r>
      <w:r>
        <w:rPr>
          <w:rFonts w:ascii="Times New Roman" w:cs="Traditional Arabic" w:eastAsia="Times New Roman" w:hAnsi="Times New Roman"/>
          <w:i/>
          <w:iCs/>
          <w:sz w:val="24"/>
          <w:szCs w:val="24"/>
        </w:rPr>
        <w:t xml:space="preserve">Sosyal Bilimlerde Nitel Araştırma Yöntemleri</w:t>
      </w:r>
      <w:r>
        <w:rPr>
          <w:rFonts w:ascii="Times New Roman" w:cs="Traditional Arabic" w:eastAsia="Times New Roman" w:hAnsi="Times New Roman"/>
          <w:i w:val="false"/>
          <w:sz w:val="24"/>
          <w:szCs w:val="24"/>
        </w:rPr>
        <w:t xml:space="preserve">, Gadamer'in </w:t>
      </w:r>
      <w:r>
        <w:rPr>
          <w:rFonts w:ascii="Times New Roman" w:cs="Traditional Arabic" w:eastAsia="Times New Roman" w:hAnsi="Times New Roman"/>
          <w:i/>
          <w:iCs/>
          <w:sz w:val="24"/>
          <w:szCs w:val="24"/>
        </w:rPr>
        <w:t xml:space="preserve">Hakikat ve Yöntem</w:t>
      </w:r>
      <w:r>
        <w:rPr>
          <w:rFonts w:ascii="Times New Roman" w:cs="Traditional Arabic" w:eastAsia="Times New Roman" w:hAnsi="Times New Roman"/>
          <w:i w:val="false"/>
          <w:sz w:val="24"/>
          <w:szCs w:val="24"/>
        </w:rPr>
        <w:t xml:space="preserve">, Bauman'ın </w:t>
      </w:r>
      <w:r>
        <w:rPr>
          <w:rFonts w:ascii="Times New Roman" w:cs="Traditional Arabic" w:eastAsia="Times New Roman" w:hAnsi="Times New Roman"/>
          <w:i/>
          <w:iCs/>
          <w:sz w:val="24"/>
          <w:szCs w:val="24"/>
        </w:rPr>
        <w:t xml:space="preserve">Hermenötik ve Sosyal Bilimler</w:t>
      </w:r>
      <w:r>
        <w:rPr>
          <w:rFonts w:ascii="Times New Roman" w:cs="Traditional Arabic" w:eastAsia="Times New Roman" w:hAnsi="Times New Roman"/>
          <w:i w:val="false"/>
          <w:sz w:val="24"/>
          <w:szCs w:val="24"/>
        </w:rPr>
        <w:t xml:space="preserve">, Beraha'nın </w:t>
      </w:r>
      <w:r>
        <w:rPr>
          <w:rFonts w:ascii="Times New Roman" w:cs="Traditional Arabic" w:eastAsia="Times New Roman" w:hAnsi="Times New Roman"/>
          <w:i/>
          <w:iCs/>
          <w:sz w:val="24"/>
          <w:szCs w:val="24"/>
        </w:rPr>
        <w:t xml:space="preserve">Bilimsel Düşünce ve Araştırma Metodolojisi</w:t>
      </w:r>
      <w:r>
        <w:rPr>
          <w:rFonts w:ascii="Times New Roman" w:cs="Traditional Arabic" w:eastAsia="Times New Roman" w:hAnsi="Times New Roman"/>
          <w:i w:val="false"/>
          <w:sz w:val="24"/>
          <w:szCs w:val="24"/>
        </w:rPr>
        <w:t xml:space="preserve">, Barnes'ın </w:t>
      </w:r>
      <w:r>
        <w:rPr>
          <w:rFonts w:ascii="Times New Roman" w:cs="Traditional Arabic" w:eastAsia="Times New Roman" w:hAnsi="Times New Roman"/>
          <w:i/>
          <w:iCs/>
          <w:sz w:val="24"/>
          <w:szCs w:val="24"/>
        </w:rPr>
        <w:t xml:space="preserve">T. S. Kuhn ve Sosyal Bilimler</w:t>
      </w:r>
      <w:r>
        <w:rPr>
          <w:rFonts w:ascii="Times New Roman" w:cs="Traditional Arabic" w:eastAsia="Times New Roman" w:hAnsi="Times New Roman"/>
          <w:i w:val="false"/>
          <w:sz w:val="24"/>
          <w:szCs w:val="24"/>
        </w:rPr>
        <w:t xml:space="preserve">, Hollinger'in </w:t>
      </w:r>
      <w:r>
        <w:rPr>
          <w:rFonts w:ascii="Times New Roman" w:cs="Traditional Arabic" w:eastAsia="Times New Roman" w:hAnsi="Times New Roman"/>
          <w:i/>
          <w:iCs/>
          <w:sz w:val="24"/>
          <w:szCs w:val="24"/>
        </w:rPr>
        <w:t xml:space="preserve">Postmodernizm ve Sosyal Bilimler</w:t>
      </w:r>
      <w:r>
        <w:rPr>
          <w:rFonts w:ascii="Times New Roman" w:cs="Traditional Arabic" w:eastAsia="Times New Roman" w:hAnsi="Times New Roman"/>
          <w:i w:val="false"/>
          <w:sz w:val="24"/>
          <w:szCs w:val="24"/>
        </w:rPr>
        <w:t xml:space="preserve">, Gordon'un </w:t>
      </w:r>
      <w:r>
        <w:rPr>
          <w:rFonts w:ascii="Times New Roman" w:cs="Traditional Arabic" w:eastAsia="Times New Roman" w:hAnsi="Times New Roman"/>
          <w:i/>
          <w:iCs/>
          <w:sz w:val="24"/>
          <w:szCs w:val="24"/>
        </w:rPr>
        <w:t xml:space="preserve">Sosyal Bilimler Tarihi ve Felsefesi</w:t>
      </w:r>
      <w:r>
        <w:rPr>
          <w:rFonts w:ascii="Times New Roman" w:cs="Traditional Arabic" w:eastAsia="Times New Roman" w:hAnsi="Times New Roman"/>
          <w:i w:val="false"/>
          <w:sz w:val="24"/>
          <w:szCs w:val="24"/>
        </w:rPr>
        <w:t xml:space="preserve"> ve Ergün ile Çoban'ın editörlüğündeki </w:t>
      </w:r>
      <w:r>
        <w:rPr>
          <w:rFonts w:ascii="Times New Roman" w:cs="Traditional Arabic" w:eastAsia="Times New Roman" w:hAnsi="Times New Roman"/>
          <w:i/>
          <w:iCs/>
          <w:sz w:val="24"/>
          <w:szCs w:val="24"/>
        </w:rPr>
        <w:t xml:space="preserve">Eğitim Felsefesi</w:t>
      </w:r>
      <w:r>
        <w:rPr>
          <w:rFonts w:ascii="Times New Roman" w:cs="Traditional Arabic" w:eastAsia="Times New Roman" w:hAnsi="Times New Roman"/>
          <w:i w:val="false"/>
          <w:sz w:val="24"/>
          <w:szCs w:val="24"/>
        </w:rPr>
        <w:t xml:space="preserve"> gibi eserlere ve Toker'in “Nitel Araştırma Paradigması ve Din” başlıklı makalesine başvurulmuştur. Bu eserlerden yalnızca yazarların kendi değerlendirmelerine atıf yapılmış, onların başka yazarlardan aktardıkları görüşler kullanılmamıştır.</w:t>
      </w:r>
    </w:p>
    <w:p>
      <w:pPr>
        <w:spacing w:after="120" w:line="360"/>
        <w:ind w:firstLine="567"/>
        <w:jc w:val="both"/>
      </w:pPr>
      <w:r>
        <w:rPr>
          <w:rFonts w:ascii="Times New Roman" w:cs="Traditional Arabic" w:eastAsia="Times New Roman" w:hAnsi="Times New Roman"/>
          <w:i w:val="false"/>
          <w:sz w:val="24"/>
          <w:szCs w:val="24"/>
        </w:rPr>
        <w:t xml:space="preserve">Okurun ve yazarın denetimini kolaylaştırmak için metinde bazı biçim kuralları uygulanmıştır. Atıf yapılan her paragrafın ardından, dayanılan özgün metin italik ve tırnak içinde, girintili bir doğrulama bloğu olarak verilmiştir. Arapça metinler sağdan sola yazılan ayrı paragraflardadır. Her bloğun altında köşeli ayraç içinde eserin Şâmile kayıt numarası ve basılı cilt ve sayfası ya da dosyanın adı ve basılı sayfası yer almaktadır. Bu bloklar kitabın son hâlinde çıkarılmak üzere ayrı bir biçimle dizilmiştir.</w:t>
      </w:r>
    </w:p>
    <w:p>
      <w:pPr>
        <w:spacing w:after="120" w:line="360"/>
        <w:ind w:firstLine="567"/>
        <w:jc w:val="both"/>
      </w:pPr>
      <w:r>
        <w:rPr>
          <w:rFonts w:ascii="Times New Roman" w:cs="Traditional Arabic" w:eastAsia="Times New Roman" w:hAnsi="Times New Roman"/>
          <w:i w:val="false"/>
          <w:sz w:val="24"/>
          <w:szCs w:val="24"/>
        </w:rPr>
        <w:t xml:space="preserve">Aksi belirtilmedikçe Arapça metinlerin ve âyetlerin çevirileri yazara aittir. Çevirilerde açıklayıcı eklemeler köşeli ayraç içinde verilmiştir. “3/72” biçimindeki gösterim üçüncü cildin yetmiş ikinci sayfasını ifade etmektedir. Baskı bilgisi yalnızca eserin kitap kartında görülebildiği durumlarda verilmiş, diğer yerlerde BASKI BİLGİSİ DOĞRULANAMADI ibaresi kullanılmıştır. Müelliflerin vefat tarihleri, sağlanan belgelerde doğrulanamadığı için metne konulmamıştır. Transkripsiyonda uzun ünlüler için â, î, û harfleri ve ayın için ʿ işareti kullanılmış, diğer harflerde sade Türkçe imla tercih edilmiştir.</w:t>
      </w:r>
    </w:p>
    <w:p>
      <w:pPr>
        <w:spacing w:after="120" w:line="360"/>
        <w:ind w:firstLine="567"/>
        <w:jc w:val="both"/>
      </w:pPr>
      <w:r>
        <w:rPr>
          <w:rFonts w:ascii="Times New Roman" w:cs="Traditional Arabic" w:eastAsia="Times New Roman" w:hAnsi="Times New Roman"/>
          <w:i w:val="false"/>
          <w:sz w:val="24"/>
          <w:szCs w:val="24"/>
        </w:rPr>
        <w:t xml:space="preserve">Her bölümdeki uygulama kısımlarında yer alan araştırma soruları, görüşme parçaları ve kodlama örnekleri kurgusaldır ve “kurgusal örnek” ibaresiyle işaretlenmiştir. Bunlar gerçek bir araştırmanın bulgusu değildir. Kaynaklarda dayanağı bulunamayan yerler SAĞLANAN BELGELERDE KAYNAK BULUNAMADI ibaresiyle, doğruluğu teyit edilemeyen bilgiler de [DOĞRULANAMADI] işaretiyle gösterilmiştir.</w:t>
      </w:r>
    </w:p>
    <w:p>
      <w:pPr>
        <w:spacing w:after="120" w:line="360"/>
        <w:ind w:firstLine="567"/>
        <w:jc w:val="both"/>
      </w:pPr>
      <w:r>
        <w:rPr>
          <w:rFonts w:ascii="Times New Roman" w:cs="Traditional Arabic" w:eastAsia="Times New Roman" w:hAnsi="Times New Roman"/>
          <w:i w:val="false"/>
          <w:sz w:val="24"/>
          <w:szCs w:val="24"/>
        </w:rPr>
        <w:t xml:space="preserve">Kitap, yüksek lisans ve doktora öğrencilerinin, ilahiyat fakültelerinin öğretim elemanlarının, din kültürü ve ahlak bilgisi ile imam hatip okulu öğretmenlerinin ve yaygın din eğitimi alanında çalışan araştırmacıların kullanımı düşünülerek hazırlanmıştır. Lisansüstü derslerde bölümler, ilgili klasik metinlerin aslından okunmasıyla birlikte işlenebilir. Böylece öğrenciler hem nitel araştırmanın kavramlarını hem de kendi ilim geleneklerinin usul dilini birlikte tanıma imkânı bulabilir. Atıf denetim tablosu, doğrulanamayan noktaların listesi ve basılı nüshadan teyit edilmesi gereken yerler, kitaba dahil edilmeyen ayrı bir denetim dosyasında yazarın kullanımına sunulmuştur.</w:t>
      </w:r>
    </w:p>
    <w:p>
      <w:pPr>
        <w:pStyle w:val="Heading1"/>
        <w:pageBreakBefore/>
        <w:spacing w:after="360" w:before="600"/>
        <w:jc w:val="center"/>
      </w:pPr>
      <w:r>
        <w:rPr>
          <w:rFonts w:ascii="Times New Roman" w:cs="Traditional Arabic" w:eastAsia="Times New Roman" w:hAnsi="Times New Roman"/>
          <w:b/>
          <w:bCs/>
          <w:i w:val="false"/>
          <w:color w:val="1F3864"/>
          <w:sz w:val="28"/>
          <w:szCs w:val="28"/>
        </w:rPr>
        <w:t xml:space="preserve">GİRİŞ</w:t>
      </w:r>
    </w:p>
    <w:p>
      <w:pPr>
        <w:pStyle w:val="Heading2"/>
        <w:keepNext/>
        <w:spacing w:after="120" w:before="240"/>
      </w:pPr>
      <w:r>
        <w:rPr>
          <w:rFonts w:ascii="Times New Roman" w:cs="Traditional Arabic" w:eastAsia="Times New Roman" w:hAnsi="Times New Roman"/>
          <w:b/>
          <w:bCs/>
          <w:i w:val="false"/>
          <w:sz w:val="24"/>
          <w:szCs w:val="24"/>
        </w:rPr>
        <w:t xml:space="preserve">Din Eğitiminde Yöntem Meselesi ve Klasik Usul Mirasının İmkânı</w:t>
      </w:r>
    </w:p>
    <w:p>
      <w:pPr>
        <w:pStyle w:val="Heading2"/>
        <w:keepNext/>
        <w:spacing w:after="120" w:before="240"/>
      </w:pPr>
      <w:r>
        <w:rPr>
          <w:rFonts w:ascii="Times New Roman" w:cs="Traditional Arabic" w:eastAsia="Times New Roman" w:hAnsi="Times New Roman"/>
          <w:b/>
          <w:bCs/>
          <w:i w:val="false"/>
          <w:sz w:val="24"/>
          <w:szCs w:val="24"/>
        </w:rPr>
        <w:t xml:space="preserve">Din Eğitimi Araştırmalarında Anlam Sorunu</w:t>
      </w:r>
    </w:p>
    <w:p>
      <w:pPr>
        <w:spacing w:after="120" w:line="360"/>
        <w:ind w:firstLine="567"/>
        <w:jc w:val="both"/>
      </w:pPr>
      <w:r>
        <w:rPr>
          <w:rFonts w:ascii="Times New Roman" w:cs="Traditional Arabic" w:eastAsia="Times New Roman" w:hAnsi="Times New Roman"/>
          <w:i w:val="false"/>
          <w:sz w:val="24"/>
          <w:szCs w:val="24"/>
        </w:rPr>
        <w:t xml:space="preserve">Din eğitimi araştırmacısı, çalıştığı konunun kendine has bir yapısı olduğunu kısa sürede fark etmektedir. Bir öğrencinin bir dinî kavramı ne kadar bildiği belli ölçüde sınanabilir. Ne var ki o kavramın öğrencinin hayatında neye karşılık geldiği, ona hangi duyguyla bağlandığı, ailesinden ve çevresinden duyduklarıyla onu nasıl birleştirdiği gibi sorular, cevap şıkları önceden hazırlanmış bir ölçme aracıyla ancak kısmen yakalanabilmektedir. İnanç, ibadet ve ahlak, insanın iç dünyasında ve içinde yaşadığı toplulukta anlam kazanan tecrübelerdir. Bu tecrübeleri anlamaya çalışan bir araştırma, onları yaşayan insanların sözüne, davranışına ve bağlamına yakın durmak zorundadır.</w:t>
      </w:r>
    </w:p>
    <w:p>
      <w:pPr>
        <w:spacing w:after="120" w:line="360"/>
        <w:ind w:firstLine="567"/>
        <w:jc w:val="both"/>
      </w:pPr>
      <w:r>
        <w:rPr>
          <w:rFonts w:ascii="Times New Roman" w:cs="Traditional Arabic" w:eastAsia="Times New Roman" w:hAnsi="Times New Roman"/>
          <w:i w:val="false"/>
          <w:sz w:val="24"/>
          <w:szCs w:val="24"/>
        </w:rPr>
        <w:t xml:space="preserve">İhsan Toker, makalesinin sonuç kısmında nitel boyutun din araştırmalarındaki yerinin önceden beri tartışma ve şüphe konusu olduğunu belirtmektedir.</w:t>
      </w:r>
      <w:r>
        <w:rPr>
          <w:rStyle w:val="FootnoteReference"/>
        </w:rPr>
        <w:footnoteReference w:id="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Toker'e göre şimdiye kadar nicel araştırma anlayışının egemen olması sebebiyle nitel boyut büyük ölçüde dışlanmış bulunmaktadır.</w:t>
      </w:r>
      <w:r>
        <w:rPr>
          <w:rStyle w:val="FootnoteReference"/>
        </w:rPr>
        <w:footnoteReference w:id="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Toker'in tespiti genel olarak din araştırmalarına dairdir. Kanaatimizce bu tespitin din eğitimi araştırmaları için de sınanmaya değer bir soru ortaya koyduğu söylenebilir. Ne var ki din eğitimi alanında yapılan araştırmaların hangi oranda nicel ya da nitel desenlere dayandığını gösteren bir veri bu çalışmanın dayandığı belgelerde yer almamaktadır [SAĞLANAN BELGELERDE KAYNAK BULUNAMADI]. Bu nedenle burada bir durum tespiti yapılmamakta, yalnızca bir soru kaydedilmektedir.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boyutun din araştırmalarındaki yeri önceden beri tartışma ve şüphe konusu olmuştur.”</w:t>
      </w:r>
    </w:p>
    <w:p>
      <w:pPr>
        <w:pStyle w:val="Dogrulama"/>
        <w:spacing w:after="80" w:line="240"/>
        <w:ind w:left="567"/>
      </w:pPr>
      <w:r>
        <w:rPr>
          <w:rFonts w:ascii="Times New Roman" w:cs="Traditional Arabic" w:eastAsia="Times New Roman" w:hAnsi="Times New Roman"/>
          <w:i w:val="false"/>
          <w:color w:val="7F7F7F"/>
          <w:sz w:val="18"/>
          <w:szCs w:val="18"/>
        </w:rPr>
        <w:t xml:space="preserve">[Dosya: 18f10c14-nitel_ara_t_rma_paradigmas__ve_din.pdf, basılı s. 71, PDF s. 19]</w:t>
      </w:r>
    </w:p>
    <w:p>
      <w:pPr>
        <w:pStyle w:val="Dogrulama"/>
        <w:spacing w:after="20" w:line="276"/>
        <w:ind w:left="567"/>
        <w:jc w:val="both"/>
      </w:pPr>
      <w:r>
        <w:rPr>
          <w:rFonts w:ascii="Times New Roman" w:cs="Traditional Arabic" w:eastAsia="Times New Roman" w:hAnsi="Times New Roman"/>
          <w:i/>
          <w:iCs/>
          <w:sz w:val="22"/>
          <w:szCs w:val="22"/>
        </w:rPr>
        <w:t xml:space="preserve">“Şimdiye kadar nicel paradigmanın egemen olması sebebiyle söz konusu nitel boyut, büyük ölçüde dışlanmış bulunmaktadır.”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18f10c14-nitel_ara_t_rma_paradigmas__ve_din.pdf, basılı s. 72, PDF s. 20]</w:t>
      </w:r>
    </w:p>
    <w:p>
      <w:pPr>
        <w:spacing w:after="120" w:line="360"/>
        <w:ind w:firstLine="567"/>
        <w:jc w:val="both"/>
      </w:pPr>
      <w:r>
        <w:rPr>
          <w:rFonts w:ascii="Times New Roman" w:cs="Traditional Arabic" w:eastAsia="Times New Roman" w:hAnsi="Times New Roman"/>
          <w:i w:val="false"/>
          <w:sz w:val="24"/>
          <w:szCs w:val="24"/>
        </w:rPr>
        <w:t xml:space="preserve">Toker'e göre makalesinde andığı son gelişmeler, din alanında nitel çalışmaların önemini, hatta zorunluluğunu ortaya koyuyor görünmektedir.</w:t>
      </w:r>
      <w:r>
        <w:rPr>
          <w:rStyle w:val="FootnoteReference"/>
        </w:rPr>
        <w:footnoteReference w:id="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 açısından bu değerlendirme şöyle okunabilir: Eğitim süreci bir bilgi aktarımı olduğu kadar bir anlam inşasıdır ve bu inşanın nasıl gerçekleştiğini anlamak isteyen araştırmacı, onun yaşandığı yerde, onu yaşayanların diliyle çalışmak durumundadır.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“Ancak görünen odur ki, yukarıda belirtilen son gelişmeler din alanında nitel çalışmaların önemi ve hatta zorunluluğunu ortaya koyuyor görünmektedirler.”</w:t>
      </w:r>
    </w:p>
    <w:p>
      <w:pPr>
        <w:pStyle w:val="Dogrulama"/>
        <w:spacing w:after="80" w:line="240"/>
        <w:ind w:left="567"/>
      </w:pPr>
      <w:r>
        <w:rPr>
          <w:rFonts w:ascii="Times New Roman" w:cs="Traditional Arabic" w:eastAsia="Times New Roman" w:hAnsi="Times New Roman"/>
          <w:i w:val="false"/>
          <w:color w:val="7F7F7F"/>
          <w:sz w:val="18"/>
          <w:szCs w:val="18"/>
        </w:rPr>
        <w:t xml:space="preserve">[Dosya: 18f10c14-nitel_ara_t_rma_paradigmas__ve_din.pdf, basılı s. 72, PDF s. 20]</w:t>
      </w:r>
    </w:p>
    <w:p>
      <w:pPr>
        <w:spacing w:after="120" w:line="360"/>
        <w:ind w:firstLine="567"/>
        <w:jc w:val="both"/>
      </w:pPr>
      <w:r>
        <w:rPr>
          <w:rFonts w:ascii="Times New Roman" w:cs="Traditional Arabic" w:eastAsia="Times New Roman" w:hAnsi="Times New Roman"/>
          <w:i w:val="false"/>
          <w:sz w:val="24"/>
          <w:szCs w:val="24"/>
        </w:rPr>
        <w:t xml:space="preserve">Toker kendi çalışmasının asıl amacını da nitel araştırmanın din bakımından konumunu, barındırdığı imkân ve olasılıkları ve dinî araştırma alanında ortaya koyabildiği performansı ele almak olarak tanımlamaktadır.</w:t>
      </w:r>
      <w:r>
        <w:rPr>
          <w:rStyle w:val="FootnoteReference"/>
        </w:rPr>
        <w:footnoteReference w:id="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Elinizdeki kitap bu soruyu din eğitimi alanına taşımaktadır. Ancak burada sorulan soru yalnızca nitel araştırmanın din eğitimine ne katabileceği değildir. Kitap, aynı zamanda din eğitimcisinin ve ilahiyatçının elinde bulunan klasik usul birikiminin bu araştırma anlayışıyla nasıl bir konuşmaya girebileceğini de sormaktadır.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“Bu çalışmanın asıl amacı ise, nitel araştırmanın din bakımından konumu, barındırdığı imkânlar ve olasılıklar ve tabii, onun dinî araştırma alanında ortaya koyabildiği performans bakımından ele alınmasıdır.”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18f10c14-nitel_ara_t_rma_paradigmas__ve_din.pdf, basılı s. 56, PDF s. 4]</w:t>
      </w:r>
    </w:p>
    <w:p>
      <w:pPr>
        <w:pStyle w:val="Heading2"/>
        <w:keepNext/>
        <w:spacing w:after="120" w:before="240"/>
      </w:pPr>
      <w:r>
        <w:rPr>
          <w:rFonts w:ascii="Times New Roman" w:cs="Traditional Arabic" w:eastAsia="Times New Roman" w:hAnsi="Times New Roman"/>
          <w:b/>
          <w:bCs/>
          <w:i w:val="false"/>
          <w:sz w:val="24"/>
          <w:szCs w:val="24"/>
        </w:rPr>
        <w:t xml:space="preserve">Klasik Usul Mirasına Neden Başvurulmaktadır?</w:t>
      </w:r>
    </w:p>
    <w:p>
      <w:pPr>
        <w:spacing w:after="120" w:line="360"/>
        <w:ind w:firstLine="567"/>
        <w:jc w:val="both"/>
      </w:pPr>
      <w:r>
        <w:rPr>
          <w:rFonts w:ascii="Times New Roman" w:cs="Traditional Arabic" w:eastAsia="Times New Roman" w:hAnsi="Times New Roman"/>
          <w:i w:val="false"/>
          <w:sz w:val="24"/>
          <w:szCs w:val="24"/>
        </w:rPr>
        <w:t xml:space="preserve">İslam ilim geleneği bilginin kaynakları, nakledilen sözün korunması ve sınanması, metnin bağlamı içinde anlaşılması, tümevarıma dayanan çıkarım ve ilim ehlinin ahlakı konularında asırlar boyunca işlenmiş bir usul birikimine sahiptir. Hadis usulü râvinin dürüstlüğünü ve kaydının sağlamlığını, fıkıh usulü delilden hüküm çıkarmanın yollarını, Kur'an ilimleri metnin iniş sebeplerini ve anlam katmanlarını, ilim ahlakı eserleri de hoca ile talebe arasındaki ilişkiyi ayrıntılı biçimde tartışmıştır. Bu kitapta savunulan düşünce, söz konusu birikimin nitel araştırmanın anlam, bağlam ve yorum merkezli yaklaşımıyla belli noktalarda verimli bir karşılaştırmaya imkân verdiğidir. Bu düşünce kitabın baştan kabul edilmiş bir sonucu değil, metinler üzerinde sınanacak bir çalışma hipotezidir.</w:t>
      </w:r>
    </w:p>
    <w:p>
      <w:pPr>
        <w:spacing w:after="120" w:line="360"/>
        <w:ind w:firstLine="567"/>
        <w:jc w:val="both"/>
      </w:pPr>
      <w:r>
        <w:rPr>
          <w:rFonts w:ascii="Times New Roman" w:cs="Traditional Arabic" w:eastAsia="Times New Roman" w:hAnsi="Times New Roman"/>
          <w:i w:val="false"/>
          <w:sz w:val="24"/>
          <w:szCs w:val="24"/>
        </w:rPr>
        <w:t xml:space="preserve">Bu hipotezin din eğitimcisi için ayrı bir anlamı bulunmaktadır. Din eğitimi, öğrenciyi körü körüne bir kabulden delile dayanan bir kanaate taşımayı hedefleyen bir faaliyet olarak düşünüldüğünde, klasik kelâm geleneğinin taklit ile tahkik arasında yaptığı ayrım doğrudan bu alanın konusudur. Mâtürîdî </w:t>
      </w:r>
      <w:r>
        <w:rPr>
          <w:rFonts w:ascii="Times New Roman" w:cs="Traditional Arabic" w:eastAsia="Times New Roman" w:hAnsi="Times New Roman"/>
          <w:i/>
          <w:iCs/>
          <w:sz w:val="24"/>
          <w:szCs w:val="24"/>
        </w:rPr>
        <w:t xml:space="preserve">Kitâbü't-Tevhîd</w:t>
      </w:r>
      <w:r>
        <w:rPr>
          <w:rFonts w:ascii="Times New Roman" w:cs="Traditional Arabic" w:eastAsia="Times New Roman" w:hAnsi="Times New Roman"/>
          <w:i w:val="false"/>
          <w:sz w:val="24"/>
          <w:szCs w:val="24"/>
        </w:rPr>
        <w:t xml:space="preserve">'in başında insanların dinî meşreplerde birbirinden ayrıldığı halde her birinin kendi tuttuğu yolu hak, ötekinin yolunu batıl saydığını ve hepsinin taklit ettiği bir selefi bulunduğunu tespit etmektedir. Ona göre taklit sahibini mazur kılmaz, çünkü onun bir benzeri karşıt görüşü tutanda da bulunmaktadır ve taklitte sayı çokluğundan başka bir şey yoktur.</w:t>
      </w:r>
      <w:r>
        <w:rPr>
          <w:rStyle w:val="FootnoteReference"/>
        </w:rPr>
        <w:footnoteReference w:id="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Mâtürîdî bu tespitin ardından dinin kendisiyle bilindiği aslın iki yönü bulunduğunu, bunlardan birinin semʿ (nakil), diğerinin akıl olduğunu söylemektedir.</w:t>
      </w:r>
      <w:r>
        <w:rPr>
          <w:rStyle w:val="FootnoteReference"/>
        </w:rPr>
        <w:footnoteReference w:id="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“فَإنَّا وجدنَا النَّاس مختلفي الْمذَاهب فِي النَّحْل فِي الدّين متفقين على إختلافهم فِي الدّين على كلمة وَاحِدَة أَن الَّذِي هُوَ عَلَيْهِ حق وَالَّذِي عَلَيْهِ غَيره بَاطِل على اتِّفَاق جُمْلَتهمْ من أَن كلا مِنْهُم لَهُ سلف يُقَلّد فَثَبت أَن التَّقْلِيد لَيْسَ مِمَّا يعْذر صَاحبه لإصابة مثله ضِدّه على أَنه لَيْسَ فِيهِ سوى كَثْرَة الْعدَد”</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6365, page_id 1, basılı s. 3]</w:t>
      </w:r>
    </w:p>
    <w:p>
      <w:pPr>
        <w:pStyle w:val="DogrulamaAR"/>
        <w:bidi/>
        <w:spacing w:after="20" w:line="300"/>
        <w:ind w:end="567"/>
        <w:jc w:val="both"/>
      </w:pPr>
      <w:r>
        <w:rPr>
          <w:rFonts w:ascii="Times New Roman" w:cs="Traditional Arabic" w:eastAsia="Times New Roman" w:hAnsi="Times New Roman"/>
          <w:i/>
          <w:iCs/>
          <w:sz w:val="24"/>
          <w:szCs w:val="30"/>
          <w:rtl/>
        </w:rPr>
        <w:t xml:space="preserve">“ثمَّ أصل مَا يعرف بِهِ الدّين إِذْ لابد أَن يكون لهَذَا الْخلق دين يلْزمهُم الإجتماع عَلَيْهِ وأصل يلْزمهُم الْفَزع إِلَيْهِ وَجْهَان أَحدهمَا السّمع وَالْآخر الْعقل”</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6365, page_id 2, basılı s. 4]</w:t>
      </w:r>
    </w:p>
    <w:p>
      <w:pPr>
        <w:spacing w:after="120" w:line="360"/>
        <w:ind w:firstLine="567"/>
        <w:jc w:val="both"/>
      </w:pPr>
      <w:r>
        <w:rPr>
          <w:rFonts w:ascii="Times New Roman" w:cs="Traditional Arabic" w:eastAsia="Times New Roman" w:hAnsi="Times New Roman"/>
          <w:i w:val="false"/>
          <w:sz w:val="24"/>
          <w:szCs w:val="24"/>
        </w:rPr>
        <w:t xml:space="preserve">Bu pasaj iki bakımdan kitabın konusuyla ilgilidir. Birincisi, Mâtürîdî bilgiyi bir kaynağa ve bir delile bağlamakta, kanaatin değerini taşıyıcılarının sayısıyla ölçmeyi reddetmektedir. Kanaatimizce “sayı çokluğundan başka bir şey olmaması” ifadesi, sayısal genellemenin nitel araştırmanın önemini ve geçerliğini saptamada önemli bir ölçüt olmadığı yönündeki görüşle</w:t>
      </w:r>
      <w:r>
        <w:rPr>
          <w:rStyle w:val="FootnoteReference"/>
        </w:rPr>
        <w:footnoteReference w:id="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karşılaştırılmaya değerdir. İki bağlam arasındaki fark ise açıktır. Mâtürîdî dinî bir inancın doğruluğunu tartışmaktadır. Nitel araştırma ise bir inancın doğruluğunu değil, o inancın insanlar için ne ifade ettiğini araştırmaktadır. İkincisi, pasaj din eğitiminin kendi amacına dair bir hatırlatma içermektedir. Taklitten tahkike geçişi hedefleyen bir eğitimin araştırılması, araştırmacının da yöntem konusunda taklitçi olmamasını gerektirmektedir. Başka alanlardan alınan bir aracı sorgulamadan kullanmak ile kendi geleneğinden gelen bir kavramı sorgulamadan modern bir kavrama eşitlemek, aynı türden iki kolaycılıktır.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“Bu nedenle nitel araştırma, genellenebilir sonuçlar üretme çabası içinde değildir ve özellikle”sayısal genelleme” nitel araştırmanın önemini ve geçerliğini saptamada önemli bir ölçüt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42-43, PDF s. 40-41]</w:t>
      </w:r>
    </w:p>
    <w:p>
      <w:pPr>
        <w:pStyle w:val="Heading2"/>
        <w:keepNext/>
        <w:spacing w:after="120" w:before="240"/>
      </w:pPr>
      <w:r>
        <w:rPr>
          <w:rFonts w:ascii="Times New Roman" w:cs="Traditional Arabic" w:eastAsia="Times New Roman" w:hAnsi="Times New Roman"/>
          <w:b/>
          <w:bCs/>
          <w:i w:val="false"/>
          <w:sz w:val="24"/>
          <w:szCs w:val="24"/>
        </w:rPr>
        <w:t xml:space="preserve">Kaçınılması Gereken İki Tutum</w:t>
      </w:r>
    </w:p>
    <w:p>
      <w:pPr>
        <w:spacing w:after="120" w:line="360"/>
        <w:ind w:firstLine="567"/>
        <w:jc w:val="both"/>
      </w:pPr>
      <w:r>
        <w:rPr>
          <w:rFonts w:ascii="Times New Roman" w:cs="Traditional Arabic" w:eastAsia="Times New Roman" w:hAnsi="Times New Roman"/>
          <w:i w:val="false"/>
          <w:sz w:val="24"/>
          <w:szCs w:val="24"/>
        </w:rPr>
        <w:t xml:space="preserve">Klasik usul ile nitel araştırmayı karşılaştıran bir çalışma iki tehlikeyle yüz yüzedir. Bunlardan ilki anakronizmdir. Bîrûnî'yi bir etnograf, Gazzâlî'yi bir fenomenolog, muhaddisleri birer nitel araştırmacı gibi sunmak, bu âlimlerin kendi sorularını ve kendi dünyalarını görmezden gelmek demektir. İkincisi savunmacı yaklaşımdır. Her modern kavrama mutlaka bir klasik karşılık bulmaya çalışmak ve “bu zaten bizde vardı” türünden hükümler kurmak, hem klasik geleneğe hem de modern araştırmaya haksızlık etmektedir. Bu kitapta bir klasik kavram ile bir modern kavram yan yana getirildiğinde, ikisinin nerede örtüştüğü ve nerede ayrıldığı ayrıca yazılmıştır. Her bölümün sonunda yer alan kavram eşleştirme tabloları bu amaçla hazırlanmıştır. Benzerliğin klasik metnin kendisinden okunamadığı yerlerde yorum yazara aittir ve “kanaatimizce” gibi ifadelerle ayrılmıştır.</w:t>
      </w:r>
    </w:p>
    <w:p>
      <w:pPr>
        <w:spacing w:after="120" w:line="360"/>
        <w:ind w:firstLine="567"/>
        <w:jc w:val="both"/>
      </w:pPr>
      <w:r>
        <w:rPr>
          <w:rFonts w:ascii="Times New Roman" w:cs="Traditional Arabic" w:eastAsia="Times New Roman" w:hAnsi="Times New Roman"/>
          <w:i w:val="false"/>
          <w:sz w:val="24"/>
          <w:szCs w:val="24"/>
        </w:rPr>
        <w:t xml:space="preserve">Bu iki genel uyarıya, kitabın yazımı sırasında belirginleşen iki özel daraltma eklenmelidir. Birinci daraltma görüşme verisinin niteliğiyle ilgilidir. Klasik haber tenkidi, bir rivayetin delil olarak kullanılıp kullanılamayacağına karar vermeye çalışır. İbnü's-Salâh, rivayeti delil olarak kullanılacak kişinin adil olmasının ve rivayet ettiğini zabtetmesinin hadis ve fıkıh imamlarının büyük çoğunluğu tarafından şart koşulduğunu kaydetmektedir.</w:t>
      </w:r>
      <w:r>
        <w:rPr>
          <w:rStyle w:val="FootnoteReference"/>
        </w:rPr>
        <w:footnoteReference w:id="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araştırmada ise bir katılımcının anlatımı, onun anlam dünyasını ve tecrübesini ifade eden bir veridir. Araştırmacı bu anlatımı doğru ya da yanlış diye sınıflandırmak için değil, anlamak için toplar. Bu sebeple hadis usulündeki cerh ve taʿdîl ölçütleri, özellikle adalet ve zabt, bu kitapta katılımcıya değil, katılımcının sözünü kaydeden, aktaran ve raporlayan araştırmacıya uygulanmıştır. Araştırmacının dürüstlüğü ve kayıt titizliği, klasik râvi tenkidinin modern araştırmaya en sağlam biçimde taşınabilen yönüdür.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“أَجْمَعَ جَمَاهِيرُ أَئِمَّةِ الْحَدِيثِ وَالْفِقْهِ عَلَى: أَنَّهُ يُشْتَرَطُ فِيمَنْ يُحْتَجُّ بِرِوَايَتِهِ أَنْ يَكُونَ عَدْلًا، ضَابِطًا لِمَا يَرْوِيهِ، وَتَفْصِيلُهُ أَنْ يَكُونَ مُسْلِمًا، بَالِغًا، عَاقِلًا، سَالِمًا مِنْ أَسْبَابِ الْفِسْقِ وَخَوَارِمِ الْمُرُوءَةِ، مُتَيَقِّظًا غَيْرَ مُغَفَّلٍ، حَافِظًا إِنْ حَدَّثَ مِنْ حِفْظِهِ، ضَابِطًا لِكِتَابِهِ”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101, basılı s. 104]</w:t>
      </w:r>
    </w:p>
    <w:p>
      <w:pPr>
        <w:spacing w:after="120" w:line="360"/>
        <w:ind w:firstLine="567"/>
        <w:jc w:val="both"/>
      </w:pPr>
      <w:r>
        <w:rPr>
          <w:rFonts w:ascii="Times New Roman" w:cs="Traditional Arabic" w:eastAsia="Times New Roman" w:hAnsi="Times New Roman"/>
          <w:i w:val="false"/>
          <w:sz w:val="24"/>
          <w:szCs w:val="24"/>
        </w:rPr>
        <w:t xml:space="preserve">İkinci daraltma tevâtür kavramıyla ilgilidir. İbn Hacer’in tarifine göre bir haberin mütevâtir sayılabilmesi için, âdetin yalan üzerinde anlaşmalarını ya da tesadüfen birleşmelerini imkânsız kıldığı çok sayıda kişinin, başından sonuna kadar kendileri gibi olanlardan nakletmesi, bu naklin nihai dayanağının duyular olması ve haberin dinleyene ilim ifade etmesi gerekmektedir.</w:t>
      </w:r>
      <w:r>
        <w:rPr>
          <w:rStyle w:val="FootnoteReference"/>
        </w:rPr>
        <w:footnoteReference w:id="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Tevâtürde sayı, tek bir vâkıa hakkında birbirinden bağımsız şehadetlerin sayısıdır ve amaç o vâkıa hakkında kesin bilgiye ulaşmaktır. Nitel araştırmada ise amaçlı örnekleme yöntemlerine başvurulmakta,</w:t>
      </w:r>
      <w:r>
        <w:rPr>
          <w:rStyle w:val="FootnoteReference"/>
        </w:rPr>
        <w:footnoteReference w:id="1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veri toplama da temalar birbirini tekrar etmeye başladığında sonlandırılabilmektedir.</w:t>
      </w:r>
      <w:r>
        <w:rPr>
          <w:rStyle w:val="FootnoteReference"/>
        </w:rPr>
        <w:footnoteReference w:id="1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nedenle tevâtür ile örneklem büyüklüğü arasında bir benzerlik kurulmamıştır. Altıncı bölümde gösterileceği üzere örneklem meselesinin klasik usûldeki asıl karşılığı tevâtür değil istikrâdır. Mâtürîdî'nin sayı çokluğuna dair yukarıdaki tespiti de bu bakımdan bir ölçü olarak değil, bir hatırlatma olarak anılmıştır.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«فإذا جَمَعَ هذه الشروطَ الأربعةَ وهي: عددٌ كثير أحالت العادةُ تواطؤهم أو توافقهم على الكذب. رَوَوا ذلك عن مثلهم من الابتداء إلى الانتهاء. وكان مستند انْتِهائِهم الحِسّ. وانضاف إلى ذلك أن يصحبَ خبرَهم إفادةُ العلم لسامعه. فهذا هو المتواتِر.»</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1565, basılı s. 43. Kaynak dosya: Sosyal_Bilimlerde_Metodlar_Kitap_Tasarimi_2.docx, 16.2. kısım (Şâmile’den teyit edilmiş alıntı). Kaynak dosyada matbu nüshadaki madde tirelerinin çıkarıldığı belirtilmektedir. Bu çalışmada Şâmile’ye erişilemediği için metin yeniden karşılaştırılamamıştır.]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“Nicel araştırma geleneği içinde gelişen, ancak nitel araştırmacılar tarafından da sınırlı biçimde kullanılan olasılık temelli örnekleme yöntemlerinin tersine amaçlı örnekleme yöntemleri, tam anlamıyla nitel araştırma geleneği içinde ortaya çıkmıştır.”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107, PDF s. 105]</w:t>
      </w:r>
    </w:p>
    <w:p>
      <w:pPr>
        <w:pStyle w:val="Dogrulama"/>
        <w:spacing w:after="20" w:line="276"/>
        <w:ind w:left="567"/>
        <w:jc w:val="both"/>
      </w:pPr>
      <w:r>
        <w:rPr>
          <w:rFonts w:ascii="Times New Roman" w:cs="Traditional Arabic" w:eastAsia="Times New Roman" w:hAnsi="Times New Roman"/>
          <w:i/>
          <w:iCs/>
          <w:sz w:val="22"/>
          <w:szCs w:val="22"/>
        </w:rPr>
        <w:t xml:space="preserve">“Araştırma sorularına ilişkin toplanan verilerin analizi sonucunda temalar artık birbirini tekrar etmeye başladığı zaman veri toplamayı sonlandırma kararı verilebilir.”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302, PDF s. 300]</w:t>
      </w:r>
    </w:p>
    <w:p>
      <w:pPr>
        <w:pStyle w:val="Heading2"/>
        <w:keepNext/>
        <w:spacing w:after="120" w:before="240"/>
      </w:pPr>
      <w:r>
        <w:rPr>
          <w:rFonts w:ascii="Times New Roman" w:cs="Traditional Arabic" w:eastAsia="Times New Roman" w:hAnsi="Times New Roman"/>
          <w:b/>
          <w:bCs/>
          <w:i w:val="false"/>
          <w:sz w:val="24"/>
          <w:szCs w:val="24"/>
        </w:rPr>
        <w:t xml:space="preserve">Kitabın Kurgusu</w:t>
      </w:r>
    </w:p>
    <w:p>
      <w:pPr>
        <w:spacing w:after="120" w:line="360"/>
        <w:ind w:firstLine="567"/>
        <w:jc w:val="both"/>
      </w:pPr>
      <w:r>
        <w:rPr>
          <w:rFonts w:ascii="Times New Roman" w:cs="Traditional Arabic" w:eastAsia="Times New Roman" w:hAnsi="Times New Roman"/>
          <w:i w:val="false"/>
          <w:sz w:val="24"/>
          <w:szCs w:val="24"/>
        </w:rPr>
        <w:t xml:space="preserve">Kitap, modern sosyal bilimlerdeki paradigma tartışmasıyla açılmaktadır. Bunun sebebi, bir araştırma yönteminin ancak dayandığı varlık, bilgi ve değer kabulleriyle birlikte doğru anlaşılabilmesidir. Birinci bölümde Batı sosyal biliminin pozitivizmden hermenötiğe ve postmodern eleştiriye uzanan yolculuğu ve bu yolculuğun ulaştığı yer, ikinci bölümde klasik gelenekteki bilgi yolları, üçüncü bölümde ise bu iki birikimin buluştuğu yerde kurulan tahkîk paradigması ele alınmaktadır. Tahkîk paradigması, araştırmayı Gazzâlî'nin semere, müsmir, istismâr yolu ve müstesmir şeklindeki dört kutuplu tasnifiyle düzenleyen, hakikati araştırmacının ve katılımcının kanaatinden bağımsız bir nefsü'l-emr olarak kabul eden, buna karşılık araştırmacının hükmünü dereceli bir kesinlik içinde ifade etmesini isteyen bir araştırma anlayışıdır. Kitabın sonraki bölümleri bu anlayışın veri toplama, analiz, geçerlik, etik ve raporlaştırma aşamalarında nasıl işlediğini göstermektedir.</w:t>
      </w:r>
    </w:p>
    <w:p>
      <w:pPr>
        <w:pStyle w:val="DogrulamaAR"/>
        <w:bidi/>
        <w:spacing w:after="20" w:line="300"/>
        <w:ind w:end="567"/>
        <w:jc w:val="both"/>
      </w:pPr>
      <w:r>
        <w:rPr>
          <w:rFonts w:ascii="Times New Roman" w:cs="Traditional Arabic" w:eastAsia="Times New Roman" w:hAnsi="Times New Roman"/>
          <w:i w:val="false"/>
          <w:sz w:val="24"/>
          <w:szCs w:val="24"/>
        </w:rPr>
        <w:t xml:space="preserve">Kitabın omurgası için Mâtürîdî'nin bilgiye ulaştıran yolları sıraladığı bir cümleden yararlanılmıştır. Mâtürîdî, eşyanın hakikatlerinin bilgisine ulaştıran yolların ʿiyân (</w:t>
      </w:r>
      <w:r>
        <w:rPr>
          <w:rFonts w:ascii="Times New Roman" w:cs="Traditional Arabic" w:eastAsia="Times New Roman" w:hAnsi="Times New Roman"/>
          <w:i w:val="false"/>
          <w:sz w:val="24"/>
          <w:szCs w:val="30"/>
          <w:rtl/>
        </w:rPr>
        <w:t xml:space="preserve">العيان</w:t>
      </w:r>
      <w:r>
        <w:rPr>
          <w:rFonts w:ascii="Times New Roman" w:cs="Traditional Arabic" w:eastAsia="Times New Roman" w:hAnsi="Times New Roman"/>
          <w:i w:val="false"/>
          <w:sz w:val="24"/>
          <w:szCs w:val="24"/>
        </w:rPr>
        <w:t xml:space="preserve">), haberler (</w:t>
      </w:r>
      <w:r>
        <w:rPr>
          <w:rFonts w:ascii="Times New Roman" w:cs="Traditional Arabic" w:eastAsia="Times New Roman" w:hAnsi="Times New Roman"/>
          <w:i w:val="false"/>
          <w:sz w:val="24"/>
          <w:szCs w:val="30"/>
          <w:rtl/>
        </w:rPr>
        <w:t xml:space="preserve">الأخبار</w:t>
      </w:r>
      <w:r>
        <w:rPr>
          <w:rFonts w:ascii="Times New Roman" w:cs="Traditional Arabic" w:eastAsia="Times New Roman" w:hAnsi="Times New Roman"/>
          <w:i w:val="false"/>
          <w:sz w:val="24"/>
          <w:szCs w:val="24"/>
        </w:rPr>
        <w:t xml:space="preserve">) ve nazar (</w:t>
      </w:r>
      <w:r>
        <w:rPr>
          <w:rFonts w:ascii="Times New Roman" w:cs="Traditional Arabic" w:eastAsia="Times New Roman" w:hAnsi="Times New Roman"/>
          <w:i w:val="false"/>
          <w:sz w:val="24"/>
          <w:szCs w:val="30"/>
          <w:rtl/>
        </w:rPr>
        <w:t xml:space="preserve">النظر</w:t>
      </w:r>
      <w:r>
        <w:rPr>
          <w:rFonts w:ascii="Times New Roman" w:cs="Traditional Arabic" w:eastAsia="Times New Roman" w:hAnsi="Times New Roman"/>
          <w:i w:val="false"/>
          <w:sz w:val="24"/>
          <w:szCs w:val="24"/>
        </w:rPr>
        <w:t xml:space="preserve">) olduğunu söylemekte ve ʿiyânı duyuların kendisine ulaştığı şey olarak tanımlamaktadır.</w:t>
      </w:r>
      <w:r>
        <w:rPr>
          <w:rStyle w:val="FootnoteReference"/>
        </w:rPr>
        <w:footnoteReference w:id="1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üçlü, kitapta nitel araştırma sürecini düzenleyen bir çerçeve olarak denenmiştir. Gözlem ʿiyân başlığı altında, görüşme ve doküman yoluyla elde edilen anlatımlar ahbâr başlığı altında, analiz ve yorum ise nazar başlığı altında ele alınmıştır.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“ثمَّ السَّبِيل الَّتِي يُوصل بهَا الى الْعلم بحقائق الْأَشْيَاء العيان وَالْأَخْبَار وَالنَّظَر فالعيان مَا يَقع عَلَيْهِ الْحَواس وَهُوَ الأَصْل الَّذِي لَدَيْهِ الْعلم الَّذِي لَا ضد لَهُ من الْجَهْل”</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6365, page_id 5, basılı s. 7]</w:t>
      </w:r>
    </w:p>
    <w:p>
      <w:pPr>
        <w:spacing w:after="120" w:line="360"/>
        <w:ind w:firstLine="567"/>
        <w:jc w:val="both"/>
      </w:pPr>
      <w:r>
        <w:rPr>
          <w:rFonts w:ascii="Times New Roman" w:cs="Traditional Arabic" w:eastAsia="Times New Roman" w:hAnsi="Times New Roman"/>
          <w:i w:val="false"/>
          <w:sz w:val="24"/>
          <w:szCs w:val="24"/>
        </w:rPr>
        <w:t xml:space="preserve">Bu çerçevenin sınırı da baştan belirtilmelidir. Mâtürîdî bu yolları bir sosyal araştırma süreci için değil, eşyanın hakikatlerinin bilgisine ulaştıran yollar olarak saymıştır.</w:t>
      </w:r>
      <w:r>
        <w:rPr>
          <w:rStyle w:val="FootnoteReference"/>
        </w:rPr>
        <w:footnoteReference w:id="1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Onun ifadesine göre haberlerin kabulü aklın zaruretiyle gerekli olunca peygamberlerin haberlerinin kabulü de gerekli olmaktadır.</w:t>
      </w:r>
      <w:r>
        <w:rPr>
          <w:rStyle w:val="FootnoteReference"/>
        </w:rPr>
        <w:footnoteReference w:id="1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araştırmada katılımcıdan dinlenen anlatım ise bu anlamda bir “haber” değildir. Araştırmacı onu kabul ya da reddetmek için değil, katılımcının dünyasını anlamak için kaydeder. Üçlünün kitapta kullanılması, Mâtürîdî'nin metnine modern bir anlam yüklemek amacı taşımamaktadır. Üçlü, din eğitimcisinin aşina olduğu bir dilde araştırma sürecinin aşamalarını hatırlatan bir düzenleme ilkesi olarak kullanılmıştır. Rivayet ve dirayet ayrımı da veriye ulaşma kısmı ile veriyi anlama kısmını birbirine bağlayan ikinci bir ilke olarak işlev görmektedir.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 dipnottaki doğrulama bloğunda verilmiştir.]</w:t>
      </w:r>
    </w:p>
    <w:p>
      <w:pPr>
        <w:pStyle w:val="DogrulamaAR"/>
        <w:bidi/>
        <w:spacing w:after="20" w:line="300"/>
        <w:ind w:end="567"/>
        <w:jc w:val="both"/>
      </w:pPr>
      <w:r>
        <w:rPr>
          <w:rFonts w:ascii="Times New Roman" w:cs="Traditional Arabic" w:eastAsia="Times New Roman" w:hAnsi="Times New Roman"/>
          <w:i/>
          <w:iCs/>
          <w:sz w:val="24"/>
          <w:szCs w:val="30"/>
          <w:rtl/>
        </w:rPr>
        <w:t xml:space="preserve">“ثمَّ إِذْ قد لزم قبُول الْأَخْبَار بضرورة الْعقل لزم قبُول أَخْبَار الرُّسُل”</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6365, page_id 6, basılı s. 8]</w:t>
      </w:r>
    </w:p>
    <w:p>
      <w:pPr>
        <w:spacing w:after="120" w:line="360"/>
        <w:ind w:firstLine="567"/>
        <w:jc w:val="both"/>
      </w:pPr>
      <w:r>
        <w:rPr>
          <w:rFonts w:ascii="Times New Roman" w:cs="Traditional Arabic" w:eastAsia="Times New Roman" w:hAnsi="Times New Roman"/>
          <w:i w:val="false"/>
          <w:sz w:val="24"/>
          <w:szCs w:val="24"/>
        </w:rPr>
        <w:t xml:space="preserve">Kitabın dayandığı kaynaklar da bu kurguyu belirlemiştir. Klasik metinler el-Mektebetü'ş-Şâmile kütüphanesinden alınmıştır. Bu kütüphanede kayıtlı görünen bazı temel eserlerin, özellikle Hatîb el-Bağdâdî'nin rivayet usulüne ve ilim ahlakına dair bazı eserlerinin metinleri okunamadığı için bu eserlerden yararlanılamamıştır. Modern yöntem bilgisi ise Creswell, Yıldırım ve Şimşek, Gadamer, Bauman, Beraha, Barnes, Hollinger ve Gordon gibi yazarların eserleri ile Toker'in makalesine dayanmaktadır. Toker kendi yaklaşımını açıklarken nitelin artık yalnızca sosyolojik tekniklerle sınırlanamayacak bir yöntem yetkinliğine ulaştığı kanaatinde olduğunu belirtmektedir.</w:t>
      </w:r>
      <w:r>
        <w:rPr>
          <w:rStyle w:val="FootnoteReference"/>
        </w:rPr>
        <w:footnoteReference w:id="1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kitap da nitel araştırmayı bir teknikler toplamından çok, bir araştırma anlayışı olarak ele almaktadır.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“Ben de burada, bu son ayrım üzerinden ve”nitel çerçeve”den hareket edeceğim. Böyle bir tercihte bulunmamın nedeni, “nitel”in artık sadece sosyolojik tekniklerle sınırlandırılamayacak bir yöntembilimsel yetkinliğe eriştiği yolundaki kanaatim ve bununla ilgili olarak aşağıda yer vermeye çalışacağım somut göstergelerdir.”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18f10c14-nitel_ara_t_rma_paradigmas__ve_din.pdf, basılı s. 57, PDF s. 5]</w:t>
      </w:r>
    </w:p>
    <w:p>
      <w:pPr>
        <w:pStyle w:val="Heading2"/>
        <w:keepNext/>
        <w:spacing w:after="120" w:before="240"/>
      </w:pPr>
      <w:r>
        <w:rPr>
          <w:rFonts w:ascii="Times New Roman" w:cs="Traditional Arabic" w:eastAsia="Times New Roman" w:hAnsi="Times New Roman"/>
          <w:b/>
          <w:bCs/>
          <w:i w:val="false"/>
          <w:sz w:val="24"/>
          <w:szCs w:val="24"/>
        </w:rPr>
        <w:t xml:space="preserve">Din Eğitiminin Dört Alanı ve Nitel Araştırmanın Soruları</w:t>
      </w:r>
    </w:p>
    <w:p>
      <w:pPr>
        <w:spacing w:after="120" w:line="360"/>
        <w:ind w:firstLine="567"/>
        <w:jc w:val="both"/>
      </w:pPr>
      <w:r>
        <w:rPr>
          <w:rFonts w:ascii="Times New Roman" w:cs="Traditional Arabic" w:eastAsia="Times New Roman" w:hAnsi="Times New Roman"/>
          <w:i w:val="false"/>
          <w:sz w:val="24"/>
          <w:szCs w:val="24"/>
        </w:rPr>
        <w:t xml:space="preserve">Kitap boyunca verilen örnekler din eğitiminin dört alanından seçilmiştir. Bu alanların her biri nitel araştırmaya farklı sorular yöneltmektedir.</w:t>
      </w:r>
    </w:p>
    <w:p>
      <w:pPr>
        <w:spacing w:after="120" w:line="360"/>
        <w:ind w:firstLine="567"/>
        <w:jc w:val="both"/>
      </w:pPr>
      <w:r>
        <w:rPr>
          <w:rFonts w:ascii="Times New Roman" w:cs="Traditional Arabic" w:eastAsia="Times New Roman" w:hAnsi="Times New Roman"/>
          <w:i w:val="false"/>
          <w:sz w:val="24"/>
          <w:szCs w:val="24"/>
        </w:rPr>
        <w:t xml:space="preserve">Örgün din eğitimi, okullardaki din kültürü ve ahlak bilgisi dersleri ile imam hatip okullarındaki meslek derslerini kapsamaktadır. Bu alanda nitel araştırma, öğrencilerin dersin içeriğini kendi hayatlarıyla nasıl ilişkilendirdiğini, öğretmenlerin programı sınıfta nasıl yorumladığını ve sınıf içindeki etkileşimlerin öğrencilerin dinî kavramlara yükledikleri anlamı nasıl etkilediğini sorabilir. Bu sorular, bir başarı testinin ya da bir tutum ölçeğinin ölçtüğü şeyin arkasındaki süreci görünür kılmaya yöneliktir.</w:t>
      </w:r>
    </w:p>
    <w:p>
      <w:pPr>
        <w:spacing w:after="120" w:line="360"/>
        <w:ind w:firstLine="567"/>
        <w:jc w:val="both"/>
      </w:pPr>
      <w:r>
        <w:rPr>
          <w:rFonts w:ascii="Times New Roman" w:cs="Traditional Arabic" w:eastAsia="Times New Roman" w:hAnsi="Times New Roman"/>
          <w:i w:val="false"/>
          <w:sz w:val="24"/>
          <w:szCs w:val="24"/>
        </w:rPr>
        <w:t xml:space="preserve">Yaygın din eğitimi, Kur'an kursları, camiler ve din hizmetleri aracılığıyla yürütülen eğitim faaliyetlerini kapsamaktadır. Bu alanda araştırmacı, çocukların ve yetişkinlerin Kur'an öğrenme tecrübesini, öğretici ile kursiyer arasındaki ilişkiyi ve cami cemaatinin bir öğrenme topluluğu olarak nasıl işlediğini inceleyebilir. Bu ortamların kendine has bir dili ve geleneği vardır ve araştırmacının bu dili öğrenmesi, dördüncü bölümde görüleceği gibi, nitel araştırmanın ilk adımlarından biridir.</w:t>
      </w:r>
    </w:p>
    <w:p>
      <w:pPr>
        <w:spacing w:after="120" w:line="360"/>
        <w:ind w:firstLine="567"/>
        <w:jc w:val="both"/>
      </w:pPr>
      <w:r>
        <w:rPr>
          <w:rFonts w:ascii="Times New Roman" w:cs="Traditional Arabic" w:eastAsia="Times New Roman" w:hAnsi="Times New Roman"/>
          <w:i w:val="false"/>
          <w:sz w:val="24"/>
          <w:szCs w:val="24"/>
        </w:rPr>
        <w:t xml:space="preserve">Aile içi din eğitimi, dinî değerlerin ve uygulamaların kuşaktan kuşağa aktarıldığı en eski ve en mahrem alandır. Ramazan sofraları, bayram ziyaretleri, büyüklerden dinlenen hikâyeler ve çocukların ilk ibadet tecrübeleri bu alanın konularıdır. Bu alanda araştırma yapmak, ailenin mahremiyetine özel bir özen göstermeyi gerektirmektedir. İkinci bölümde ele alınacak olan, Gazzâlî'nin Hristiyan, Yahudi ve Müslüman çocukların ancak kendi dinleri üzere yetiştiğine dair gözlemi</w:t>
      </w:r>
      <w:r>
        <w:rPr>
          <w:rStyle w:val="FootnoteReference"/>
        </w:rPr>
        <w:footnoteReference w:id="1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 ana-babanın ve hocaların taklidiyle arız olan akîdelerin hakikatini araştırmaya yönelmesi,</w:t>
      </w:r>
      <w:r>
        <w:rPr>
          <w:rStyle w:val="FootnoteReference"/>
        </w:rPr>
        <w:footnoteReference w:id="1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bu alanın temel sorularından birine işaret etmektedir.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“وحتى انحلت عني رابطة التقليد، وانكسرت علي العقائد الموروثة على قرب عهد سن الصبا، إذ رأيت: صبيان النصارى لا يكون لهم نشوء إلا على التنصُر، وصبيان اليهود لا نشوء لهم إلا على التهود، وصبيان المسلمين لا نشوء لهم إلا على الإسلام.”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5, basılı s. 110]</w:t>
      </w:r>
    </w:p>
    <w:p>
      <w:pPr>
        <w:pStyle w:val="DogrulamaAR"/>
        <w:bidi/>
        <w:spacing w:after="20" w:line="300"/>
        <w:ind w:end="567"/>
        <w:jc w:val="both"/>
      </w:pPr>
      <w:r>
        <w:rPr>
          <w:rFonts w:ascii="Times New Roman" w:cs="Traditional Arabic" w:eastAsia="Times New Roman" w:hAnsi="Times New Roman"/>
          <w:i/>
          <w:iCs/>
          <w:sz w:val="24"/>
          <w:szCs w:val="30"/>
          <w:rtl/>
        </w:rPr>
        <w:t xml:space="preserve">“فتحرك باطني إلى طلب حقيقة الفطرة الأصلية، وحقيقة العقائد العارضة بتقليد الوالدين والأستاذين، والتمييز بين هذه التقليدات،”</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5, basılı s. 110]</w:t>
      </w:r>
    </w:p>
    <w:p>
      <w:pPr>
        <w:spacing w:after="120" w:line="360"/>
        <w:ind w:firstLine="567"/>
        <w:jc w:val="both"/>
      </w:pPr>
      <w:r>
        <w:rPr>
          <w:rFonts w:ascii="Times New Roman" w:cs="Traditional Arabic" w:eastAsia="Times New Roman" w:hAnsi="Times New Roman"/>
          <w:i w:val="false"/>
          <w:sz w:val="24"/>
          <w:szCs w:val="24"/>
        </w:rPr>
        <w:t xml:space="preserve">Yükseköğretimde din eğitimi ise ilahiyat fakültelerinde ve din eğitimi öğretmeni yetiştiren programlarda yürütülmektedir. Bu alanda nitel araştırma, öğrencilerin dinin akademik olarak incelenmesiyle karşılaştıklarında yaşadıkları dönüşümü, öğretmen adaylarının mesleki kimliklerini nasıl inşa ettiklerini ve öğretim elemanlarının kendi öğretimlerini nasıl değerlendirdiklerini inceleyebilir. Bu alan, araştırmacının kendi kurumunu ve kendi öğrencilerini araştırabildiği bir alan olduğu için, araştırmacının konumuna dair on ikinci ve on üçüncü bölümlerde ele alınan sorular burada ayrıca önem kazanmaktadır.</w:t>
      </w:r>
    </w:p>
    <w:p>
      <w:pPr>
        <w:pStyle w:val="Heading2"/>
        <w:keepNext/>
        <w:spacing w:after="120" w:before="240"/>
      </w:pPr>
      <w:r>
        <w:rPr>
          <w:rFonts w:ascii="Times New Roman" w:cs="Traditional Arabic" w:eastAsia="Times New Roman" w:hAnsi="Times New Roman"/>
          <w:b/>
          <w:bCs/>
          <w:i w:val="false"/>
          <w:sz w:val="24"/>
          <w:szCs w:val="24"/>
        </w:rPr>
        <w:t xml:space="preserve">Bölümlerin Planı</w:t>
      </w:r>
    </w:p>
    <w:p>
      <w:pPr>
        <w:spacing w:after="120" w:line="360"/>
        <w:ind w:firstLine="567"/>
        <w:jc w:val="both"/>
      </w:pPr>
      <w:r>
        <w:rPr>
          <w:rFonts w:ascii="Times New Roman" w:cs="Traditional Arabic" w:eastAsia="Times New Roman" w:hAnsi="Times New Roman"/>
          <w:i w:val="false"/>
          <w:sz w:val="24"/>
          <w:szCs w:val="24"/>
        </w:rPr>
        <w:t xml:space="preserve">Kitap üç kısım ve on beş bölümden oluşmaktadır. Birinci kısım paradigma ve temellere ayrılmıştır. Birinci bölüm modern sosyal bilimlerde paradigma meselesini ve Batı birikiminin geldiği yeri değerlendirmektedir. İkinci bölüm klasik bilgi yolları ile nitel araştırmanın bilgi anlayışını mukayese etmektedir. Üçüncü bölüm, bu iki birikimden hareketle tahkîk paradigmasının varlık, bilgi, yöntem ve değer kabullerini ve on ilkesini ortaya koymaktadır. Dördüncü bölüm nitel araştırmanın temel özelliklerini din eğitimi ortamları üzerinden tartışmakta, beşinci bölüm ise nitel araştırma desenlerini tanıtıp klasik gelenekteki bazı çalışma tarzlarıyla karşılaştırmaktadır.</w:t>
      </w:r>
    </w:p>
    <w:p>
      <w:pPr>
        <w:spacing w:after="120" w:line="360"/>
        <w:ind w:firstLine="567"/>
        <w:jc w:val="both"/>
      </w:pPr>
      <w:r>
        <w:rPr>
          <w:rFonts w:ascii="Times New Roman" w:cs="Traditional Arabic" w:eastAsia="Times New Roman" w:hAnsi="Times New Roman"/>
          <w:i w:val="false"/>
          <w:sz w:val="24"/>
          <w:szCs w:val="24"/>
        </w:rPr>
        <w:t xml:space="preserve">İkinci kısım veriye ulaşma sürecini, yani ʿiyân ve ahbâr alanını ele almaktadır. Altıncı bölüm araştırma sürecini, araştırma sorusunu ve örneklemi, yedinci bölüm görüşme ve odak grup görüşmesini, sekizinci bölüm gözlemi, dokuzuncu bölüm doküman incelemesini, onuncu bölüm de mecazlar yoluyla veri toplamayı incelemektedir.</w:t>
      </w:r>
    </w:p>
    <w:p>
      <w:pPr>
        <w:spacing w:after="120" w:line="360"/>
        <w:ind w:firstLine="567"/>
        <w:jc w:val="both"/>
      </w:pPr>
      <w:r>
        <w:rPr>
          <w:rFonts w:ascii="Times New Roman" w:cs="Traditional Arabic" w:eastAsia="Times New Roman" w:hAnsi="Times New Roman"/>
          <w:i w:val="false"/>
          <w:sz w:val="24"/>
          <w:szCs w:val="24"/>
        </w:rPr>
        <w:t xml:space="preserve">Üçüncü kısım veriyi anlama ve sunma, yani nazar alanına ayrılmıştır. On birinci bölüm nitel veri analizini, on ikinci bölüm geçerlik ve güvenirliği, on üçüncü bölüm araştırma etiğini ve araştırmacının ahlakını, on dördüncü bölüm raporlaştırmayı, on beşinci bölüm ise nitel araştırma sonuçlarının din eğitimine katkısını ve karma yöntem imkânını tartışmaktadır. Sonuç kısmında tahkîk paradigmasının bilançosu çıkarılmakta, klasik usulün çağdaş din eğitimi araştırmalarına katkıları ile sınırları birlikte değerlendirilmektedir.</w:t>
      </w:r>
    </w:p>
    <w:p>
      <w:pPr>
        <w:spacing w:after="120" w:line="360"/>
        <w:ind w:firstLine="567"/>
        <w:jc w:val="both"/>
      </w:pPr>
      <w:r>
        <w:rPr>
          <w:rFonts w:ascii="Times New Roman" w:cs="Traditional Arabic" w:eastAsia="Times New Roman" w:hAnsi="Times New Roman"/>
          <w:i w:val="false"/>
          <w:sz w:val="24"/>
          <w:szCs w:val="24"/>
        </w:rPr>
        <w:t xml:space="preserve">Her bölümde ele alınan yöntemin din eğitimi araştırmalarında nasıl kullanılabileceği örgün din eğitimi, yaygın din eğitimi, aile içi din eğitimi ve yükseköğretimde din eğitimi ortamlarından seçilen kurgusal örneklerle gösterilmiştir. Çocuklar ve gençlerle yapılan araştırmalarda rıza, veli izni, mahremiyet ve inanç alanındaki hassasiyet, ilgili her bölümde ayrıca ele alınmıştır.</w:t>
      </w:r>
    </w:p>
    <w:p>
      <w:pPr>
        <w:pageBreakBefore/>
        <w:spacing w:after="240" w:before="3600"/>
        <w:jc w:val="center"/>
      </w:pPr>
      <w:r>
        <w:rPr>
          <w:rFonts w:ascii="Times New Roman" w:cs="Traditional Arabic" w:eastAsia="Times New Roman" w:hAnsi="Times New Roman"/>
          <w:b/>
          <w:bCs/>
          <w:i w:val="false"/>
          <w:color w:val="1F3864"/>
          <w:sz w:val="32"/>
          <w:szCs w:val="32"/>
        </w:rPr>
        <w:t xml:space="preserve">BİRİNCİ KISIM</w:t>
      </w:r>
    </w:p>
    <w:p>
      <w:pPr>
        <w:spacing w:after="240"/>
        <w:jc w:val="center"/>
      </w:pPr>
      <w:r>
        <w:rPr>
          <w:rFonts w:ascii="Times New Roman" w:cs="Traditional Arabic" w:eastAsia="Times New Roman" w:hAnsi="Times New Roman"/>
          <w:b/>
          <w:bCs/>
          <w:i w:val="false"/>
          <w:sz w:val="28"/>
          <w:szCs w:val="28"/>
        </w:rPr>
        <w:t xml:space="preserve">TEMELLER</w:t>
      </w:r>
    </w:p>
    <w:p>
      <w:pPr>
        <w:pageBreakBefore/>
        <w:spacing w:after="120" w:before="600"/>
        <w:jc w:val="center"/>
      </w:pPr>
      <w:r>
        <w:rPr>
          <w:rFonts w:ascii="Times New Roman" w:cs="Traditional Arabic" w:eastAsia="Times New Roman" w:hAnsi="Times New Roman"/>
          <w:b/>
          <w:bCs/>
          <w:i w:val="false"/>
          <w:color w:val="595959"/>
          <w:sz w:val="22"/>
          <w:szCs w:val="22"/>
        </w:rPr>
        <w:t xml:space="preserve">BİRİNCİ BÖLÜM</w:t>
      </w:r>
    </w:p>
    <w:p>
      <w:pPr>
        <w:pStyle w:val="Heading1"/>
        <w:spacing w:after="360"/>
        <w:jc w:val="center"/>
      </w:pPr>
      <w:r>
        <w:rPr>
          <w:rFonts w:ascii="Times New Roman" w:cs="Traditional Arabic" w:eastAsia="Times New Roman" w:hAnsi="Times New Roman"/>
          <w:b/>
          <w:bCs/>
          <w:i w:val="false"/>
          <w:color w:val="1F3864"/>
          <w:sz w:val="28"/>
          <w:szCs w:val="28"/>
        </w:rPr>
        <w:t xml:space="preserve">1. Modern Sosyal Bilimlerde Paradigma Meselesi: Batı Birikiminin Geldiği Yer</w:t>
      </w:r>
    </w:p>
    <w:p>
      <w:pPr>
        <w:spacing w:after="120" w:line="360"/>
        <w:ind w:firstLine="567"/>
        <w:jc w:val="both"/>
      </w:pPr>
      <w:r>
        <w:rPr>
          <w:rFonts w:ascii="Times New Roman" w:cs="Traditional Arabic" w:eastAsia="Times New Roman" w:hAnsi="Times New Roman"/>
          <w:i w:val="false"/>
          <w:sz w:val="24"/>
          <w:szCs w:val="24"/>
        </w:rPr>
        <w:t xml:space="preserve">Bir araştırma yöntemini öğrenmek, onun tekniklerini öğrenmekle sınırlı kalmamaktadır. Görüşme formu hazırlamak, gözlem notu tutmak ya da bir dökümü kodlamak, bunların arkasında duran bir bilgi tasavvuru bilinmediğinde mekanik işlemler olarak kalmaktadır. Bu bölüm, din eğitimi araştırmacısının nitel araştırmayı kullanırken hangi bilgi tasavvurlarıyla karşılaştığını göstermeyi amaçlamaktadır. Batı sosyal bilimlerinin pozitivist bilgi idealinden hermenötik anlama sorununa, yapılandırmacı ve dönüştürücü dünya görüşlerinden pragmatizme ve postmodern eleştiriye uzanan tartışması, kitabın kaynaklarındaki yazarların kendi değerlendirmeleri üzerinden özetlenmektedir. Bölümün amacı bu tartışmayı ne yüceltmek ne de mahkûm etmektir. Amaç, onun nereye ulaştığını, hangi soruları çözdüğünü ve hangilerini açık bıraktığını görmek ve böylece üçüncü bölümde ortaya konacak tahkîk paradigmasına zemin hazırlamaktır.</w:t>
      </w:r>
    </w:p>
    <w:p>
      <w:pPr>
        <w:pStyle w:val="Heading2"/>
        <w:keepNext/>
        <w:spacing w:after="120" w:before="240"/>
      </w:pPr>
      <w:r>
        <w:rPr>
          <w:rFonts w:ascii="Times New Roman" w:cs="Traditional Arabic" w:eastAsia="Times New Roman" w:hAnsi="Times New Roman"/>
          <w:b/>
          <w:bCs/>
          <w:i w:val="false"/>
          <w:sz w:val="24"/>
          <w:szCs w:val="24"/>
        </w:rPr>
        <w:t xml:space="preserve">1.1. Her Bilim Bir Felsefeye Dayanır</w:t>
      </w:r>
    </w:p>
    <w:p>
      <w:pPr>
        <w:spacing w:after="120" w:line="360"/>
        <w:ind w:firstLine="567"/>
        <w:jc w:val="both"/>
      </w:pPr>
      <w:r>
        <w:rPr>
          <w:rFonts w:ascii="Times New Roman" w:cs="Traditional Arabic" w:eastAsia="Times New Roman" w:hAnsi="Times New Roman"/>
          <w:i w:val="false"/>
          <w:sz w:val="24"/>
          <w:szCs w:val="24"/>
        </w:rPr>
        <w:t xml:space="preserve">Eğitim felsefesi literatüründe sıkça vurgulanan bir tespit, eğitim araştırmasının felsefi temellerinden bağımsız düşünülemeyeceğidir. Mustafa Ergün, editörlüğünü yaptığı </w:t>
      </w:r>
      <w:r>
        <w:rPr>
          <w:rFonts w:ascii="Times New Roman" w:cs="Traditional Arabic" w:eastAsia="Times New Roman" w:hAnsi="Times New Roman"/>
          <w:i/>
          <w:iCs/>
          <w:sz w:val="24"/>
          <w:szCs w:val="24"/>
        </w:rPr>
        <w:t xml:space="preserve">Eğitim Felsefesi</w:t>
      </w:r>
      <w:r>
        <w:rPr>
          <w:rFonts w:ascii="Times New Roman" w:cs="Traditional Arabic" w:eastAsia="Times New Roman" w:hAnsi="Times New Roman"/>
          <w:i w:val="false"/>
          <w:sz w:val="24"/>
          <w:szCs w:val="24"/>
        </w:rPr>
        <w:t xml:space="preserve"> kitabının ön sözünde her bilimin bir felsefeye dayandığını, hukukun, siyasetin, ekonominin, tıbbın ve eğitimin felsefi temelleri bulunduğunu ve bu temeller kaybolduğunda bilginin düzeninin de kaybolacağını belirtmektedir.</w:t>
      </w:r>
      <w:r>
        <w:rPr>
          <w:rStyle w:val="FootnoteReference"/>
        </w:rPr>
        <w:footnoteReference w:id="1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Aynı eserde Ergün, psikoloji ve eğitim alanlarının da felsefeden kopmaya çalıştığını fakat bunda tam olarak başarılı olamadığını, mevcut bilim teorilerine bakıldığında bilimin felsefeden hiç ayrılamadığı sonucuna bile varılabileceğini ifade etmektedir.</w:t>
      </w:r>
      <w:r>
        <w:rPr>
          <w:rStyle w:val="FootnoteReference"/>
        </w:rPr>
        <w:footnoteReference w:id="19"/>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“Her bilim bir felsefeye dayanır; hukukun, politikanın, ekonominin, tıbbın, eğitimin vs. felsefi temelleri vardır. Bu temeller kaybolduğunda bilgi sistematiği kaybolur ve bilim geliştirilemez.”</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Eğitim Felsefesi{Mustafa Ergün _ Ahmet Çoban _ Gürbüz Ocak _ Akkaş Baysal _ Burhan Akpunar _ Cevdet Epçaçan _ Ata}…(202.pdf, Ön Söz, basılı s. [iii], PDF s. 3. Basılı numara sayfada yoktur; PDF s. 4’ün üst bilgisindeki “iv” numarasından ve İçindekiler’den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“En son psikoloji ve eğitim alanları da felsefeden kopmaya çalıştılar, ama tam başarılı olamadılar. […] Zaten varolan bilim teorilerine baktığımızda, aslında bilimin felsefeden hiç ayrılamadığı sonucuna bile varılabilir.”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Eğitim Felsefesi{Mustafa Ergün _ Ahmet Çoban _ Gürbüz Ocak _ Akkaş Baysal _ Burhan Akpunar _ Cevdet Epçaçan _ Ata}…(202.pdf, 3. Bölüm (Mustafa Ergün), basılı s. 72, PDF s. 88]</w:t>
      </w:r>
    </w:p>
    <w:p>
      <w:pPr>
        <w:spacing w:after="120" w:line="360"/>
        <w:ind w:firstLine="567"/>
        <w:jc w:val="both"/>
      </w:pPr>
      <w:r>
        <w:rPr>
          <w:rFonts w:ascii="Times New Roman" w:cs="Traditional Arabic" w:eastAsia="Times New Roman" w:hAnsi="Times New Roman"/>
          <w:i w:val="false"/>
          <w:sz w:val="24"/>
          <w:szCs w:val="24"/>
        </w:rPr>
        <w:t xml:space="preserve">Felsefe ile eğitimin bu iç içeliği, eğitim araştırmasının hangi sorulara cevap vermek zorunda olduğunu da belirlemektedir. Burhan Akpunar eğitimi çok genel olarak insan üzerinde bilgi aracılığıyla gerçekleştirilen bir etkinlik olarak tanımlamakta ve insan ontolojinin, bilgi de epistemolojinin ana çalışma alanı olduğu için eğitim ile felsefenin birçok boyutta insan üzerinde kesiştiğini belirtmektedir.</w:t>
      </w:r>
      <w:r>
        <w:rPr>
          <w:rStyle w:val="FootnoteReference"/>
        </w:rPr>
        <w:footnoteReference w:id="2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Ahmet Çoban da eğitimin ontoloji kadar epistemolojiyle de yakın ilişkisi bulunduğunu ve eğitim felsefesinin epistemolojik bir boyutu olduğunu vurgulamakta,</w:t>
      </w:r>
      <w:r>
        <w:rPr>
          <w:rStyle w:val="FootnoteReference"/>
        </w:rPr>
        <w:footnoteReference w:id="2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değer felsefesinin iki dalı olan etik ve estetiğin de eğitim sürecinde önemli bir konuma sahip olduğunu, “nasıl davranmalıyım?” ve “güzel olan nedir?” gibi soruların eğitim felsefesinde sürekli tartışıldığını eklemektedir.</w:t>
      </w:r>
      <w:r>
        <w:rPr>
          <w:rStyle w:val="FootnoteReference"/>
        </w:rPr>
        <w:footnoteReference w:id="2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“Çok genel olarak eğitim, insan üzerine bilgi vasıtasıyla gerçekleştirilen bir etkinlik olarak tanımlanabilir. Buradaki insan ontolojinin ve bilgi de epistemolojinin ana çalışma sahası olduğu için eğitim ve felsefe, birçok boyut ve konuda insan üzerinde kesişirler.”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Eğitim Felsefesi{Mustafa Ergün _ Ahmet Çoban _ Gürbüz Ocak _ Akkaş Baysal _ Burhan Akpunar _ Cevdet Epçaçan _ Ata}…(202.pdf, 6. Bölüm (Burhan Akpunar), basılı s. 117, PDF s. 133]</w:t>
      </w:r>
    </w:p>
    <w:p>
      <w:pPr>
        <w:pStyle w:val="Dogrulama"/>
        <w:spacing w:after="20" w:line="276"/>
        <w:ind w:left="567"/>
        <w:jc w:val="both"/>
      </w:pPr>
      <w:r>
        <w:rPr>
          <w:rFonts w:ascii="Times New Roman" w:cs="Traditional Arabic" w:eastAsia="Times New Roman" w:hAnsi="Times New Roman"/>
          <w:i/>
          <w:iCs/>
          <w:sz w:val="22"/>
          <w:szCs w:val="22"/>
        </w:rPr>
        <w:t xml:space="preserve">“Görüldüğü gibi, eğitimin ontolojiyle olduğu kadar epistemolojiyle de yakın bir ilişkisi vardır. Başka bir deyişle, eğitim felsefesinin epistemolojik bir boyutu da söz konusudur.”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Eğitim Felsefesi{Mustafa Ergün _ Ahmet Çoban _ Gürbüz Ocak _ Akkaş Baysal _ Burhan Akpunar _ Cevdet Epçaçan _ Ata}…(202.pdf, 1. Bölüm (Ahmet Çoban), basılı s. 16, PDF s. 32]</w:t>
      </w:r>
    </w:p>
    <w:p>
      <w:pPr>
        <w:pStyle w:val="Dogrulama"/>
        <w:spacing w:after="20" w:line="276"/>
        <w:ind w:left="567"/>
        <w:jc w:val="both"/>
      </w:pPr>
      <w:r>
        <w:rPr>
          <w:rFonts w:ascii="Times New Roman" w:cs="Traditional Arabic" w:eastAsia="Times New Roman" w:hAnsi="Times New Roman"/>
          <w:i/>
          <w:iCs/>
          <w:sz w:val="22"/>
          <w:szCs w:val="22"/>
        </w:rPr>
        <w:t xml:space="preserve">“Aksiyolojinin iki ana dalı vardır; etik ve estetik. Her ikisi de eğitim sürecinde önemli ve etkili bir konuma sahip bulunmaktadır. Bu durumdan dolayı,”nasıl davranmalıyım?” gibi sorular ile “güzel olan nedir?” ve “ne sevmeliyim?” gibi sorular eğitim felsefesinde sürekli tartışılan sorular olarak yerini almaktadır.”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Eğitim Felsefesi{Mustafa Ergün _ Ahmet Çoban _ Gürbüz Ocak _ Akkaş Baysal _ Burhan Akpunar _ Cevdet Epçaçan _ Ata}…(202.pdf, 1. Bölüm (Ahmet Çoban), basılı s. 18, PDF s. 34]</w:t>
      </w:r>
    </w:p>
    <w:p>
      <w:pPr>
        <w:spacing w:after="120" w:line="360"/>
        <w:ind w:firstLine="567"/>
        <w:jc w:val="both"/>
      </w:pPr>
      <w:r>
        <w:rPr>
          <w:rFonts w:ascii="Times New Roman" w:cs="Traditional Arabic" w:eastAsia="Times New Roman" w:hAnsi="Times New Roman"/>
          <w:i w:val="false"/>
          <w:sz w:val="24"/>
          <w:szCs w:val="24"/>
        </w:rPr>
        <w:t xml:space="preserve">Bu tespitler, bir araştırma paradigmasının dört sorusunu din eğitimcisinin gözünde somutlaştırmaktadır. </w:t>
      </w:r>
      <w:r>
        <w:rPr>
          <w:rFonts w:ascii="Times New Roman" w:cs="Traditional Arabic" w:eastAsia="Times New Roman" w:hAnsi="Times New Roman"/>
          <w:b/>
          <w:bCs/>
          <w:i w:val="false"/>
          <w:sz w:val="24"/>
          <w:szCs w:val="24"/>
        </w:rPr>
        <w:t xml:space="preserve">Varlık sorusu</w:t>
      </w:r>
      <w:r>
        <w:rPr>
          <w:rFonts w:ascii="Times New Roman" w:cs="Traditional Arabic" w:eastAsia="Times New Roman" w:hAnsi="Times New Roman"/>
          <w:i w:val="false"/>
          <w:sz w:val="24"/>
          <w:szCs w:val="24"/>
        </w:rPr>
        <w:t xml:space="preserve">, araştırılan şeyin, yani inancın, ibadetin, ahlakın ve bunları yaşayan insanın mahiyetini sormaktadır. </w:t>
      </w:r>
      <w:r>
        <w:rPr>
          <w:rFonts w:ascii="Times New Roman" w:cs="Traditional Arabic" w:eastAsia="Times New Roman" w:hAnsi="Times New Roman"/>
          <w:b/>
          <w:bCs/>
          <w:i w:val="false"/>
          <w:sz w:val="24"/>
          <w:szCs w:val="24"/>
        </w:rPr>
        <w:t xml:space="preserve">Bilgi sorusu</w:t>
      </w:r>
      <w:r>
        <w:rPr>
          <w:rFonts w:ascii="Times New Roman" w:cs="Traditional Arabic" w:eastAsia="Times New Roman" w:hAnsi="Times New Roman"/>
          <w:i w:val="false"/>
          <w:sz w:val="24"/>
          <w:szCs w:val="24"/>
        </w:rPr>
        <w:t xml:space="preserve">, bu şeyin nasıl ve ne ölçüde bilinebileceğini sormaktadır. </w:t>
      </w:r>
      <w:r>
        <w:rPr>
          <w:rFonts w:ascii="Times New Roman" w:cs="Traditional Arabic" w:eastAsia="Times New Roman" w:hAnsi="Times New Roman"/>
          <w:b/>
          <w:bCs/>
          <w:i w:val="false"/>
          <w:sz w:val="24"/>
          <w:szCs w:val="24"/>
        </w:rPr>
        <w:t xml:space="preserve">Yöntem sorusu</w:t>
      </w:r>
      <w:r>
        <w:rPr>
          <w:rFonts w:ascii="Times New Roman" w:cs="Traditional Arabic" w:eastAsia="Times New Roman" w:hAnsi="Times New Roman"/>
          <w:i w:val="false"/>
          <w:sz w:val="24"/>
          <w:szCs w:val="24"/>
        </w:rPr>
        <w:t xml:space="preserve">, bilgiye hangi yollardan ulaşılacağını sormaktadır. </w:t>
      </w:r>
      <w:r>
        <w:rPr>
          <w:rFonts w:ascii="Times New Roman" w:cs="Traditional Arabic" w:eastAsia="Times New Roman" w:hAnsi="Times New Roman"/>
          <w:b/>
          <w:bCs/>
          <w:i w:val="false"/>
          <w:sz w:val="24"/>
          <w:szCs w:val="24"/>
        </w:rPr>
        <w:t xml:space="preserve">Değer sorusu</w:t>
      </w:r>
      <w:r>
        <w:rPr>
          <w:rFonts w:ascii="Times New Roman" w:cs="Traditional Arabic" w:eastAsia="Times New Roman" w:hAnsi="Times New Roman"/>
          <w:i w:val="false"/>
          <w:sz w:val="24"/>
          <w:szCs w:val="24"/>
        </w:rPr>
        <w:t xml:space="preserve"> ise araştırmanın hangi değerlerle yürütüleceğini ve neye hizmet edeceğini sormaktadır. Kitabın bütün bölümlerinde bu dört soru, açıkça anılmasa bile, araştırmacının kararlarının arkasında durmaktadır.</w:t>
      </w:r>
    </w:p>
    <w:p>
      <w:pPr>
        <w:pStyle w:val="Heading2"/>
        <w:keepNext/>
        <w:spacing w:after="120" w:before="240"/>
      </w:pPr>
      <w:r>
        <w:rPr>
          <w:rFonts w:ascii="Times New Roman" w:cs="Traditional Arabic" w:eastAsia="Times New Roman" w:hAnsi="Times New Roman"/>
          <w:b/>
          <w:bCs/>
          <w:i w:val="false"/>
          <w:sz w:val="24"/>
          <w:szCs w:val="24"/>
        </w:rPr>
        <w:t xml:space="preserve">1.2. Paradigma ve Dünya Görüşü</w:t>
      </w:r>
    </w:p>
    <w:p>
      <w:pPr>
        <w:spacing w:after="120" w:line="360"/>
        <w:ind w:firstLine="567"/>
        <w:jc w:val="both"/>
      </w:pPr>
      <w:r>
        <w:rPr>
          <w:rFonts w:ascii="Times New Roman" w:cs="Traditional Arabic" w:eastAsia="Times New Roman" w:hAnsi="Times New Roman"/>
          <w:i w:val="false"/>
          <w:sz w:val="24"/>
          <w:szCs w:val="24"/>
        </w:rPr>
        <w:t xml:space="preserve">Sosyal bilimlerde bu dört soruya verilen birbiriyle tutarlı cevapların toplamına çoğu zaman paradigma ya da dünya görüşü denilmektedir. Creswell dünya görüşünü, bir araştırmacının çalışma öncesinde araştırmanın doğasına ve dünyaya ilişkin genel felsefi eğilimleri olarak tanımlamakta ve bu eğilimlerin ilgili disiplindeki yönelimlere, öğrencilerin danışmanlarının eğilimlerine ve geçmiş araştırma deneyimlerine dayalı olarak oluştuğunu belirtmektedir.</w:t>
      </w:r>
      <w:r>
        <w:rPr>
          <w:rStyle w:val="FootnoteReference"/>
        </w:rPr>
        <w:footnoteReference w:id="2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Aynı yazar başka bir eserinde, belirtelim ya da belirtmeyelim hepimizin dünya görüşlerimizi yaptığımız çalışmaya yansıttığımızı ifade etmektedir.</w:t>
      </w:r>
      <w:r>
        <w:rPr>
          <w:rStyle w:val="FootnoteReference"/>
        </w:rPr>
        <w:footnoteReference w:id="2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“Dünya görüşü, bir araştırmacının çalışma öncesinde araştırmanın doğası ve dünyayla ilgili genel felsefi eğilimlerini belirtmektedir. Dünya görüşleri ilgili disiplindeki yönelimler, öğrencilerin danışman/rehberlerinin eğilimleri ve geçmiş araştırma deneyimlerine dayalı olarak oluşmaktadır.”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6, PDF s. 37. Not: Bu iki cümlede atıf yoktur; hemen önceki cümlelerde dünya görüşünün tırnaklı bir tanımı Guba’ya dayandırılmaktadır ve o tanım kullanılmamıştır.]</w:t>
      </w:r>
    </w:p>
    <w:p>
      <w:pPr>
        <w:pStyle w:val="Dogrulama"/>
        <w:spacing w:after="20" w:line="276"/>
        <w:ind w:left="567"/>
        <w:jc w:val="both"/>
      </w:pPr>
      <w:r>
        <w:rPr>
          <w:rFonts w:ascii="Times New Roman" w:cs="Traditional Arabic" w:eastAsia="Times New Roman" w:hAnsi="Times New Roman"/>
          <w:i/>
          <w:iCs/>
          <w:sz w:val="22"/>
          <w:szCs w:val="22"/>
        </w:rPr>
        <w:t xml:space="preserve">“Hepimiz belirtelim ya da belirtmeyelim dünya görüşlerimizi (veya paradigmamızı) yapmış olduğumuz çalışmaya yansıtırız.”</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Karma Yöntem Araştırmalarına Giriş{John W. Creswell}(2021, Pegem Akademi Yayıncılık){116333257} libgen.li.pdf, basılı s. 16, PDF s. 36. Not: Hemen sonraki cümle Guba’ya dayanmaktadır ve kullanılmamıştır.]</w:t>
      </w:r>
    </w:p>
    <w:p>
      <w:pPr>
        <w:spacing w:after="120" w:line="360"/>
        <w:ind w:firstLine="567"/>
        <w:jc w:val="both"/>
      </w:pPr>
      <w:r>
        <w:rPr>
          <w:rFonts w:ascii="Times New Roman" w:cs="Traditional Arabic" w:eastAsia="Times New Roman" w:hAnsi="Times New Roman"/>
          <w:i w:val="false"/>
          <w:sz w:val="24"/>
          <w:szCs w:val="24"/>
        </w:rPr>
        <w:t xml:space="preserve">Creswell’in birinci tanımındaki ayrıntı din eğitimi araştırmacısı için dikkat çekicidir. Dünya görüşü yalnızca felsefi düşünmenin değil, disiplinin alışkanlıklarının, danışmanların tercihlerinin ve araştırmacının geçmiş tecrübelerinin de mahsulüdür. Başka bir ifadeyle araştırmacı, paradigmasını çoğu zaman bilinçli bir tercihle değil, içinde yetiştiği akademik çevreden devralarak benimsemektedir. Kanaatimizce bu durum, üçüncü bölümde ele alınacak olan mebâdîde taklit meselesinin modern bir ifadesidir.</w:t>
      </w:r>
    </w:p>
    <w:p>
      <w:pPr>
        <w:spacing w:after="120" w:line="360"/>
        <w:ind w:firstLine="567"/>
        <w:jc w:val="both"/>
      </w:pPr>
      <w:r>
        <w:rPr>
          <w:rFonts w:ascii="Times New Roman" w:cs="Traditional Arabic" w:eastAsia="Times New Roman" w:hAnsi="Times New Roman"/>
          <w:i w:val="false"/>
          <w:sz w:val="24"/>
          <w:szCs w:val="24"/>
        </w:rPr>
        <w:t xml:space="preserve">Aydın Beraha ise paradigmanın araştırmacılar için yararlı bir pusula olduğunu kabul etmekle birlikte, bazen baskın teoriye ya da paradigmaya yönelik eleştirel bir tutumun bilimsel araştırma için daha yararlı olabileceğini belirtmektedir.</w:t>
      </w:r>
      <w:r>
        <w:rPr>
          <w:rStyle w:val="FootnoteReference"/>
        </w:rPr>
        <w:footnoteReference w:id="2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değerlendirme kitabın tutumuna da yakındır. Paradigma bir pusuladır, fakat pusulanın kendisi de sorgulanabilir. Akpunar’ın öğretmenlere yönelik uyarısı da aynı yöndedir. Ona göre öğretmen ve öğretmen adaylarının tek bir felsefi görüşe odaklanarak mesleğe hazırlanması indirgemeciliktir, çünkü eğitime dair fikir ve uygulamaları tek bir felsefi kulvara sıkıştırmak hem kolay hem de doğru değildir.</w:t>
      </w:r>
      <w:r>
        <w:rPr>
          <w:rStyle w:val="FootnoteReference"/>
        </w:rPr>
        <w:footnoteReference w:id="2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“Sonuç olarak, paradigmalar araştırmacılar için yararlı bir pusula olsa da, bazen baskın teori veya paradigmaya yönelik eleştirel tutum, bilimsel araştırma için daha yararlı olabilir.”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Bilimsel Düşünce ve Araştırma Metodolojisi{Dr. Aydın Beraha}(2021, Gazi Kitabevi){116327078} libgen.li.pdf, basılı s. 36, PDF s. 46. Not: Aynı paragrafta paradigmanın tanımı Kuhn’a atfedilmektedir; alıntılanan son cümle yazarın kendi değerlendirmesidir.]</w:t>
      </w:r>
    </w:p>
    <w:p>
      <w:pPr>
        <w:pStyle w:val="Dogrulama"/>
        <w:spacing w:after="20" w:line="276"/>
        <w:ind w:left="567"/>
        <w:jc w:val="both"/>
      </w:pPr>
      <w:r>
        <w:rPr>
          <w:rFonts w:ascii="Times New Roman" w:cs="Traditional Arabic" w:eastAsia="Times New Roman" w:hAnsi="Times New Roman"/>
          <w:i/>
          <w:iCs/>
          <w:sz w:val="22"/>
          <w:szCs w:val="22"/>
        </w:rPr>
        <w:t xml:space="preserve">“Aksine öğretmen adayı ve öğretmenlerin salt bir felsefi görüşe odaklanarak mesleğe hazırlanması veya mesleğini icra etmeye çalışması, indirgemeciliktir. Zira oldukça kapsamlı olan eğitime dair fikir ve uygulamaları tek bir felsefi kulvara sıkıştırmak kolay olmadığı gibi, doğru da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Eğitim Felsefesi{Mustafa Ergün _ Ahmet Çoban _ Gürbüz Ocak _ Akkaş Baysal _ Burhan Akpunar _ Cevdet Epçaçan _ Ata}…(202.pdf, 6. Bölüm (Burhan Akpunar), basılı s. 122, PDF s. 138]</w:t>
      </w:r>
    </w:p>
    <w:p>
      <w:pPr>
        <w:spacing w:after="120" w:line="360"/>
        <w:ind w:firstLine="567"/>
        <w:jc w:val="both"/>
      </w:pPr>
      <w:r>
        <w:rPr>
          <w:rFonts w:ascii="Times New Roman" w:cs="Traditional Arabic" w:eastAsia="Times New Roman" w:hAnsi="Times New Roman"/>
          <w:i w:val="false"/>
          <w:sz w:val="24"/>
          <w:szCs w:val="24"/>
        </w:rPr>
        <w:t xml:space="preserve">Paradigma kavramının bilim tarihindeki asıl kaynağı Thomas Kuhn’un çalışmalarıdır. Kuhn’un kendi metinleri sağlanan belgeler arasında bulunmadığından burada Kuhn’un bilim yorumunu sosyal bilimler açısından tartışan Barry Barnes’ın değerlendirmeleri esas alınmıştır [KUHN’UN BİRİNCİL METİNLERİ SAĞLANAN BELGELERDE KAYNAK BULUNAMADI]. Barnes, bilimsel araştırmayı icra edenlerin önceki kuşaklarca geliştirilen bir kültürün alıcıları olduğunu, araştırmanın gelenekten bağımsız sürdürülemeyeceğini ve geçici de olsa geleneğin kabulünün bilimi icra etmenin ön şartı olduğunu belirtmektedir.</w:t>
      </w:r>
      <w:r>
        <w:rPr>
          <w:rStyle w:val="FootnoteReference"/>
        </w:rPr>
        <w:footnoteReference w:id="2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paradigma değişiminde yeniyi eskiye tercih etmek için bağlamdan bağımsız bir “rasyonel doğrulama” ya da iptal edilemez bir “ilerleme” delili sağlamak mümkün değildir; devrimler, bilimsel hayatın ortak normlara göre mukayese edilemez biçimlerini birbirinden ayırır.</w:t>
      </w:r>
      <w:r>
        <w:rPr>
          <w:rStyle w:val="FootnoteReference"/>
        </w:rPr>
        <w:footnoteReference w:id="2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Barnes’ın bu yorumdan çıkardığı sonuç ise din eğitimi araştırmacısı için ayrıca dikkate değerdir: Kültür ile deney birbirinin karşıtı değildir; bilgi artarken ikisi daima karşılıklı etkileşim içinde iş görür.</w:t>
      </w:r>
      <w:r>
        <w:rPr>
          <w:rStyle w:val="FootnoteReference"/>
        </w:rPr>
        <w:footnoteReference w:id="29"/>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“Bilimsel araştırmayı icra edenler, önceki kuşaklar tarafından geliştirilen bir kültürün alıcılarıdır. Araştırma gelenekten bağımsız olarak sürdürülemez; geçici de olsa onun kabulü, bilimi icra etmenin ön şartıdır.”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Barry Barnes - Thomas Kuhn ve Sosyal Bilimler (Paradigma) - libgen.li.pdf, basılı s. 11. Metin, Drive üzerinden alınan metin çıkarımından aktarılmıştır; basılı numara metne gömülü üst bilgiden okunmuştur. Basılı nüshadan teyit edilmelidir.]</w:t>
      </w:r>
    </w:p>
    <w:p>
      <w:pPr>
        <w:pStyle w:val="Dogrulama"/>
        <w:spacing w:after="20" w:line="276"/>
        <w:ind w:left="567"/>
        <w:jc w:val="both"/>
      </w:pPr>
      <w:r>
        <w:rPr>
          <w:rFonts w:ascii="Times New Roman" w:cs="Traditional Arabic" w:eastAsia="Times New Roman" w:hAnsi="Times New Roman"/>
          <w:i/>
          <w:iCs/>
          <w:sz w:val="22"/>
          <w:szCs w:val="22"/>
        </w:rPr>
        <w:t xml:space="preserve">“Fakat, pratik bir defa yeniden inşa edildi mi, yeniyi eskiye tercih etmek için herhangi bir kontekstten-bağımsız”rasyonel doğrulama”, herhangi bir iptal edilemez “gelişme” ya da “ilerleme” delili sağlamak asla mümkün değildir. […] Hiçbir şey, mukayeseli değerlendirme için sabit bir liman temin edemez. Devrimler, bilimsel hayatın ortak/evrensel normlara göre mukayese edilemez (incommensurable) formlarını birbirinden ayırırlar.”</w:t>
      </w:r>
    </w:p>
    <w:p>
      <w:pPr>
        <w:pStyle w:val="Dogrulama"/>
        <w:spacing w:after="80" w:line="240"/>
        <w:ind w:left="567"/>
      </w:pPr>
      <w:r>
        <w:rPr>
          <w:rFonts w:ascii="Times New Roman" w:cs="Traditional Arabic" w:eastAsia="Times New Roman" w:hAnsi="Times New Roman"/>
          <w:i w:val="false"/>
          <w:color w:val="7F7F7F"/>
          <w:sz w:val="18"/>
          <w:szCs w:val="18"/>
        </w:rPr>
        <w:t xml:space="preserve">[Dosya: Barry Barnes - Thomas Kuhn ve Sosyal Bilimler (Paradigma) - libgen.li.pdf, basılı s. 22. Pasaj Barnes’ın </w:t>
      </w:r>
      <w:r>
        <w:rPr>
          <w:rFonts w:ascii="Times New Roman" w:cs="Traditional Arabic" w:eastAsia="Times New Roman" w:hAnsi="Times New Roman"/>
          <w:i/>
          <w:iCs/>
          <w:color w:val="7F7F7F"/>
          <w:sz w:val="18"/>
          <w:szCs w:val="18"/>
        </w:rPr>
        <w:t xml:space="preserve">Bilimsel Devrimlerin Yapısı</w:t>
      </w:r>
      <w:r>
        <w:rPr>
          <w:rFonts w:ascii="Times New Roman" w:cs="Traditional Arabic" w:eastAsia="Times New Roman" w:hAnsi="Times New Roman"/>
          <w:i w:val="false"/>
          <w:color w:val="7F7F7F"/>
          <w:sz w:val="18"/>
          <w:szCs w:val="18"/>
        </w:rPr>
        <w:t xml:space="preserve"> özeti içinde yer almaktadır; ifade ve değerlendirme Barnes’a aittir. Metin, Drive üzerinden alınan metin çıkarımından aktarılmıştır; basılı numara metne gömülü üst bilgiden okunmuştur. Basılı nüshadan teyit edilmelidir.]</w:t>
      </w:r>
    </w:p>
    <w:p>
      <w:pPr>
        <w:pStyle w:val="Dogrulama"/>
        <w:spacing w:after="20" w:line="276"/>
        <w:ind w:left="567"/>
        <w:jc w:val="both"/>
      </w:pPr>
      <w:r>
        <w:rPr>
          <w:rFonts w:ascii="Times New Roman" w:cs="Traditional Arabic" w:eastAsia="Times New Roman" w:hAnsi="Times New Roman"/>
          <w:i/>
          <w:iCs/>
          <w:sz w:val="22"/>
          <w:szCs w:val="22"/>
        </w:rPr>
        <w:t xml:space="preserve">“Bu manişeist mitoloji lehinde söylenebilecek hiçbir şey yoktur. Kültür ile deney, bilgi artarken, daima karşılıklı etkileşim içindedirler; çatışma halinde değil; ortaklaşa yaşayarak işgörürler.”</w:t>
      </w:r>
    </w:p>
    <w:p>
      <w:pPr>
        <w:pStyle w:val="Dogrulama"/>
        <w:spacing w:after="80" w:line="240"/>
        <w:ind w:left="567"/>
      </w:pPr>
      <w:r>
        <w:rPr>
          <w:rFonts w:ascii="Times New Roman" w:cs="Traditional Arabic" w:eastAsia="Times New Roman" w:hAnsi="Times New Roman"/>
          <w:i w:val="false"/>
          <w:color w:val="7F7F7F"/>
          <w:sz w:val="18"/>
          <w:szCs w:val="18"/>
        </w:rPr>
        <w:t xml:space="preserve">[Dosya: Barry Barnes - Thomas Kuhn ve Sosyal Bilimler (Paradigma) - libgen.li.pdf, basılı s. 39. Metin, Drive üzerinden alınan metin çıkarımından aktarılmıştır; basılı numara metne gömülü üst bilgiden okunmuştur. Basılı nüshadan teyit edilmelidir.]</w:t>
      </w:r>
    </w:p>
    <w:p>
      <w:pPr>
        <w:spacing w:after="120" w:line="360"/>
        <w:ind w:firstLine="567"/>
        <w:jc w:val="both"/>
      </w:pPr>
      <w:r>
        <w:rPr>
          <w:rFonts w:ascii="Times New Roman" w:cs="Traditional Arabic" w:eastAsia="Times New Roman" w:hAnsi="Times New Roman"/>
          <w:i w:val="false"/>
          <w:sz w:val="24"/>
          <w:szCs w:val="24"/>
        </w:rPr>
        <w:t xml:space="preserve">Barnes’ın bu tespitleri, ileride tahkîk paradigmasını kurarken geleneği bilginin engeli değil zemini sayan yaklaşımımızla doğrudan örtüşmektedir. Bir araştırmacının gelenekte konumlanması onun bilimselliğini zedelemez; aksine araştırmayı mümkün kılan ilk şarttır. Ne var ki paradigmalar arasında ortak bir ölçüt bulunmadığı iddiası, hakikat sorusunu askıya alma tehlikesini de beraberinde getirir. Tahkîk paradigmasının nefsü’l-emr ilkesi bu boşluğa verilmiş bir cevap olarak düşünülmüştür.</w:t>
      </w:r>
    </w:p>
    <w:p>
      <w:pPr>
        <w:pStyle w:val="Heading2"/>
        <w:keepNext/>
        <w:spacing w:after="120" w:before="240"/>
      </w:pPr>
      <w:r>
        <w:rPr>
          <w:rFonts w:ascii="Times New Roman" w:cs="Traditional Arabic" w:eastAsia="Times New Roman" w:hAnsi="Times New Roman"/>
          <w:b/>
          <w:bCs/>
          <w:i w:val="false"/>
          <w:sz w:val="24"/>
          <w:szCs w:val="24"/>
        </w:rPr>
        <w:t xml:space="preserve">1.3. Pozitivist Bilgi İdeali ve Sınırı</w:t>
      </w:r>
    </w:p>
    <w:p>
      <w:pPr>
        <w:spacing w:after="120" w:line="360"/>
        <w:ind w:firstLine="567"/>
        <w:jc w:val="both"/>
      </w:pPr>
      <w:r>
        <w:rPr>
          <w:rFonts w:ascii="Times New Roman" w:cs="Traditional Arabic" w:eastAsia="Times New Roman" w:hAnsi="Times New Roman"/>
          <w:i w:val="false"/>
          <w:sz w:val="24"/>
          <w:szCs w:val="24"/>
        </w:rPr>
        <w:t xml:space="preserve">Modern sosyal bilimlerin kuruluş dönemine damgasını vuran bilgi anlayışı pozitivizmdir. Beraha klasik bilim anlayışının en iyi temsil edildiği felsefenin pozitivizm olduğunu belirtmekte ve pozitivist araştırmacının, insanlara sunulan tek bir gerçekliğin var olduğunu, bu gerçekliğin ölçülebildiğini ve belli oranda bir kesinliği bulunduğunu söyleyen bir ontolojik görüşe sahip olduğunu ifade etmektedir.</w:t>
      </w:r>
      <w:r>
        <w:rPr>
          <w:rStyle w:val="FootnoteReference"/>
        </w:rPr>
        <w:footnoteReference w:id="3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Creswell de postpozitivist bakış açısıyla geliştirilen bilginin, dünyada “dışarıda bir yerde” var olan nesnel bir gerçekliğin dikkatli bir şekilde gözlemlenmesine ve ölçülmesine dayandığını belirtmektedir.</w:t>
      </w:r>
      <w:r>
        <w:rPr>
          <w:rStyle w:val="FootnoteReference"/>
        </w:rPr>
        <w:footnoteReference w:id="3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“Klasik bilim anlayışının en iyi temsil edildiği felsefe pozitivizmdir.”</w:t>
      </w:r>
    </w:p>
    <w:p>
      <w:pPr>
        <w:pStyle w:val="Dogrulama"/>
        <w:spacing w:after="20" w:line="276"/>
        <w:ind w:left="567"/>
        <w:jc w:val="both"/>
      </w:pPr>
      <w:r>
        <w:rPr>
          <w:rFonts w:ascii="Times New Roman" w:cs="Traditional Arabic" w:eastAsia="Times New Roman" w:hAnsi="Times New Roman"/>
          <w:i/>
          <w:iCs/>
          <w:sz w:val="22"/>
          <w:szCs w:val="22"/>
        </w:rPr>
        <w:t xml:space="preserve">“Bir pozitivist araştırmacı, insanlara sunulan tek bir gerçekliğin var olduğunu ve bu gerçekliğin ölçülebildiğini ve belli oranda bir kesinliği olduğunu söyleyen ontolojik bir görüşe sahiptir.”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Bilimsel Düşünce ve Araştırma Metodolojisi{Dr. Aydın Beraha}(2021, Gazi Kitabevi){116327078} libgen.li.pdf, basılı s. 11, PDF s. 21. Not: İki cümle arasında pozitivizm teriminin Auguste Comte tarafından ortaya atıldığına dair tarihsel bir cümle yer almaktadır.]</w:t>
      </w:r>
    </w:p>
    <w:p>
      <w:pPr>
        <w:pStyle w:val="Dogrulama"/>
        <w:spacing w:after="20" w:line="276"/>
        <w:ind w:left="567"/>
        <w:jc w:val="both"/>
      </w:pPr>
      <w:r>
        <w:rPr>
          <w:rFonts w:ascii="Times New Roman" w:cs="Traditional Arabic" w:eastAsia="Times New Roman" w:hAnsi="Times New Roman"/>
          <w:i/>
          <w:iCs/>
          <w:sz w:val="22"/>
          <w:szCs w:val="22"/>
        </w:rPr>
        <w:t xml:space="preserve">“Postpozitivist bakış açısıyla geliştirilen bilgi, dünyada”dışarıda bir yerde” var olan objektif bir gerçekliğin dikkatli bir şekilde gözlemlenmesi ve ölçülmesine dayanmaktadır.”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7, PDF s. 38. Not: Metin çıkarımında “obj ektif” biçiminde görünen kelime birleştirilerek verilmiştir; basılı nüshadan kontrol edilmelidir. Aynı sayfadaki numaralı varsayımlar listesi Phillips ve Burbules’e dayandırıldığı için kullanılmamıştır.]</w:t>
      </w:r>
    </w:p>
    <w:p>
      <w:pPr>
        <w:spacing w:after="120" w:line="360"/>
        <w:ind w:firstLine="567"/>
        <w:jc w:val="both"/>
      </w:pPr>
      <w:r>
        <w:rPr>
          <w:rFonts w:ascii="Times New Roman" w:cs="Traditional Arabic" w:eastAsia="Times New Roman" w:hAnsi="Times New Roman"/>
          <w:i w:val="false"/>
          <w:sz w:val="24"/>
          <w:szCs w:val="24"/>
        </w:rPr>
        <w:t xml:space="preserve">Bu bilgi idealinin gücü, iddialarını kanıta bağlama ve araştırmacının kişisel tercihlerini sonuçlardan ayırma çabasındadır. Ne var ki aynı ideal kendi içinde bir yumuşama da geçirmiştir. Beraha, gerçek olma durumunun mutlaklığının tartışmalı olduğunu, “muhtemelen doğru” ya da “yaklaşık olarak doğru”, hatta “muhtemelen yaklaşık olarak doğru” demenin belki daha doğru olacağını belirtmektedir.</w:t>
      </w:r>
      <w:r>
        <w:rPr>
          <w:rStyle w:val="FootnoteReference"/>
        </w:rPr>
        <w:footnoteReference w:id="3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Pozitivizmden postpozitivizme geçiş, büyük ölçüde bu kesinlik iddiasının yumuşatılmasıdır.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“Ancak bu gerçek olma durumunun mutlakıyeti tartışmalı olacaktır. Yani muhtemelen doğru ya da yaklaşık olarak doğru, hatta muhtemelen yaklaşık olarak doğru demek belki daha doğru olacaktır.”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Bilimsel Düşünce ve Araştırma Metodolojisi{Dr. Aydın Beraha}(2021, Gazi Kitabevi){116327078} libgen.li.pdf, basılı s. 12, PDF s. 22. Not: Paragraf “modern bilim felsefesine göre” ifadesiyle başlamaktadır; alıntılanan cümle yazarın kendi değerlendirmesidir.]</w:t>
      </w:r>
    </w:p>
    <w:p>
      <w:pPr>
        <w:spacing w:after="120" w:line="360"/>
        <w:ind w:firstLine="567"/>
        <w:jc w:val="both"/>
      </w:pPr>
      <w:r>
        <w:rPr>
          <w:rFonts w:ascii="Times New Roman" w:cs="Traditional Arabic" w:eastAsia="Times New Roman" w:hAnsi="Times New Roman"/>
          <w:i w:val="false"/>
          <w:sz w:val="24"/>
          <w:szCs w:val="24"/>
        </w:rPr>
        <w:t xml:space="preserve">Pozitivist idealin sosyal bilimlerdeki asıl güçlüğü ise konusunun insan olmasından doğmaktadır. Beraha doğa bilimleri ile sosyal bilimler arasındaki en önemli farkın, sosyal bilimlerin konusu olan insanın serbest düşünme ve hareket etme özelliğine sahip olması olduğunu belirtmektedir.</w:t>
      </w:r>
      <w:r>
        <w:rPr>
          <w:rStyle w:val="FootnoteReference"/>
        </w:rPr>
        <w:footnoteReference w:id="3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Zygmunt Bauman ise bu farkın sosyal bilimlerin kuruluşunda nasıl örtüldüğünü daha keskin bir dille anlatmaktadır. Ona göre bu yaklaşımda olgunun anlaşılması açıklamaya çökmüş, anlama, olgunun meydana gelmesini kaçınılmaz kılan özel şartların ve genel kuralların gösterilmesinden ibaret bir şey olmuştur. Yalnızca bu türden bir anlama, doğa bilimlerinin başarılarını taklit etmeye çalışan bir toplum bilimiyle uyumlu görünmüştür.</w:t>
      </w:r>
      <w:r>
        <w:rPr>
          <w:rStyle w:val="FootnoteReference"/>
        </w:rPr>
        <w:footnoteReference w:id="3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“Doğa bilimleri ile sosyal bilimler (beşeri bilimler) arasındaki en önemli fark, sosyal bilimlerin konusu olan insanın serbest düşünme ve hareket etme özelliğine sahip olmasıdır.”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Bilimsel Düşünce ve Araştırma Metodolojisi{Dr. Aydın Beraha}(2021, Gazi Kitabevi){116327078} libgen.li.pdf, basılı s. 47, PDF s. 57]</w:t>
      </w:r>
    </w:p>
    <w:p>
      <w:pPr>
        <w:pStyle w:val="Dogrulama"/>
        <w:spacing w:after="20" w:line="276"/>
        <w:ind w:left="567"/>
        <w:jc w:val="both"/>
      </w:pPr>
      <w:r>
        <w:rPr>
          <w:rFonts w:ascii="Times New Roman" w:cs="Traditional Arabic" w:eastAsia="Times New Roman" w:hAnsi="Times New Roman"/>
          <w:i/>
          <w:iCs/>
          <w:sz w:val="22"/>
          <w:szCs w:val="22"/>
        </w:rPr>
        <w:t xml:space="preserve">“Bu yaklaşımdaki olgunun”anlaması (anlayışı)“,”açıklama”ya çökmüştü. Amaç mânâsındaki “anlam” olmaksızın “anlama” yani olgunun mantığının entelektüel kavranışı; onların “açıklama”sı yani verili olgunun vuku bulmasını kaçınılmaz kılan özel şartlar ve genel kuralların tanıtlanmasını içeren bir şey oluyordu. Yalnızca bu türden bir “anlama”, doğa bilimlerinin muhteşem başarılarını taklit etmeye öykünen bir toplum bilimi ile uyumlu görünüyordu.”</w:t>
      </w:r>
    </w:p>
    <w:p>
      <w:pPr>
        <w:pStyle w:val="Dogrulama"/>
        <w:spacing w:after="80" w:line="240"/>
        <w:ind w:left="567"/>
      </w:pPr>
      <w:r>
        <w:rPr>
          <w:rFonts w:ascii="Times New Roman" w:cs="Traditional Arabic" w:eastAsia="Times New Roman" w:hAnsi="Times New Roman"/>
          <w:i w:val="false"/>
          <w:color w:val="7F7F7F"/>
          <w:sz w:val="18"/>
          <w:szCs w:val="18"/>
        </w:rPr>
        <w:t xml:space="preserve">[Dosya: Zygmunt Bauman - Hermenötik ve Sosyal Bilimler_ Anlama’ya Dair Yaklaşımlar (2017, Ayrıntı Yayınları) - libgen.li.pdf, basılı s. [15], PDF s. 15. Basılı numara sayfada görünmemektedir; komşu sayfalarda görünen numaralar PDF sayfa numaralarıyla aynı olduğu için bu numara oradan çıkarılmıştır. Not: Metin çıkarımındaki tutarsız tırnak işaretleri düzeltilmiştir; basılı nüshadan kontrol edilmelidir.]</w:t>
      </w:r>
    </w:p>
    <w:p>
      <w:pPr>
        <w:spacing w:after="120" w:line="360"/>
        <w:ind w:firstLine="567"/>
        <w:jc w:val="both"/>
      </w:pPr>
      <w:r>
        <w:rPr>
          <w:rFonts w:ascii="Times New Roman" w:cs="Traditional Arabic" w:eastAsia="Times New Roman" w:hAnsi="Times New Roman"/>
          <w:i w:val="false"/>
          <w:sz w:val="24"/>
          <w:szCs w:val="24"/>
        </w:rPr>
        <w:t xml:space="preserve">Bauman’ın “taklit” kelimesini kullanması bu kitabın konusu bakımından anlamlıdır. Sosyal bilimler, kendi nesnelerinin mahiyetini düşünmeden önce, başka bir alanın başarısını taklit ederek kurulmuştur. Kanaatimizce din eğitimi araştırması için bu tespitin dersi açıktır. Bir yöntemin başka bir alanda başarılı olması, onun her alanın mahiyetine uygun olduğunu göstermemektedir.</w:t>
      </w:r>
    </w:p>
    <w:p>
      <w:pPr>
        <w:spacing w:after="120" w:line="360"/>
        <w:ind w:firstLine="567"/>
        <w:jc w:val="both"/>
      </w:pPr>
      <w:r>
        <w:rPr>
          <w:rFonts w:ascii="Times New Roman" w:cs="Traditional Arabic" w:eastAsia="Times New Roman" w:hAnsi="Times New Roman"/>
          <w:i w:val="false"/>
          <w:sz w:val="24"/>
          <w:szCs w:val="24"/>
        </w:rPr>
        <w:t xml:space="preserve">Sosyal bilimler tarihini kapsamlı biçimde inceleyen Scott Gordon da aynı tarihî bağı tespit etmektedir. Gordon’a göre sosyal bilimler gelişme dönemlerinin başlangıcında doğa bilimlerinin başarılarından esinlenmiş ve insanlardaki sosyalliği anlamak için doğa bilimlerinin başarıyla kullandığı yeni kavramları kullanmaya çalışmıştır.</w:t>
      </w:r>
      <w:r>
        <w:rPr>
          <w:rStyle w:val="FootnoteReference"/>
        </w:rPr>
        <w:footnoteReference w:id="3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Ne var ki Gordon bu modelin sınırlarını da açıkça ortaya koyar. Ona göre sosyal bilimler ne kadar gelişirse gelişsin, bazı toplumsal olgular hiçbir zaman nomolojik genellemelere elverişli olmayacaktır.</w:t>
      </w:r>
      <w:r>
        <w:rPr>
          <w:rStyle w:val="FootnoteReference"/>
        </w:rPr>
        <w:footnoteReference w:id="3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Sosyal bilimin büyük bir kısmı pratik problemlerle ilgilendiği için değerlerle de ilgilidir ve sosyal bilimlerde değer yargılarından bağımsız pek az konu vardır.</w:t>
      </w:r>
      <w:r>
        <w:rPr>
          <w:rStyle w:val="FootnoteReference"/>
        </w:rPr>
        <w:footnoteReference w:id="3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iki tespit, değer ve anlam yüklü bir alan olan din eğitiminin araştırılmasında genelleme ve tarafsızlık iddialarının ölçülü kullanılması gerektiğini göstermektedir.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“Doğa bilimlerinin ortaya çıkışı araştırma konumuz sosyal bilimlerin tarihi açısından merkezi öneme sahiptir. Sosyal bilimler gelişme dönemlerinin başlangıcında doğa bilimlerinin başarılarından esinlendiler ve insanlarda sosyalliği anlamak için doğa bilimlerinin doğadaki olguları araştırırken başarılı bir biçimde kullandıkları yeni kavramları kullanmaya çalıştılar.”</w:t>
      </w:r>
    </w:p>
    <w:p>
      <w:pPr>
        <w:pStyle w:val="Dogrulama"/>
        <w:spacing w:after="80" w:line="240"/>
        <w:ind w:left="567"/>
      </w:pPr>
      <w:r>
        <w:rPr>
          <w:rFonts w:ascii="Times New Roman" w:cs="Traditional Arabic" w:eastAsia="Times New Roman" w:hAnsi="Times New Roman"/>
          <w:i w:val="false"/>
          <w:color w:val="7F7F7F"/>
          <w:sz w:val="18"/>
          <w:szCs w:val="18"/>
        </w:rPr>
        <w:t xml:space="preserve">[Dosya: Scott Gordon - Sosyal Bilimler Tarihi ve Felsefesi (2015, Küre Yayınları) - libgen.li.pdf, basılı s. [35]. Bölüm açılış sayfasıdır; numara sayfada görünmemekte, İçindekiler’den çıkarılmıştır. Metin çıkarımında “konu.muz” biçiminde görünen kelime düzeltilmiştir. Metin, Drive üzerinden alınan metin çıkarımından aktarılmıştır; basılı numara metne gömülü üst bilgiden okunmuştur. Basılı nüshadan teyit edilmelidir.]</w:t>
      </w:r>
    </w:p>
    <w:p>
      <w:pPr>
        <w:pStyle w:val="Dogrulama"/>
        <w:spacing w:after="20" w:line="276"/>
        <w:ind w:left="567"/>
        <w:jc w:val="both"/>
      </w:pPr>
      <w:r>
        <w:rPr>
          <w:rFonts w:ascii="Times New Roman" w:cs="Traditional Arabic" w:eastAsia="Times New Roman" w:hAnsi="Times New Roman"/>
          <w:i/>
          <w:iCs/>
          <w:sz w:val="22"/>
          <w:szCs w:val="22"/>
        </w:rPr>
        <w:t xml:space="preserve">“Muhtemelen, sosyal bilimler ne kadar gelişirse gelişsin, bazı toplumsal olgular hiçbir zaman nomolojik genellemeler formüle etmeye elverişli olmayacaktır.”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Scott Gordon - Sosyal Bilimler Tarihi ve Felsefesi (2015, Küre Yayınları) - libgen.li.pdf, basılı s. 73. Metin, Drive üzerinden alınan metin çıkarımından aktarılmıştır; basılı numara metne gömülü üst bilgiden okunmuştur. Basılı nüshadan teyit edilmelidir.]</w:t>
      </w:r>
    </w:p>
    <w:p>
      <w:pPr>
        <w:pStyle w:val="Dogrulama"/>
        <w:spacing w:after="20" w:line="276"/>
        <w:ind w:left="567"/>
        <w:jc w:val="both"/>
      </w:pPr>
      <w:r>
        <w:rPr>
          <w:rFonts w:ascii="Times New Roman" w:cs="Traditional Arabic" w:eastAsia="Times New Roman" w:hAnsi="Times New Roman"/>
          <w:i/>
          <w:iCs/>
          <w:sz w:val="22"/>
          <w:szCs w:val="22"/>
        </w:rPr>
        <w:t xml:space="preserve">“Ancak, sosyal bilimin büyük bir kısmı pratik problemlerle ilgilenir ve bu yüzden, büyük bir kısmı değerlerle ilgilidir. […] Günümüzde neredeyse hiç kimse ahlâki sorunların, örneğin jeolojideki ‘levha tektoniği teorisi’yle veya dış uzayda ’kara delikler’ olduğu önermesiyle ilişkili olduğuna inanmasa da, sosyal bilimlerde değer yargılarından bağımsız çok az konu vardır.”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Scott Gordon - Sosyal Bilimler Tarihi ve Felsefesi (2015, Küre Yayınları) - libgen.li.pdf, basılı s. 74. Metin çıkarımında “ahlfilô” biçiminde görünen kelime “ahlâki” olarak düzeltilmiştir. Metin, Drive üzerinden alınan metin çıkarımından aktarılmıştır; basılı numara metne gömülü üst bilgiden okunmuştur. Basılı nüshadan teyit edilmelidir.]</w:t>
      </w:r>
    </w:p>
    <w:p>
      <w:pPr>
        <w:pStyle w:val="Heading2"/>
        <w:keepNext/>
        <w:spacing w:after="120" w:before="240"/>
      </w:pPr>
      <w:r>
        <w:rPr>
          <w:rFonts w:ascii="Times New Roman" w:cs="Traditional Arabic" w:eastAsia="Times New Roman" w:hAnsi="Times New Roman"/>
          <w:b/>
          <w:bCs/>
          <w:i w:val="false"/>
          <w:sz w:val="24"/>
          <w:szCs w:val="24"/>
        </w:rPr>
        <w:t xml:space="preserve">1.4. Anlama Sorunu ve Hermenötik Meydan Okuma</w:t>
      </w:r>
    </w:p>
    <w:p>
      <w:pPr>
        <w:spacing w:after="120" w:line="360"/>
        <w:ind w:firstLine="567"/>
        <w:jc w:val="both"/>
      </w:pPr>
      <w:r>
        <w:rPr>
          <w:rFonts w:ascii="Times New Roman" w:cs="Traditional Arabic" w:eastAsia="Times New Roman" w:hAnsi="Times New Roman"/>
          <w:i w:val="false"/>
          <w:sz w:val="24"/>
          <w:szCs w:val="24"/>
        </w:rPr>
        <w:t xml:space="preserve">Pozitivist idealin karşısında yükselen en güçlü itiraz, hermenötik gelenekten gelmiştir. Bauman bu itirazın sosyal bilimler için ne anlama geldiğini kitabının girişinde açıkça ortaya koymaktadır. Ona göre hermenötiğin, sosyal bilimlerin doğa bilimlerinin inandırıcılık standartlarına ve otoritesine erişmesi gerektiği fikrine karşı meydan okuması iki sorundan oluşmaktadır: uzlaşı ve hakikat.</w:t>
      </w:r>
      <w:r>
        <w:rPr>
          <w:rStyle w:val="FootnoteReference"/>
        </w:rPr>
        <w:footnoteReference w:id="3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Bauman hermenötiğin tarihini anlatırken bu sorunun kaynağını da göstermektedir. Metin okura ancak kendi yorumunun inandırıcılığı hakkında öneride bulunabilmekte, tercihin doğru olduğu hakkında tayin edici bir delil sunamamaktadır. Açıklamaların doğru mu yanlış mı olduğu tespit edilebilirken, yorumların ancak inandırıcı olup olmadığından söz edilebilmektedir.</w:t>
      </w:r>
      <w:r>
        <w:rPr>
          <w:rStyle w:val="FootnoteReference"/>
        </w:rPr>
        <w:footnoteReference w:id="39"/>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“Kısacası, hermenötiğin, sosyal bilimlerin inandırıcılık standartlarına ve doğa bilimlerinin otoritesine erişmesi gerektiği fikrine karşı meydan okuması iki sorundan müteşekkildi: Uzlaşı ve hakikat.”</w:t>
      </w:r>
    </w:p>
    <w:p>
      <w:pPr>
        <w:pStyle w:val="Dogrulama"/>
        <w:spacing w:after="80" w:line="240"/>
        <w:ind w:left="567"/>
      </w:pPr>
      <w:r>
        <w:rPr>
          <w:rFonts w:ascii="Times New Roman" w:cs="Traditional Arabic" w:eastAsia="Times New Roman" w:hAnsi="Times New Roman"/>
          <w:i w:val="false"/>
          <w:color w:val="7F7F7F"/>
          <w:sz w:val="18"/>
          <w:szCs w:val="18"/>
        </w:rPr>
        <w:t xml:space="preserve">[Dosya: Zygmunt Bauman - Hermenötik ve Sosyal Bilimler_ Anlama’ya Dair Yaklaşımlar (2017, Ayrıntı Yayınları) - libgen.li.pdf, basılı s. 18, PDF s. 18. Basılı numara sayfanın altında metin çıkarımında bozuk biçimde görünmekte, komşu sayfalarla tutarlıdır.]</w:t>
      </w:r>
    </w:p>
    <w:p>
      <w:pPr>
        <w:pStyle w:val="Dogrulama"/>
        <w:spacing w:after="20" w:line="276"/>
        <w:ind w:left="567"/>
        <w:jc w:val="both"/>
      </w:pPr>
      <w:r>
        <w:rPr>
          <w:rFonts w:ascii="Times New Roman" w:cs="Traditional Arabic" w:eastAsia="Times New Roman" w:hAnsi="Times New Roman"/>
          <w:i/>
          <w:iCs/>
          <w:sz w:val="22"/>
          <w:szCs w:val="22"/>
        </w:rPr>
        <w:t xml:space="preserve">“Metnin kendisi okura sadece kendi yorumunun inandırıcılığı hakkında öneride bulunabilirdi; tercihin doğru olduğu hakkında tayin edici delil sunamazdı. Gerçekten de, açıklamaların doğru mu yanlış mı olduğu tespit edilebilir fakat yorumlamaların”inandırıcı” mı yoksa “inandırıcı değil” mi olduklarından sadece söz edilebilir.”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Zygmunt Bauman - Hermenötik ve Sosyal Bilimler_ Anlama’ya Dair Yaklaşımlar (2017, Ayrıntı Yayınları) - libgen.li.pdf, basılı s. 13, PDF s. 13]</w:t>
      </w:r>
    </w:p>
    <w:p>
      <w:pPr>
        <w:spacing w:after="120" w:line="360"/>
        <w:ind w:firstLine="567"/>
        <w:jc w:val="both"/>
      </w:pPr>
      <w:r>
        <w:rPr>
          <w:rFonts w:ascii="Times New Roman" w:cs="Traditional Arabic" w:eastAsia="Times New Roman" w:hAnsi="Times New Roman"/>
          <w:i w:val="false"/>
          <w:sz w:val="24"/>
          <w:szCs w:val="24"/>
        </w:rPr>
        <w:t xml:space="preserve">Bu iki cümle, nitel araştırmada geçerlik yerine inandırıcılık kavramının neden tercih edildiğini anlamak için de bir anahtar sunmaktadır. Ancak Bauman meseleyi inandırıcılıkla kapatmamaktadır. Kitabının sonuç kısmında, hakikatin belki de bir bilgi durumu kadar ulaşılamaz olduğunu, fakat hakikat idealinin bilginin var olması için vazgeçilmez olduğunu, üstün bir inanç standardı olarak hakikat ideali olmasa kabul edilmiş hiçbir anlam yorumunun düşünülemeyeceğini belirtmektedir.</w:t>
      </w:r>
      <w:r>
        <w:rPr>
          <w:rStyle w:val="FootnoteReference"/>
        </w:rPr>
        <w:footnoteReference w:id="4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Bauman’ın bu tespiti, kitabın üçüncü bölümünde ele alınacak olan nefsü’l-emr ile usûlî hüküm arasındaki ayrıma oldukça yakın bir yerde durmaktadır.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“Nitekim üstün inanç standardı olarak gerçek ideali olmasa, kabul edilmiş hiçbir anlam yorumu düşünülemezdi. Gerçeğe belki de bir bilgi durumu kadar ulaşılamaz. Fakat hakikat, bilginin var olması için vazgeçilmezdir.”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Zygmunt Bauman - Hermenötik ve Sosyal Bilimler_ Anlama’ya Dair Yaklaşımlar (2017, Ayrıntı Yayınları) - libgen.li.pdf, basılı s. 317-318, PDF s. 317-318. İlk iki cümle s. 317’de, son cümle s. 318’dedir. Not: Cümleler Popper tartışmasının hemen ardından gelmektedir ve aynı paragrafın başında Popper’dan tırnaklı bir ifade ile dipnot bulunmaktadır. Alıntılanan cümleler Bauman’ın anlama alanına uyguladığı kendi çıkarımıdır.]</w:t>
      </w:r>
    </w:p>
    <w:p>
      <w:pPr>
        <w:spacing w:after="120" w:line="360"/>
        <w:ind w:firstLine="567"/>
        <w:jc w:val="both"/>
      </w:pPr>
      <w:r>
        <w:rPr>
          <w:rFonts w:ascii="Times New Roman" w:cs="Traditional Arabic" w:eastAsia="Times New Roman" w:hAnsi="Times New Roman"/>
          <w:i w:val="false"/>
          <w:sz w:val="24"/>
          <w:szCs w:val="24"/>
        </w:rPr>
        <w:t xml:space="preserve">Hermenötik tartışmanın en etkili sesi şüphesiz Hans-Georg Gadamer’dir. Gadamer </w:t>
      </w:r>
      <w:r>
        <w:rPr>
          <w:rFonts w:ascii="Times New Roman" w:cs="Traditional Arabic" w:eastAsia="Times New Roman" w:hAnsi="Times New Roman"/>
          <w:i/>
          <w:iCs/>
          <w:sz w:val="24"/>
          <w:szCs w:val="24"/>
        </w:rPr>
        <w:t xml:space="preserve">Hakikat ve Yöntem</w:t>
      </w:r>
      <w:r>
        <w:rPr>
          <w:rFonts w:ascii="Times New Roman" w:cs="Traditional Arabic" w:eastAsia="Times New Roman" w:hAnsi="Times New Roman"/>
          <w:i w:val="false"/>
          <w:sz w:val="24"/>
          <w:szCs w:val="24"/>
        </w:rPr>
        <w:t xml:space="preserve">’in girişinde hermenötiğin daha tarihî başlangıcından itibaren modern bilimin tesis ettiği yöntem kavramının sınırlarını aştığını, metinleri anlamanın ve yorumlamanın yalnızca bilimle değil, insanın dünya tecrübesiyle ilgili olduğunu söylemektedir.</w:t>
      </w:r>
      <w:r>
        <w:rPr>
          <w:rStyle w:val="FootnoteReference"/>
        </w:rPr>
        <w:footnoteReference w:id="4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Gadamer’in incelemeleri, kendi ifadesiyle, modern bilimin evrensel bilimsel yöntem talebine karşı bir dirençle başlamakta ve bilimsel yöntemin alanını aşan hakikat tecrübesini araştırmaktadır.</w:t>
      </w:r>
      <w:r>
        <w:rPr>
          <w:rStyle w:val="FootnoteReference"/>
        </w:rPr>
        <w:footnoteReference w:id="4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Bununla birlikte Gadamer yöntemi reddetmemektedir. Metodolojik çalışmanın beşeri bilimlerdeki gerekliliğini reddetmenin aklının ucundan bile geçmediğini, karşılaşılan farklılığın yöntemde değil, bilginin amaçlarında olduğunu belirtmektedir.</w:t>
      </w:r>
      <w:r>
        <w:rPr>
          <w:rStyle w:val="FootnoteReference"/>
        </w:rPr>
        <w:footnoteReference w:id="4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“Daha tarihi başlangıcından itibaren hermenoytik, modern bilimin tesis ettiği bir şey olarak yöntem kavramının sınırlarını aşar. Metinleri anlamak ve yorumlamak yalnızca bilimle ilgili bir şey değildir; apaçık biçimde, genelde insanın dünya tecrübesiyle ilgilidir.”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1 1 (2008, Paradigma Yayıncılık) - libgen.li.pdf, Giriş, basılı s. XXXIII, PDF s. 33]</w:t>
      </w:r>
    </w:p>
    <w:p>
      <w:pPr>
        <w:pStyle w:val="Dogrulama"/>
        <w:spacing w:after="20" w:line="276"/>
        <w:ind w:left="567"/>
        <w:jc w:val="both"/>
      </w:pPr>
      <w:r>
        <w:rPr>
          <w:rFonts w:ascii="Times New Roman" w:cs="Traditional Arabic" w:eastAsia="Times New Roman" w:hAnsi="Times New Roman"/>
          <w:i/>
          <w:iCs/>
          <w:sz w:val="22"/>
          <w:szCs w:val="22"/>
        </w:rPr>
        <w:t xml:space="preserve">“Aşağıdaki incelemeler, modern bilimin bizatihi kendi içindeki evrensel bilimsel yöntem talebine dirençle başlıyor. Onları motive eden şey, tecrübeleri nerede bulunursa bulunsun, bilimsel yöntemin alanını aşan hakikat tecrübesini araştırmak ve meşruiyetini sorgulamaktır.”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1 1 (2008, Paradigma Yayıncılık) - libgen.li.pdf, Giriş, basılı s. XXXIV, PDF s. 34]</w:t>
      </w:r>
    </w:p>
    <w:p>
      <w:pPr>
        <w:pStyle w:val="Dogrulama"/>
        <w:spacing w:after="20" w:line="276"/>
        <w:ind w:left="567"/>
        <w:jc w:val="both"/>
      </w:pPr>
      <w:r>
        <w:rPr>
          <w:rFonts w:ascii="Times New Roman" w:cs="Traditional Arabic" w:eastAsia="Times New Roman" w:hAnsi="Times New Roman"/>
          <w:i/>
          <w:iCs/>
          <w:sz w:val="22"/>
          <w:szCs w:val="22"/>
        </w:rPr>
        <w:t xml:space="preserve">“Bu yüzden, metodolojik çalışmanın anlam bilimlerindeki (Geisteswissenschaften) gerekliliğini reddetmek aklımın ucundan bile geçmiyordu.”</w:t>
      </w:r>
    </w:p>
    <w:p>
      <w:pPr>
        <w:pStyle w:val="Dogrulama"/>
        <w:spacing w:after="20" w:line="276"/>
        <w:ind w:left="567"/>
        <w:jc w:val="both"/>
      </w:pPr>
      <w:r>
        <w:rPr>
          <w:rFonts w:ascii="Times New Roman" w:cs="Traditional Arabic" w:eastAsia="Times New Roman" w:hAnsi="Times New Roman"/>
          <w:i/>
          <w:iCs/>
          <w:sz w:val="22"/>
          <w:szCs w:val="22"/>
        </w:rPr>
        <w:t xml:space="preserve">“Karşı karşıya kaldığımız farklılık yöntemde farklılık değil, bilginin amaçlarında farklılıktır.”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1 1 (2008, Paradigma Yayıncılık) - libgen.li.pdf, İkinci Baskıya Ön Söz, basılı s. XLII, PDF s. 42. İki cümle arasında Windelband ve Rickert’in sorularının tartışıldığı cümleler yer almaktadır.]</w:t>
      </w:r>
    </w:p>
    <w:p>
      <w:pPr>
        <w:spacing w:after="120" w:line="360"/>
        <w:ind w:firstLine="567"/>
        <w:jc w:val="both"/>
      </w:pPr>
      <w:r>
        <w:rPr>
          <w:rFonts w:ascii="Times New Roman" w:cs="Traditional Arabic" w:eastAsia="Times New Roman" w:hAnsi="Times New Roman"/>
          <w:i w:val="false"/>
          <w:sz w:val="24"/>
          <w:szCs w:val="24"/>
        </w:rPr>
        <w:t xml:space="preserve">Gadamer’in sosyal bilimler için en dikkat çekici tezi, beşeri bilimlerin doğasının doğa bilimlerinin ölçütleriyle kavranamayacağıdır. Ona göre beşeri bilimlerin düşünceye sunduğu özel problem, onların düzenliliklerin gelişen bilgisi ölçütleriyle değerlendirildiğinde doğalarının doğru biçimde kavranamamasıdır. Sosyal-tarihsel dünyanın tecrübesi, doğa bilimlerinin tümevarım prosedürüyle bilim statüsüne yükseltilemez.</w:t>
      </w:r>
      <w:r>
        <w:rPr>
          <w:rStyle w:val="FootnoteReference"/>
        </w:rPr>
        <w:footnoteReference w:id="4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“Fakat anlam bilimlerinin düşünceye sunduğu özel problem, anlam bilimlerinin doğasının, eğer onlar düzenliliklerin gelişen bilgisi kriterleriyle ölçülürse, doğalarının doğru şekilde kavranamayacağıdır. Sosyal-tarihsel dünyanın tecrübesi doğa bilimlerinin tümevarım prosedürüyle bilim statüsüne yükseltilemez.”</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1 1 (2008, Paradigma Yayıncılık) - libgen.li.pdf, basılı s. 5, PDF s. 61. Not: Hemen öncesinde J. S. Mill’in tümevarım mantığı ve Hume özetlenmektedir; alıntılanan cümleler Gadamer’in kendi itirazıdır.]</w:t>
      </w:r>
    </w:p>
    <w:p>
      <w:pPr>
        <w:spacing w:after="120" w:line="360"/>
        <w:ind w:firstLine="567"/>
        <w:jc w:val="both"/>
      </w:pPr>
      <w:r>
        <w:rPr>
          <w:rFonts w:ascii="Times New Roman" w:cs="Traditional Arabic" w:eastAsia="Times New Roman" w:hAnsi="Times New Roman"/>
          <w:i w:val="false"/>
          <w:sz w:val="24"/>
          <w:szCs w:val="24"/>
        </w:rPr>
        <w:t xml:space="preserve">Gadamer’in tartışmasının din eğitimcisini en çok ilgilendiren kısmı önyargı, gelenek ve otorite kavramlarına dair tezleridir. Gadamer her anlamanın kaçınılmaz biçimde bir önyargıyı içerdiğinin kabulünün hermenötik problemi öne çıkardığını, Aydınlanma’nın temel önyargısının ise önyargıya karşı önyargısı olduğunu ve bu önyargının geleneğin gücünü reddettiğini söylemektedir.</w:t>
      </w:r>
      <w:r>
        <w:rPr>
          <w:rStyle w:val="FootnoteReference"/>
        </w:rPr>
        <w:footnoteReference w:id="4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önyargı kesinlikle yanlış yargı anlamına gelmemekte, olumlu ya da olumsuz değere sahip olabilecek bir düşünce unsuru olmaktadır ve meşru önyargılar türünde şeyler vardır.</w:t>
      </w:r>
      <w:r>
        <w:rPr>
          <w:rStyle w:val="FootnoteReference"/>
        </w:rPr>
        <w:footnoteReference w:id="4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Gadamer bunun gerekçesini de açıkça ortaya koymaktadır. Tarih bize ait değildir, biz tarihe aitiz. Kendimizi eleştiri süreciyle anlamadan çok önce içinde yaşadığımız aile, toplum ve devlet içinde anlarız. Bu yüzden bireyin varlığının tarihsel gerçekliğini oluşturan şey, yargılarından çok önyargılarıdır.</w:t>
      </w:r>
      <w:r>
        <w:rPr>
          <w:rStyle w:val="FootnoteReference"/>
        </w:rPr>
        <w:footnoteReference w:id="4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“Her anlamanın kaçınılmaz biçimde bir önyargıyı içerdiğinin kabulü hermenoytik problemi ön plana çıkarır.”</w:t>
      </w:r>
    </w:p>
    <w:p>
      <w:pPr>
        <w:pStyle w:val="Dogrulama"/>
        <w:spacing w:after="20" w:line="276"/>
        <w:ind w:left="567"/>
        <w:jc w:val="both"/>
      </w:pPr>
      <w:r>
        <w:rPr>
          <w:rFonts w:ascii="Times New Roman" w:cs="Traditional Arabic" w:eastAsia="Times New Roman" w:hAnsi="Times New Roman"/>
          <w:i/>
          <w:iCs/>
          <w:sz w:val="22"/>
          <w:szCs w:val="22"/>
        </w:rPr>
        <w:t xml:space="preserve">“Ve Aydınlanma’nın kendi özünü belirleyen bir önyargısı vardır: Aydınlanma’nın temel önyargısı bizatihi önyargıya karşı önyargısıdır; bu önyargı geleneğin gücünü reddeder.”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10-11, PDF s. 18-19. Not: Metin çıkarımında “Aydınlanma’nm” biçiminde bozulan kelime düzeltilerek verilmiştir.]</w:t>
      </w:r>
    </w:p>
    <w:p>
      <w:pPr>
        <w:pStyle w:val="Dogrulama"/>
        <w:spacing w:after="20" w:line="276"/>
        <w:ind w:left="567"/>
        <w:jc w:val="both"/>
      </w:pPr>
      <w:r>
        <w:rPr>
          <w:rFonts w:ascii="Times New Roman" w:cs="Traditional Arabic" w:eastAsia="Times New Roman" w:hAnsi="Times New Roman"/>
          <w:i/>
          <w:iCs/>
          <w:sz w:val="22"/>
          <w:szCs w:val="22"/>
        </w:rPr>
        <w:t xml:space="preserve">“Böylece”önyargı” kesinlikle yanlış yargı anlamına gelmez; hem pozitif hem de negatif değere sahip olabilecek bir düşünce unsurudur. […] Meşru önyargılar (prejuges legitimes) türünde şeyler vardır.”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11, PDF s. 19]</w:t>
      </w:r>
    </w:p>
    <w:p>
      <w:pPr>
        <w:pStyle w:val="Dogrulama"/>
        <w:spacing w:after="20" w:line="276"/>
        <w:ind w:left="567"/>
        <w:jc w:val="both"/>
      </w:pPr>
      <w:r>
        <w:rPr>
          <w:rFonts w:ascii="Times New Roman" w:cs="Traditional Arabic" w:eastAsia="Times New Roman" w:hAnsi="Times New Roman"/>
          <w:i/>
          <w:iCs/>
          <w:sz w:val="22"/>
          <w:szCs w:val="22"/>
        </w:rPr>
        <w:t xml:space="preserve">“Aslında tarih bize ait değildir; tersine biz tarihe aitiz. Kendimizi eleştiri süreciyle anlamadan çok daha önce [kendimizi] apaçık şekilde içinde yaşadığımız aileyle, toplumla ve devletle anlarız. […] Bu yüzden bireyin varlığının tarihsel gerçekliğini oluşturan şey, yargılarından çok önyargılardır.”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20, PDF s. 28. Köşeli ayraç içindeki ekleme çevirmenlere aittir.]</w:t>
      </w:r>
    </w:p>
    <w:p>
      <w:pPr>
        <w:spacing w:after="120" w:line="360"/>
        <w:ind w:firstLine="567"/>
        <w:jc w:val="both"/>
      </w:pPr>
      <w:r>
        <w:rPr>
          <w:rFonts w:ascii="Times New Roman" w:cs="Traditional Arabic" w:eastAsia="Times New Roman" w:hAnsi="Times New Roman"/>
          <w:i w:val="false"/>
          <w:sz w:val="24"/>
          <w:szCs w:val="24"/>
        </w:rPr>
        <w:t xml:space="preserve">Gadamer’in otorite ve gelenek hakkındaki tezleri de bu çizgiyi tamamlamaktadır. Ona göre kişilerin otoritesi nihai noktada aklın köleleştirilmesine değil, kabullenme eylemine ve bilgiye, yani yargılamada ve öngörüde ötekinin bize üstün olduğunun bilgisine dayanmaktadır. Otoritenin itaatle değil, bilgiyle ilgisi vardır.</w:t>
      </w:r>
      <w:r>
        <w:rPr>
          <w:rStyle w:val="FootnoteReference"/>
        </w:rPr>
        <w:footnoteReference w:id="4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Gelenek ve ananenin kutsallaştırdığı şeyin adı konmamış bir otoritesi vardır ve her tür eğitim buna dayanmaktadır. Eğitim gören kişi olgunlaştığında bile bu, onun her tür gelenekten muaf olduğu anlamına gelmemektedir.</w:t>
      </w:r>
      <w:r>
        <w:rPr>
          <w:rStyle w:val="FootnoteReference"/>
        </w:rPr>
        <w:footnoteReference w:id="4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Gadamer gelenek ile akıl arasında kayıtsız şartsız bir karşıtlık bulunmadığını, geleneğin doğrulanmaya, benimsenmeye ve bakıma ihtiyaç duyduğunu ve muhafaza etmenin de bir akıl eylemi olduğunu söylemektedir.</w:t>
      </w:r>
      <w:r>
        <w:rPr>
          <w:rStyle w:val="FootnoteReference"/>
        </w:rPr>
        <w:footnoteReference w:id="5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gelenekte konumlanmış olmak bilginin özgürlüğünü kısıtlamamakta, tersine onu mümkün kılmaktadır.</w:t>
      </w:r>
      <w:r>
        <w:rPr>
          <w:rStyle w:val="FootnoteReference"/>
        </w:rPr>
        <w:footnoteReference w:id="5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“Gerçekten de otoritenin itaatla alakası yoktur, fakat bilgiyle vardır.”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24, PDF s. 32]</w:t>
      </w:r>
    </w:p>
    <w:p>
      <w:pPr>
        <w:pStyle w:val="Dogrulama"/>
        <w:spacing w:after="20" w:line="276"/>
        <w:ind w:left="567"/>
        <w:jc w:val="both"/>
      </w:pPr>
      <w:r>
        <w:rPr>
          <w:rFonts w:ascii="Times New Roman" w:cs="Traditional Arabic" w:eastAsia="Times New Roman" w:hAnsi="Times New Roman"/>
          <w:i/>
          <w:iCs/>
          <w:sz w:val="22"/>
          <w:szCs w:val="22"/>
        </w:rPr>
        <w:t xml:space="preserve">“Gelenek ve ananenin kutsallaştırdığı şeyin adı konmamış bir otoritesi vardır ve sınırlı/ sonlu tarihsel varlığımızın alameti farikası, bize intikal eden / tevarüs eden şeyin - açıkça temellendirilmemiş olan şeyin - tavır ve davranışlarımızı belirleyici bir gücü vardır. Her tür eğitim buna dayanır […].”</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25, PDF s. 33]</w:t>
      </w:r>
    </w:p>
    <w:p>
      <w:pPr>
        <w:pStyle w:val="Dogrulama"/>
        <w:spacing w:after="20" w:line="276"/>
        <w:ind w:left="567"/>
        <w:jc w:val="both"/>
      </w:pPr>
      <w:r>
        <w:rPr>
          <w:rFonts w:ascii="Times New Roman" w:cs="Traditional Arabic" w:eastAsia="Times New Roman" w:hAnsi="Times New Roman"/>
          <w:i/>
          <w:iCs/>
          <w:sz w:val="22"/>
          <w:szCs w:val="22"/>
        </w:rPr>
        <w:t xml:space="preserve">“Ancak bana öyle geliyor ki, gelenek ile akıl arasında bu tür hiçbir kayıtsız şartsız antitez ilişkisi yok.”</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26, PDF s. 34]</w:t>
      </w:r>
    </w:p>
    <w:p>
      <w:pPr>
        <w:pStyle w:val="Dogrulama"/>
        <w:spacing w:after="20" w:line="276"/>
        <w:ind w:left="567"/>
        <w:jc w:val="both"/>
      </w:pPr>
      <w:r>
        <w:rPr>
          <w:rFonts w:ascii="Times New Roman" w:cs="Traditional Arabic" w:eastAsia="Times New Roman" w:hAnsi="Times New Roman"/>
          <w:i/>
          <w:iCs/>
          <w:sz w:val="22"/>
          <w:szCs w:val="22"/>
        </w:rPr>
        <w:t xml:space="preserve">“Geleneğin doğrulanmaya, benimsenmeye ve bakıma ihtiyacı vardır. O, temelde muhafaza etmedir ve her tarihsel değişmede aktiftir. Fakat muhafaza etme, farkedilemeyecek özelliklere sahip bir akıl eylemidir.”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27, PDF s. 35]</w:t>
      </w:r>
    </w:p>
    <w:p>
      <w:pPr>
        <w:pStyle w:val="Dogrulama"/>
        <w:spacing w:after="20" w:line="276"/>
        <w:ind w:left="567"/>
        <w:jc w:val="both"/>
      </w:pPr>
      <w:r>
        <w:rPr>
          <w:rFonts w:ascii="Times New Roman" w:cs="Traditional Arabic" w:eastAsia="Times New Roman" w:hAnsi="Times New Roman"/>
          <w:i/>
          <w:iCs/>
          <w:sz w:val="22"/>
          <w:szCs w:val="22"/>
        </w:rPr>
        <w:t xml:space="preserve">“Bir gelenekte konuşlandırılmış olmak bilginin özgürlüğünü kısıtlamaz, tersine onu mümkün kılar.”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139, PDF s. 147]</w:t>
      </w:r>
    </w:p>
    <w:p>
      <w:pPr>
        <w:spacing w:after="120" w:line="360"/>
        <w:ind w:firstLine="567"/>
        <w:jc w:val="both"/>
      </w:pPr>
      <w:r>
        <w:rPr>
          <w:rFonts w:ascii="Times New Roman" w:cs="Traditional Arabic" w:eastAsia="Times New Roman" w:hAnsi="Times New Roman"/>
          <w:i w:val="false"/>
          <w:sz w:val="24"/>
          <w:szCs w:val="24"/>
        </w:rPr>
        <w:t xml:space="preserve">Bu tezler, modern sosyal bilimlerin kendi içinden geleneğe ve otoriteye yeniden alan açıldığını göstermektedir. Din eğitimcisi açısından bunun önemi büyüktür. Aydınlanma’nın gelenek karşısındaki şüphesi, uzun süre dinî bir gelenek içinden konuşan araştırmacıyı peşinen yanlı sayan bir tutuma dönüşmüştür. Gadamer ise bu tutumun kendisinin bir önyargı olduğunu göstermektedir. Bununla birlikte Gadamer’in geleneği ile din eğitimcisinin geleneği aynı şey değildir. Gadamer’de gelenek, tarihin etkisi altında sürekli yeniden şekillenen ve doğruluğu bu tarihsel süreç içinde sınanan bir şeydir. İslam ilim geleneğinde ise geleneğin bir kısmı vahye dayanmakta, bir kısmı ise isnad, tenkit ve icmâ gibi kendi içinde işleyen denetim usûlleriyle korunmaktadır. Bu fark üçüncü bölümde ayrıntılı olarak ele alınmaktadır.</w:t>
      </w:r>
    </w:p>
    <w:p>
      <w:pPr>
        <w:pStyle w:val="Heading2"/>
        <w:keepNext/>
        <w:spacing w:after="120" w:before="240"/>
      </w:pPr>
      <w:r>
        <w:rPr>
          <w:rFonts w:ascii="Times New Roman" w:cs="Traditional Arabic" w:eastAsia="Times New Roman" w:hAnsi="Times New Roman"/>
          <w:b/>
          <w:bCs/>
          <w:i w:val="false"/>
          <w:sz w:val="24"/>
          <w:szCs w:val="24"/>
        </w:rPr>
        <w:t xml:space="preserve">1.5. Yapılandırmacı ve Dönüştürücü Dünya Görüşleri</w:t>
      </w:r>
    </w:p>
    <w:p>
      <w:pPr>
        <w:spacing w:after="120" w:line="360"/>
        <w:ind w:firstLine="567"/>
        <w:jc w:val="both"/>
      </w:pPr>
      <w:r>
        <w:rPr>
          <w:rFonts w:ascii="Times New Roman" w:cs="Traditional Arabic" w:eastAsia="Times New Roman" w:hAnsi="Times New Roman"/>
          <w:i w:val="false"/>
          <w:sz w:val="24"/>
          <w:szCs w:val="24"/>
        </w:rPr>
        <w:t xml:space="preserve">Hermenötik tartışmanın sosyal bilim araştırmasına en yaygın yansıması yapılandırmacı ya da sosyal inşacı dünya görüşüdür. Creswell bu görüşü benimseyen araştırmacıların bireylerin içinde yaşadıkları ve çalıştıkları dünya hakkında bir anlam arayışı içinde olduklarına inandıklarını, bireylerin deneyimlerine ilişkin öznel anlamlar geliştirdiğini ve araştırmacının amacının dünya ile ilgili başkalarının anlamlarını yorumlamak olduğunu belirtmektedir. Bu araştırmacılar bir kuramla başlamak yerine anlamaya ilişkin bir kuramı ya da modeli tümevarımsal olarak geliştirmektedir.</w:t>
      </w:r>
      <w:r>
        <w:rPr>
          <w:rStyle w:val="FootnoteReference"/>
        </w:rPr>
        <w:footnoteReference w:id="5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Creswell aynı çerçevede araştırmacıların kendi kişisel geçmişlerinin yorumlarını şekillendirdiğinin farkında olduklarını ve araştırma içinde kendi konumlarını belirlediklerini de eklemektedir.</w:t>
      </w:r>
      <w:r>
        <w:rPr>
          <w:rStyle w:val="FootnoteReference"/>
        </w:rPr>
        <w:footnoteReference w:id="5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“Sosyal yapılandırmacılar bireylerin içerisinde yaşadıkları ve çalıştıkları dünya hakkında bir anlam arayışı içerinde olduklarına inanmaktadırlar. Bireyler deneyimlerine ilişkin öznel anlamlar geliştirirler-anlamlar belirli nesne ve olaylara yöneliktir. […] Araştırmacının amacı, dünya ile ilgili başkalarının anlamlarını yorumlamak ya da anlamlandırmaktır. Araştırmacılar postpozitivizmde olduğu gibi bir kuramla başlamaktan ziyade, anlama ilişkin bir kuram ya da modeli tümevarımsal olarak geliştirirler.”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8, PDF s. 39. Not: “içerinde” kaynaktaki yazımdır. Paragraf başında bu fikirlerin kaynakları olarak Berger ve Luckmann, Lincoln ve Guba ile Mannheim anılmaktadır; alıntılanan cümleler Creswell’in kendi anlatımıdır.]</w:t>
      </w:r>
    </w:p>
    <w:p>
      <w:pPr>
        <w:pStyle w:val="Dogrulama"/>
        <w:spacing w:after="20" w:line="276"/>
        <w:ind w:left="567"/>
        <w:jc w:val="both"/>
      </w:pPr>
      <w:r>
        <w:rPr>
          <w:rFonts w:ascii="Times New Roman" w:cs="Traditional Arabic" w:eastAsia="Times New Roman" w:hAnsi="Times New Roman"/>
          <w:i/>
          <w:iCs/>
          <w:sz w:val="22"/>
          <w:szCs w:val="22"/>
        </w:rPr>
        <w:t xml:space="preserve">“Araştırmacılar, kendi kişisel geçmişlerinin yorumlarını şekillendirdiğinin farkındadır ve yorumlarının kendi kişisel, tarihsel ve kültürel deneyimlerinden nasıl beslendiğini kabul ederek araştırma içerisinde kendi konumlarını belirlerler.”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8, PDF s. 39]</w:t>
      </w:r>
    </w:p>
    <w:p>
      <w:pPr>
        <w:spacing w:after="120" w:line="360"/>
        <w:ind w:firstLine="567"/>
        <w:jc w:val="both"/>
      </w:pPr>
      <w:r>
        <w:rPr>
          <w:rFonts w:ascii="Times New Roman" w:cs="Traditional Arabic" w:eastAsia="Times New Roman" w:hAnsi="Times New Roman"/>
          <w:i w:val="false"/>
          <w:sz w:val="24"/>
          <w:szCs w:val="24"/>
        </w:rPr>
        <w:t xml:space="preserve">Dönüştürücü dünya görüşü ise araştırmayı bir adalet ve güçlendirme faaliyeti olarak tasarlamaktadır. Creswell’e göre bu görüş, toplumda çeşitli haklardan mahrum edilmiş ya da marjinalleştirilmiş birey ve grupların gereksinimlerine odaklanmakta, katılımcıların bilinçliliklerini artırarak ya da yaşamlarını değiştirmek için bir gündem oluşturarak onlara bir fikir sunmaktadır.</w:t>
      </w:r>
      <w:r>
        <w:rPr>
          <w:rStyle w:val="FootnoteReference"/>
        </w:rPr>
        <w:footnoteReference w:id="5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“Dönüştürücü araştırma, katılımcıların bilinçliliklerini artırarak ya da yaşamlarını değiştirmek için bir gündem oluşturarak onlara bir fikir sunmaktadır.”</w:t>
      </w:r>
    </w:p>
    <w:p>
      <w:pPr>
        <w:pStyle w:val="Dogrulama"/>
        <w:spacing w:after="20" w:line="276"/>
        <w:ind w:left="567"/>
        <w:jc w:val="both"/>
      </w:pPr>
      <w:r>
        <w:rPr>
          <w:rFonts w:ascii="Times New Roman" w:cs="Traditional Arabic" w:eastAsia="Times New Roman" w:hAnsi="Times New Roman"/>
          <w:i/>
          <w:iCs/>
          <w:sz w:val="22"/>
          <w:szCs w:val="22"/>
        </w:rPr>
        <w:t xml:space="preserve">“Dönüştürücü dünya görüşü, toplumda çeşitli haklardan mahrum edilmiş ya da marjinalleştirilmiş birey ya da grupların gereksinimlerine odaklanmaktadır.”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10, PDF s. 41. Not: Aynı sayfadaki madde listesi Mertens’e dayandırıldığı için kullanılmamıştır.]</w:t>
      </w:r>
    </w:p>
    <w:p>
      <w:pPr>
        <w:spacing w:after="120" w:line="360"/>
        <w:ind w:firstLine="567"/>
        <w:jc w:val="both"/>
      </w:pPr>
      <w:r>
        <w:rPr>
          <w:rFonts w:ascii="Times New Roman" w:cs="Traditional Arabic" w:eastAsia="Times New Roman" w:hAnsi="Times New Roman"/>
          <w:i w:val="false"/>
          <w:sz w:val="24"/>
          <w:szCs w:val="24"/>
        </w:rPr>
        <w:t xml:space="preserve">Bu iki dünya görüşünün din eğitimi araştırmasına katkısı büyüktür. Yapılandırmacı görüş, öğrencinin, öğretmenin ve velinin dinî tecrübeye yüklediği anlamı araştırmanın merkezine yerleştirmekte, dönüştürücü görüş ise sesi az duyulan grupların, örneğin özel gereksinimli çocukların, göçmen ailelerin ya da kırsal bölgelerdeki kız öğrencilerin din eğitimi tecrübesine dikkat çekmektedir. Ne var ki her iki görüşün de kendine özgü bir riski vardır. Yapılandırmacı görüş, anlamların çoğulluğunu vurgularken hakikat sorusunu askıya alma eğilimi taşımaktadır. Dönüştürücü görüş ise araştırmayı önceden belirlenmiş bir değişim gündeminin aracına dönüştürebilmektedir. Bu riskler, kitabın tahkîk paradigmasında nefsü’l-emr ilkesi ve betimleme ile değerlendirmenin ayrılması ilkesiyle karşılanmaktadır.</w:t>
      </w:r>
    </w:p>
    <w:p>
      <w:pPr>
        <w:pStyle w:val="Heading2"/>
        <w:keepNext/>
        <w:spacing w:after="120" w:before="240"/>
      </w:pPr>
      <w:r>
        <w:rPr>
          <w:rFonts w:ascii="Times New Roman" w:cs="Traditional Arabic" w:eastAsia="Times New Roman" w:hAnsi="Times New Roman"/>
          <w:b/>
          <w:bCs/>
          <w:i w:val="false"/>
          <w:sz w:val="24"/>
          <w:szCs w:val="24"/>
        </w:rPr>
        <w:t xml:space="preserve">1.6. Pragmatizm ve Karma Yöntem</w:t>
      </w:r>
    </w:p>
    <w:p>
      <w:pPr>
        <w:spacing w:after="120" w:line="360"/>
        <w:ind w:firstLine="567"/>
        <w:jc w:val="both"/>
      </w:pPr>
      <w:r>
        <w:rPr>
          <w:rFonts w:ascii="Times New Roman" w:cs="Traditional Arabic" w:eastAsia="Times New Roman" w:hAnsi="Times New Roman"/>
          <w:i w:val="false"/>
          <w:sz w:val="24"/>
          <w:szCs w:val="24"/>
        </w:rPr>
        <w:t xml:space="preserve">Paradigma tartışmasının bir başka sonucu, nitel ve nicel yöntemlerin birlikte kullanılmasını savunan karma yöntem anlayışıdır. Creswell felsefi çerçeveleri, araştırmacıların bilgiye nasıl ulaştıklarına dair genel inanç ve varsayımlar olarak tanımlamakta ve değerlerimizin ve inançlarımızın araştırma eğilimlerimizi, veriyi nasıl toplayacağımızı ve araştırmaya dahil ettiğimiz önyargılarımızı şekillendirdiğini kabul etmenin önemli olduğunu vurgulamaktadır.</w:t>
      </w:r>
      <w:r>
        <w:rPr>
          <w:rStyle w:val="FootnoteReference"/>
        </w:rPr>
        <w:footnoteReference w:id="5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Karma yöntem araştırmacılarının bir kısmının pragmatizmi, bir kısmının eleştirel gerçekçiliği, bir kısmının da diyalektik çoğulculuğu kendilerine temel aldığını belirtmekte ve bu felsefelerden birinin seçiminin araştırmacıların farklı felsefeler hakkında ne bildiklerine ve hangisinin çalışmalarıyla uyumlu olduğuna bağlı olduğunu eklemektedir.</w:t>
      </w:r>
      <w:r>
        <w:rPr>
          <w:rStyle w:val="FootnoteReference"/>
        </w:rPr>
        <w:footnoteReference w:id="5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“Felsefi çerçeveler, araştırmacıların bilgiye nasıl ulaştıkları gibi araştırma ile ilgili genel inanç ve varsayımlardır. […] Çalışma alanımız ne olursa olsun, değerlerimizin ve inançlarımızın araştırma eğilimlerimizi, veriyi nasıl toplayacağımızı, araştırmaya dâhil ettiğimiz ön yargılarımızı ve araştırmalarımızı daha da geliştirmekte mi yoksa tamamlanmış olarak mı görüp görmediğimizi şekillendirdiğini kabul etmek önemlidir.”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Karma Yöntem Araştırmalarına Giriş{John W. Creswell}(2021, Pegem Akademi Yayıncılık){116333257} libgen.li.pdf, basılı s. 8, PDF s. 28 (1. Bölüm, çev. Suat Çelik)]</w:t>
      </w:r>
    </w:p>
    <w:p>
      <w:pPr>
        <w:pStyle w:val="Dogrulama"/>
        <w:spacing w:after="20" w:line="276"/>
        <w:ind w:left="567"/>
        <w:jc w:val="both"/>
      </w:pPr>
      <w:r>
        <w:rPr>
          <w:rFonts w:ascii="Times New Roman" w:cs="Traditional Arabic" w:eastAsia="Times New Roman" w:hAnsi="Times New Roman"/>
          <w:i/>
          <w:iCs/>
          <w:sz w:val="22"/>
          <w:szCs w:val="22"/>
        </w:rPr>
        <w:t xml:space="preserve">“Bu felsefelerden birinin seçimi, araştırmacıların farklı felsefeler hakkında ne bildiklerine ve bu felsefelerden hangisinin herhangi bir karma yöntem araştırması projesiyle uyumlu olduğuna bağlıdır.”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Karma Yöntem Araştırmalarına Giriş{John W. Creswell}(2021, Pegem Akademi Yayıncılık){116333257} libgen.li.pdf, basılı s. 17, PDF s. 37 (2. Bölüm, çev. Suat Çelik). Not: Bir önceki cümle, pragmatizmi, eleştirel realizmi ve diyalektik çoğulculuğu temel alan “bazı karma yöntem yazarları”nın görüşlerini aktarmaktadır; bu sebeple o cümle alıntılanmamış, metinde yazarın aktarımı olarak verilmiştir.]</w:t>
      </w:r>
    </w:p>
    <w:p>
      <w:pPr>
        <w:spacing w:after="120" w:line="360"/>
        <w:ind w:firstLine="567"/>
        <w:jc w:val="both"/>
      </w:pPr>
      <w:r>
        <w:rPr>
          <w:rFonts w:ascii="Times New Roman" w:cs="Traditional Arabic" w:eastAsia="Times New Roman" w:hAnsi="Times New Roman"/>
          <w:i w:val="false"/>
          <w:sz w:val="24"/>
          <w:szCs w:val="24"/>
        </w:rPr>
        <w:t xml:space="preserve">Pragmatizmin eğitim felsefesindeki karşılığı ise hakikat konusunda daha keskin bir tutumdur. Gürbüz Ocak ve Emine Akkaş Baysal’ın özetine göre pragmatizm gerçeğin değişken ve göreceli olduğu görüşüne dayanmakta, bu sebeple evrensel bir doğru kabul etmemekte ve değerlerin nesilden nesile aktarılmayıp bireyler arasındaki iletişime göre şekillendiğini savunmaktadır.</w:t>
      </w:r>
      <w:r>
        <w:rPr>
          <w:rStyle w:val="FootnoteReference"/>
        </w:rPr>
        <w:footnoteReference w:id="5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 açısından bu tutum, karma yöntemin teknik kazançlarından ayrı olarak düşünülmesi gereken bir değer sorusu doğurmaktadır. Karma yöntem bir araç olarak benimsenebilir. Fakat onun arkasındaki pragmatist hakikat anlayışı, değerlerin ve inancın aktarımını hedefleyen bir alanın kendi değer tasavvuruyla gerilim içindedir. Karma yöntemin din eğitimi araştırmalarında nasıl kullanılabileceği on beşinci bölümde ayrıca ele alınmaktadır.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“Sonuç olarak pragmatizm, gerçeğin değişken ve göreceli olduğu görüşüne dayanır. Bu nedenle evrensel bir doğru yoktur. Eğitim esnektir. İdealizmdeki akıl ya da realizmdeki gerçek eğitimin çıkış noktası olamaz. Eğitim öğrenciye odaklanır. Değerler nesilden nesile aktarılmaz, görecelidir ve bireyler arasındaki iletişime göre şekillenir.”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Eğitim Felsefesi{Mustafa Ergün _ Ahmet Çoban _ Gürbüz Ocak _ Akkaş Baysal _ Burhan Akpunar _ Cevdet Epçaçan _ Ata}…(202.pdf, 5. Bölüm (Gürbüz Ocak - Emine Akkaş Baysal), basılı s. 101, PDF s. 117. Not: Paragraf bölüm yazarlarının pragmatizmi özetlediği atıfsız bir kapanış paragrafıdır; görüş yazarların benimsediği değil, akımın görüşü olarak aktarılmaktadır.]</w:t>
      </w:r>
    </w:p>
    <w:p>
      <w:pPr>
        <w:pStyle w:val="Heading2"/>
        <w:keepNext/>
        <w:spacing w:after="120" w:before="240"/>
      </w:pPr>
      <w:r>
        <w:rPr>
          <w:rFonts w:ascii="Times New Roman" w:cs="Traditional Arabic" w:eastAsia="Times New Roman" w:hAnsi="Times New Roman"/>
          <w:b/>
          <w:bCs/>
          <w:i w:val="false"/>
          <w:sz w:val="24"/>
          <w:szCs w:val="24"/>
        </w:rPr>
        <w:t xml:space="preserve">1.7. Postmodern Eleştiri ve Görecelik Sorunu</w:t>
      </w:r>
    </w:p>
    <w:p>
      <w:pPr>
        <w:spacing w:after="120" w:line="360"/>
        <w:ind w:firstLine="567"/>
        <w:jc w:val="both"/>
      </w:pPr>
      <w:r>
        <w:rPr>
          <w:rFonts w:ascii="Times New Roman" w:cs="Traditional Arabic" w:eastAsia="Times New Roman" w:hAnsi="Times New Roman"/>
          <w:i w:val="false"/>
          <w:sz w:val="24"/>
          <w:szCs w:val="24"/>
        </w:rPr>
        <w:t xml:space="preserve">Paradigma tartışmasının son halkası postmodern eleştiridir. Postmodern eleştiri, bilimsel bilginin tarafsızlığına ve evrenselliğine dair iddiaları sorgulamış, her bilgi iddiasının bir konumdan, bir güç ilişkisinden ve bir dilden söylendiğini vurgulamıştır. Toker, günümüzde tarafsız, sırf bilim uğruna araştırma yapan bir insan modelinin postmodern bir dönemde eskisi kadar inandırıcı görünmediğini ve bu noktada daha gerçekçi yaklaşımların kurumsallaşmaya başladığını belirtmektedir.</w:t>
      </w:r>
      <w:r>
        <w:rPr>
          <w:rStyle w:val="FootnoteReference"/>
        </w:rPr>
        <w:footnoteReference w:id="5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Eğitim felsefesi literatüründe de bu eğilimin yansımaları görülmektedir. Ergün, son zamanlarda davranışçı ve biçimlendirici felsefeden uzaklaşılarak “post modern bir anlayış ve karmaşa ile” her öğrencinin kendi bilgi ve becerisini kendisinin şekillendireceği yapılandırmacı bir anlayışa doğru bir eğilim bulunduğunu, fakat seçme ve elemeye dayanan eğitim sistemlerinin hâlâ davranışçı felsefeyi terk etmediğini belirtmektedir.</w:t>
      </w:r>
      <w:r>
        <w:rPr>
          <w:rStyle w:val="FootnoteReference"/>
        </w:rPr>
        <w:footnoteReference w:id="59"/>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[Toker’den yapılan atfın özgün metni 366. dipnottaki doğrulama bloğunda verilmiştir.]</w:t>
      </w:r>
    </w:p>
    <w:p>
      <w:pPr>
        <w:pStyle w:val="Dogrulama"/>
        <w:spacing w:after="20" w:line="276"/>
        <w:ind w:left="567"/>
        <w:jc w:val="both"/>
      </w:pPr>
      <w:r>
        <w:rPr>
          <w:rFonts w:ascii="Times New Roman" w:cs="Traditional Arabic" w:eastAsia="Times New Roman" w:hAnsi="Times New Roman"/>
          <w:i/>
          <w:iCs/>
          <w:sz w:val="22"/>
          <w:szCs w:val="22"/>
        </w:rPr>
        <w:t xml:space="preserve">“Son zamanlarda ondokuz ve yirminci yüzyılın davranışçı ve biçimlendirici felsefesinden uzaklaşıp, post modern bir anlayış ve karmaşa ile her öğrencinin kendi bilgi ve becerisini kendisinin şekillendireceği yapılandırmacı felsefe anlayışına doğru bir eğilim vardır. Aslında öğretmenler ve seçme-elemeye dayanan bugünkü rekabetçi eğitim sistemleri hala davranışçı-biçimlendirici felsefeyi terk etmediler […].”</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Eğitim Felsefesi{Mustafa Ergün _ Ahmet Çoban _ Gürbüz Ocak _ Akkaş Baysal _ Burhan Akpunar _ Cevdet Epçaçan _ Ata}…(202.pdf, Ön Söz (Mustafa Ergün), basılı s. [iii]-iv, PDF s. 3-4. İlk sayfanın numarası sayfada yoktur; komşu sayfadan ve İçindekiler’den çıkarılmıştır.]</w:t>
      </w:r>
    </w:p>
    <w:p>
      <w:pPr>
        <w:spacing w:after="120" w:line="360"/>
        <w:ind w:firstLine="567"/>
        <w:jc w:val="both"/>
      </w:pPr>
      <w:r>
        <w:rPr>
          <w:rFonts w:ascii="Times New Roman" w:cs="Traditional Arabic" w:eastAsia="Times New Roman" w:hAnsi="Times New Roman"/>
          <w:i w:val="false"/>
          <w:sz w:val="24"/>
          <w:szCs w:val="24"/>
        </w:rPr>
        <w:t xml:space="preserve">Postmodern eleştirinin sosyal bilimlere yönelttiği soruları kapsamlı biçimde değerlendiren Robert Hollinger, sosyal bilimlerin modernite içinde geliştiğini ve bu sebeple bu bağlam tarafından sınırlandırıldığını savunmaktadır. Ona göre sosyal bilimlerin kavram, yöntem, kabul ve hedefleriyle belirlenen gündemi, modern toplumu anlamayı pekiştirmek ve onu kontrol etmeyi ilerletmek için tasarlanmıştır.</w:t>
      </w:r>
      <w:r>
        <w:rPr>
          <w:rStyle w:val="FootnoteReference"/>
        </w:rPr>
        <w:footnoteReference w:id="6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Hollinger’in postmodernizmin “söylenemeyen” temasına dair yorumu ise din eğitimi araştırmacısını yakından ilgilendirir. Bu tema, önemli olan her şeyin sosyal bilimler ya da doğa bilimlerince ifade edilip kanıtlanabileceği, bu bilimlerin ifade edemediğinin ise hiçbir değeri olmadığı düşüncesinin bir eleştirisi olarak okunabilir.</w:t>
      </w:r>
      <w:r>
        <w:rPr>
          <w:rStyle w:val="FootnoteReference"/>
        </w:rPr>
        <w:footnoteReference w:id="6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“Bu kitap, sosyal bilimlerin modernite içinde geliştiğini ve dolayısıyla da bu bağlam tarafından sınırlandırıldığını savunmaktadır. Sosyal bilimlerin -ekonominin, psikolojinin, kültürel antropolojinin, tarihin, siyaset biliminin ve sosyolojinin çeşitli kavramları, yöntemleri, kabulleri ve hedefleri ile belirlenen- gündemi, modern toplumu anlamayı pekiştirmek ve onu kontrol etmeyi ilerletmek için tasarlanmıştır.”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Postmodernizm ve Sosyal Bilimler Tematik Bir Yaklaşım{Robert Hollinger}(2005, Paradigma Yayınları){115020918} libgen.li.pdf, basılı s. 13-14 (ikinci cümle s. 13’te başlayıp s. 14’te bitmektedir). Metin, Drive üzerinden alınan metin çıkarımından aktarılmıştır; basılı numara metne gömülü üst bilgiden okunmuştur. Basılı nüshadan teyit edilmelidir. Metin çıkarımındaki harf bozuklukları düzeltilmiştir; basılı nüshadan kontrol edilmelidir.]</w:t>
      </w:r>
    </w:p>
    <w:p>
      <w:pPr>
        <w:pStyle w:val="Dogrulama"/>
        <w:spacing w:after="20" w:line="276"/>
        <w:ind w:left="567"/>
        <w:jc w:val="both"/>
      </w:pPr>
      <w:r>
        <w:rPr>
          <w:rFonts w:ascii="Times New Roman" w:cs="Traditional Arabic" w:eastAsia="Times New Roman" w:hAnsi="Times New Roman"/>
          <w:i/>
          <w:iCs/>
          <w:sz w:val="22"/>
          <w:szCs w:val="22"/>
        </w:rPr>
        <w:t xml:space="preserve">“Söz gelimi, postmodernist”söylenemeyen” teması, önemli her şeyin sosyal bilimler ya da doğa bilimleri tarafından ifade edilebileceği ve bu bilimlerce kanıtlanabileceği ya da yanlışlanabileceği ve onlar tarafından ifade edilemeyenin, her ne ise, hiçbir değeri olmadığı düşüncesinin bir eleştirisi olarak okunabilir.”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Postmodernizm ve Sosyal Bilimler Tematik Bir Yaklaşım{Robert Hollinger}(2005, Paradigma Yayınları){115020918} libgen.li.pdf, basılı s. 34. Özgün metinde “söylenemeyen” sözcüğüne 51 numaralı son not bağlıdır; son notun içeriği erişilen metinde görülemediği için alınmamıştır. Atıf yalnızca Hollinger’in yorumuna (“…olarak okunabilir”) yapılmıştır. Metin, Drive üzerinden alınan metin çıkarımından aktarılmıştır; basılı numara metne gömülü üst bilgiden okunmuştur. Basılı nüshadan teyit edilmelidir.]</w:t>
      </w:r>
    </w:p>
    <w:p>
      <w:pPr>
        <w:spacing w:after="120" w:line="360"/>
        <w:ind w:firstLine="567"/>
        <w:jc w:val="both"/>
      </w:pPr>
      <w:r>
        <w:rPr>
          <w:rFonts w:ascii="Times New Roman" w:cs="Traditional Arabic" w:eastAsia="Times New Roman" w:hAnsi="Times New Roman"/>
          <w:i w:val="false"/>
          <w:sz w:val="24"/>
          <w:szCs w:val="24"/>
        </w:rPr>
        <w:t xml:space="preserve">Kanaatimizce postmodern eleştirinin sosyal bilimlere en kalıcı katkısı, araştırmacının konumunun görünür kılınması olmuştur. Bu katkı, nitel araştırmanın yansıtıcılık ilkesinde kurumsal bir karşılık bulmuştur. Ne var ki eleştirinin aşırı ucunda, bilgi iddialarının yalnızca konumlarına indirgenmesi ve hakikat sorusunun büsbütün anlamsız sayılması tehlikesi bulunmaktadır. Bauman’ın yukarıda aktarılan, hakikat ideali olmadan hiçbir anlam yorumunun düşünülemeyeceğine dair tespiti, bu tehlikeye karşı Batı sosyal biliminin kendi içinden gelen bir uyarıdır.</w:t>
      </w:r>
    </w:p>
    <w:p>
      <w:pPr>
        <w:pStyle w:val="Heading2"/>
        <w:keepNext/>
        <w:spacing w:after="120" w:before="240"/>
      </w:pPr>
      <w:r>
        <w:rPr>
          <w:rFonts w:ascii="Times New Roman" w:cs="Traditional Arabic" w:eastAsia="Times New Roman" w:hAnsi="Times New Roman"/>
          <w:b/>
          <w:bCs/>
          <w:i w:val="false"/>
          <w:sz w:val="24"/>
          <w:szCs w:val="24"/>
        </w:rPr>
        <w:t xml:space="preserve">1.8. Değerlendirme: Batı Birikiminin Ulaştığı Yer ve Açık Bıraktığı Sorular</w:t>
      </w:r>
    </w:p>
    <w:p>
      <w:pPr>
        <w:spacing w:after="120" w:line="360"/>
        <w:ind w:firstLine="567"/>
        <w:jc w:val="both"/>
      </w:pPr>
      <w:r>
        <w:rPr>
          <w:rFonts w:ascii="Times New Roman" w:cs="Traditional Arabic" w:eastAsia="Times New Roman" w:hAnsi="Times New Roman"/>
          <w:i w:val="false"/>
          <w:sz w:val="24"/>
          <w:szCs w:val="24"/>
        </w:rPr>
        <w:t xml:space="preserve">Bu bölümde özetlenen tartışma, din eğitimi araştırmacısına üç önemli kazanım sunmaktadır. Birincisi, insanı ve onun anlam dünyasını konu edinen bir bilimin doğa bilimlerinin yöntem idealini taklit edemeyeceğidir. Bauman’ın ve Gadamer’in tespitleri bu konuda açıktır. İkincisi, araştırmacının araştırmanın dışında değil içinde olduğu, kendi geçmişinin, değerlerinin ve geleneğinin yorumunu şekillendirdiğidir. Creswell’in, Beraha’nın ve Gadamer’in farklı dillerle ifade ettiği bu tespit, nitel araştırmanın yansıtıcılık ilkesinin temelidir. Beraha’nın bu noktadaki uyarısı din eğitimcisi için ayrıca anlamlıdır. Ona göre dinî, kültürel, siyasi ve ekonomik değerler ile bilimsel yargı arasında bir ilişki vardır ve bilimle uğraşanlar dinî değerlerinin, siyasi görüşlerinin ve kültürel özelliklerinin sebep olduğu önyargıları anlamalıdır.</w:t>
      </w:r>
      <w:r>
        <w:rPr>
          <w:rStyle w:val="FootnoteReference"/>
        </w:rPr>
        <w:footnoteReference w:id="6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Üçüncüsü, gelenek ve otoritenin aklın düşmanı olmadığı, bir gelenekte konumlanmanın bilgiyi mümkün kıldığıdır.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“Dini, kültürel, politik ve ekonomik değerler ile bilimsel yargı arasında bir ilişki vardır. Başka bir deyişle, toplumsal bağlamda sürdürdüğümüz tutumlar ve önyargılar, bilimsel araştırma sürecini etkileyebilmektedir. Bu nedenle bilimle uğraşan insanlar açısından öz-farkındalık (self-awareness) çok önemlidir. Bilimciler kendilerini tanımalı ve dini değerlerinin, ekonomik, politik görüşlerinin ve kültürel özelliklerinin sebep olduğu önyargıları veya çarpıklıkları anlamalıdır.”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Bilimsel Düşünce ve Araştırma Metodolojisi{Dr. Aydın Beraha}(2021, Gazi Kitabevi){116327078} libgen.li.pdf, basılı s. 46, PDF s. 56]</w:t>
      </w:r>
    </w:p>
    <w:p>
      <w:pPr>
        <w:spacing w:after="120" w:line="360"/>
        <w:ind w:firstLine="567"/>
        <w:jc w:val="both"/>
      </w:pPr>
      <w:r>
        <w:rPr>
          <w:rFonts w:ascii="Times New Roman" w:cs="Traditional Arabic" w:eastAsia="Times New Roman" w:hAnsi="Times New Roman"/>
          <w:i w:val="false"/>
          <w:sz w:val="24"/>
          <w:szCs w:val="24"/>
        </w:rPr>
        <w:t xml:space="preserve">Bununla birlikte aynı tartışma üç soruyu açık bırakmaktadır. Birinci soru hakikat sorusudur. Anlamanın tarihselliği ve yorumun çoğulluğu kabul edildiğinde, bir yorumun ötekinden daha doğru olduğunu hangi ölçütle söyleyeceğiz? Bauman bu sorunun Batı sosyal bilimlerinde henüz çözülmediğini açıkça kabul etmektedir. Ona göre hermenötiğin meydan okumasına karşı şimdiye kadar oluşturulan çözümlerden hiçbiri bir uzlaşı sağlayamamış ve kendi özgün sınırlamalarının eleştirisinden kurtulamamıştır.</w:t>
      </w:r>
      <w:r>
        <w:rPr>
          <w:rStyle w:val="FootnoteReference"/>
        </w:rPr>
        <w:footnoteReference w:id="6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“Bizim hikâyemiz sonuçsuz bir hikâyedir, zira hermenötiğin meydan okumasına karşı şu âna kadar oluşturulmuş çözümlerden hiçbiri bir uzlaşı sağlayamadı ve kendi özgün sınırlamalarının eleştirisinden kurtulamadı.”</w:t>
      </w:r>
    </w:p>
    <w:p>
      <w:pPr>
        <w:pStyle w:val="Dogrulama"/>
        <w:spacing w:after="80" w:line="240"/>
        <w:ind w:left="567"/>
      </w:pPr>
      <w:r>
        <w:rPr>
          <w:rFonts w:ascii="Times New Roman" w:cs="Traditional Arabic" w:eastAsia="Times New Roman" w:hAnsi="Times New Roman"/>
          <w:i w:val="false"/>
          <w:color w:val="7F7F7F"/>
          <w:sz w:val="18"/>
          <w:szCs w:val="18"/>
        </w:rPr>
        <w:t xml:space="preserve">[Dosya: Zygmunt Bauman - Hermenötik ve Sosyal Bilimler_ Anlama’ya Dair Yaklaşımlar (2017, Ayrıntı Yayınları) - libgen.li.pdf, basılı s. [26-27], PDF s. 26-27. Basılı numaralar sayfada görünmemektedir; komşu sayfalardan çıkarılmıştır.]</w:t>
      </w:r>
    </w:p>
    <w:p>
      <w:pPr>
        <w:spacing w:after="120" w:line="360"/>
        <w:ind w:firstLine="567"/>
        <w:jc w:val="both"/>
      </w:pPr>
      <w:r>
        <w:rPr>
          <w:rFonts w:ascii="Times New Roman" w:cs="Traditional Arabic" w:eastAsia="Times New Roman" w:hAnsi="Times New Roman"/>
          <w:i w:val="false"/>
          <w:sz w:val="24"/>
          <w:szCs w:val="24"/>
        </w:rPr>
        <w:t xml:space="preserve">İkinci soru araştırmacının ahlakıdır. Modern paradigmalar araştırmacının konumunu görünür kılmış, fakat bu konumun ahlaki olarak nasıl terbiye edileceğini büyük ölçüde etik kurul düzenlemelerine ve bireysel beyanlara bırakmıştır. Araştırmacının dürüstlüğü, kayıt titizliği, niyeti ve duygularının yorumuna etkisi, yöntemin içinde değil kenarında duran konular olarak kalmıştır. Üçüncü soru nakledilen sözün değeridir. Nitel araştırmanın verilerinin büyük kısmı insanların anlatımlarıdır. Bu anlatımların hangi durumda anlamın kaydı, hangi durumda vâkıaya dair bir iddia olarak okunacağı ve ikinci durumda hangi ölçütlerle sınanacağı konusunda Batı literatüründe dağınık önlemler bulunmakla birlikte, bütüncül olmayan bir boşluk bulunmaktadır.</w:t>
      </w:r>
    </w:p>
    <w:p>
      <w:pPr>
        <w:spacing w:after="120" w:line="360"/>
        <w:ind w:firstLine="567"/>
        <w:jc w:val="both"/>
      </w:pPr>
      <w:r>
        <w:rPr>
          <w:rFonts w:ascii="Times New Roman" w:cs="Traditional Arabic" w:eastAsia="Times New Roman" w:hAnsi="Times New Roman"/>
          <w:i w:val="false"/>
          <w:sz w:val="24"/>
          <w:szCs w:val="24"/>
        </w:rPr>
        <w:t xml:space="preserve">Kanaatimizce bu üç soru, İslam ilim geleneğinin usûl birikiminin en çok işlediği sorulardır. Nefsü’l-emr ile usûlî hüküm arasındaki ayrım birinci soruya, râvinin adalet ve zabtına dair birikim ikinci soruya, haber türlerini ayıran ve haberi tenkit eden usûl ise üçüncü soruya dair güçlü kavramlar sunmaktadır. Gadamer’in beşeri bilimlerin hermenötiğini hukuki ve teolojik hermenötiğe göre yeniden tanımlama çağrısı, üçüncü bölümde görüleceği üzere, bu birikimin modern tartışmaya katılması için Batı düşüncesinin kendi içinden açılmış bir kapıdır. İkinci bölümde önce klasik bilgi yolları ile nitel araştırmanın bilgi anlayışı karşılaştırılmakta, üçüncü bölümde ise bu karşılaştırmadan hareketle tahkîk paradigması ortaya konmaktadır.</w:t>
      </w:r>
    </w:p>
    <w:p>
      <w:pPr>
        <w:keepNext/>
        <w:spacing w:after="80" w:before="200"/>
      </w:pPr>
      <w:r>
        <w:rPr>
          <w:rFonts w:ascii="Times New Roman" w:cs="Traditional Arabic" w:eastAsia="Times New Roman" w:hAnsi="Times New Roman"/>
          <w:b/>
          <w:bCs/>
          <w:i w:val="false"/>
          <w:sz w:val="22"/>
          <w:szCs w:val="22"/>
        </w:rPr>
        <w:t xml:space="preserve">Tablo 1.1. Batı paradigmalarının dört soruya verdiği cevaplar ve açık bıraktığı sorular</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1814"/>
        <w:gridCol w:w="1814"/>
        <w:gridCol w:w="1814"/>
        <w:gridCol w:w="1814"/>
        <w:gridCol w:w="1814"/>
      </w:tblGrid>
      <w:tr>
        <w:trPr>
          <w:cantSplit/>
          <w:tblHeader/>
        </w:trPr>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Paradigma</w:t>
            </w:r>
          </w:p>
        </w:tc>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Varlık</w:t>
            </w:r>
          </w:p>
        </w:tc>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Bilgi</w:t>
            </w:r>
          </w:p>
        </w:tc>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Araştırmacı</w:t>
            </w:r>
          </w:p>
        </w:tc>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Açık bıraktığı soru</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Pozitivist ve postpozitivist</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Dışarıda var olan, ölçülebilen gerçeklik</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Gözleme ve ölçmeye dayanan, kesinliği giderek yumuşatılmış bilgi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Kişisel tercihlerinden arındırılması beklenen gözlemci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İç hâller ve anlam nasıl bilinecek?</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Hermenötik ve yorumlayıcı</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Anlam taşıyan, tarihsel insan dünyası</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Önyargı ve gelenek içinden gerçekleşen yorum</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Geleneğe ait olan ve ufku sürekli şekillenen yorumcu</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Yorumların doğruluğu hangi ölçütle sınanacak?</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Yapılandırmacı</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Sosyal olarak inşa edilen çoklu anlamlar</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Katılımcıyla birlikte kurulan, tümevarımsal anlayış</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Konumunu beyan eden ortak kurucu</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Anlamların ötesinde bir hakikat var mı?</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Dönüştürücü</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Güç ilişkileriyle biçimlenen gerçeklik</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Bilinç yükseltmeye ve değişime yönelik bilgi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Marjinal grupların savunucusu</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Betimleme ile gündem nasıl ayrılacak?</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Pragmatist</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Probleme göre ele alınan gerçeklik</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İşe yarayan bilgi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Problem çözücü</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Fayda ile doğruluk aynı şey mi?</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Postmodern eleştiri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Dil ve güç içinde kurulan gerçeklik</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Konumlu ve kısmi bilgi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Konumu görünür kılınan özne</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Bilgi iddiaları konuma indirgenebilir mi?</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İKİNCİ BÖLÜM</w:t>
      </w:r>
    </w:p>
    <w:p>
      <w:pPr>
        <w:pStyle w:val="Heading1"/>
        <w:spacing w:after="360"/>
        <w:jc w:val="center"/>
      </w:pPr>
      <w:r>
        <w:rPr>
          <w:rFonts w:ascii="Times New Roman" w:cs="Traditional Arabic" w:eastAsia="Times New Roman" w:hAnsi="Times New Roman"/>
          <w:b/>
          <w:bCs/>
          <w:i w:val="false"/>
          <w:color w:val="1F3864"/>
          <w:sz w:val="28"/>
          <w:szCs w:val="28"/>
        </w:rPr>
        <w:t xml:space="preserve">2. Bilgi, Anlam ve Yöntem: Klasik Bilgi Yolları ile Nitel Araştırmanın Bilgi Anlayışı</w:t>
      </w:r>
    </w:p>
    <w:p>
      <w:pPr>
        <w:spacing w:after="120" w:line="360"/>
        <w:ind w:firstLine="567"/>
        <w:jc w:val="both"/>
      </w:pPr>
      <w:r>
        <w:rPr>
          <w:rFonts w:ascii="Times New Roman" w:cs="Traditional Arabic" w:eastAsia="Times New Roman" w:hAnsi="Times New Roman"/>
          <w:i w:val="false"/>
          <w:sz w:val="24"/>
          <w:szCs w:val="24"/>
        </w:rPr>
        <w:t xml:space="preserve">Her araştırma yöntemi, bilginin ne olduğuna ve nasıl elde edildiğine dair bazı kabullere dayanmaktadır. Nitel araştırmayı din eğitimi alanında kullanmak isteyen bir araştırmacının önce bu kabulleri tanıması gerekmektedir. Bu bölümde nitel araştırmanın bilgi anlayışı, klasik İslam düşüncesinde bilgiye ulaşma yollarına dair iki önemli metinle, Mâtürîdî'nin </w:t>
      </w:r>
      <w:r>
        <w:rPr>
          <w:rFonts w:ascii="Times New Roman" w:cs="Traditional Arabic" w:eastAsia="Times New Roman" w:hAnsi="Times New Roman"/>
          <w:i/>
          <w:iCs/>
          <w:sz w:val="24"/>
          <w:szCs w:val="24"/>
        </w:rPr>
        <w:t xml:space="preserve">Kitâbü't-Tevhîd</w:t>
      </w:r>
      <w:r>
        <w:rPr>
          <w:rFonts w:ascii="Times New Roman" w:cs="Traditional Arabic" w:eastAsia="Times New Roman" w:hAnsi="Times New Roman"/>
          <w:i w:val="false"/>
          <w:sz w:val="24"/>
          <w:szCs w:val="24"/>
        </w:rPr>
        <w:t xml:space="preserve">'i ve Gazzâlî'nin </w:t>
      </w:r>
      <w:r>
        <w:rPr>
          <w:rFonts w:ascii="Times New Roman" w:cs="Traditional Arabic" w:eastAsia="Times New Roman" w:hAnsi="Times New Roman"/>
          <w:i/>
          <w:iCs/>
          <w:sz w:val="24"/>
          <w:szCs w:val="24"/>
        </w:rPr>
        <w:t xml:space="preserve">el-Munkız mine'd-dalâl</w:t>
      </w:r>
      <w:r>
        <w:rPr>
          <w:rFonts w:ascii="Times New Roman" w:cs="Traditional Arabic" w:eastAsia="Times New Roman" w:hAnsi="Times New Roman"/>
          <w:i w:val="false"/>
          <w:sz w:val="24"/>
          <w:szCs w:val="24"/>
        </w:rPr>
        <w:t xml:space="preserve">'i ile karşılaştırılmaktadır. Karşılaştırmanın amacı iki dünyayı birbirine benzetmek değil, her birinin bilgiden ne beklediğini daha açık görmektir.</w:t>
      </w:r>
    </w:p>
    <w:p>
      <w:pPr>
        <w:pStyle w:val="Heading2"/>
        <w:keepNext/>
        <w:spacing w:after="120" w:before="240"/>
      </w:pPr>
      <w:r>
        <w:rPr>
          <w:rFonts w:ascii="Times New Roman" w:cs="Traditional Arabic" w:eastAsia="Times New Roman" w:hAnsi="Times New Roman"/>
          <w:b/>
          <w:bCs/>
          <w:i w:val="false"/>
          <w:sz w:val="24"/>
          <w:szCs w:val="24"/>
        </w:rPr>
        <w:t xml:space="preserve">2.1. Mâtürîdî'de Bilgiye Ulaştıran Yollar</w:t>
      </w:r>
    </w:p>
    <w:p>
      <w:pPr>
        <w:pStyle w:val="DogrulamaAR"/>
        <w:bidi/>
        <w:spacing w:after="20" w:line="300"/>
        <w:ind w:end="567"/>
        <w:jc w:val="both"/>
      </w:pPr>
      <w:r>
        <w:rPr>
          <w:rFonts w:ascii="Times New Roman" w:cs="Traditional Arabic" w:eastAsia="Times New Roman" w:hAnsi="Times New Roman"/>
          <w:i w:val="false"/>
          <w:sz w:val="24"/>
          <w:szCs w:val="24"/>
        </w:rPr>
        <w:t xml:space="preserve">Mâtürîdî, eşyanın hakikatlerinin bilgisine ulaştıran yolları ʿiyân, haberler ve nazar olarak saymakta, ʿiyânı da duyuların kendisine ulaştığı şey olarak tanımlamaktadır.</w:t>
      </w:r>
      <w:r>
        <w:rPr>
          <w:rStyle w:val="FootnoteReference"/>
        </w:rPr>
        <w:footnoteReference w:id="6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tanımda ʿiyân (</w:t>
      </w:r>
      <w:r>
        <w:rPr>
          <w:rFonts w:ascii="Times New Roman" w:cs="Traditional Arabic" w:eastAsia="Times New Roman" w:hAnsi="Times New Roman"/>
          <w:i w:val="false"/>
          <w:sz w:val="24"/>
          <w:szCs w:val="30"/>
          <w:rtl/>
        </w:rPr>
        <w:t xml:space="preserve">العيان</w:t>
      </w:r>
      <w:r>
        <w:rPr>
          <w:rFonts w:ascii="Times New Roman" w:cs="Traditional Arabic" w:eastAsia="Times New Roman" w:hAnsi="Times New Roman"/>
          <w:i w:val="false"/>
          <w:sz w:val="24"/>
          <w:szCs w:val="24"/>
        </w:rPr>
        <w:t xml:space="preserve">), kendisinde cehaletten bir zıt bulunmayan bilginin asıl kaynağı olarak öne çıkmaktadır. Göz ile görülen, kulak ile işitilen, el ile dokunulan şey, insanın en doğrudan bilgisini oluşturmaktadır.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 dipnottaki doğrulama bloğunda verilmiştir.]</w:t>
      </w:r>
    </w:p>
    <w:p>
      <w:pPr>
        <w:pStyle w:val="DogrulamaAR"/>
        <w:bidi/>
        <w:spacing w:after="20" w:line="300"/>
        <w:ind w:end="567"/>
        <w:jc w:val="both"/>
      </w:pPr>
      <w:r>
        <w:rPr>
          <w:rFonts w:ascii="Times New Roman" w:cs="Traditional Arabic" w:eastAsia="Times New Roman" w:hAnsi="Times New Roman"/>
          <w:i w:val="false"/>
          <w:sz w:val="24"/>
          <w:szCs w:val="24"/>
        </w:rPr>
        <w:t xml:space="preserve">Haberlerin (</w:t>
      </w:r>
      <w:r>
        <w:rPr>
          <w:rFonts w:ascii="Times New Roman" w:cs="Traditional Arabic" w:eastAsia="Times New Roman" w:hAnsi="Times New Roman"/>
          <w:i w:val="false"/>
          <w:sz w:val="24"/>
          <w:szCs w:val="30"/>
          <w:rtl/>
        </w:rPr>
        <w:t xml:space="preserve">الأخبار</w:t>
      </w:r>
      <w:r>
        <w:rPr>
          <w:rFonts w:ascii="Times New Roman" w:cs="Traditional Arabic" w:eastAsia="Times New Roman" w:hAnsi="Times New Roman"/>
          <w:i w:val="false"/>
          <w:sz w:val="24"/>
          <w:szCs w:val="24"/>
        </w:rPr>
        <w:t xml:space="preserve">) işlevi ise, kanaatimizce, insanın kendi duyularıyla ulaşamadığı şeylerin bilgisini taşımaktır. Mâtürîdî, haberin kabulünü aklın bir zarureti olarak görmekte ve peygamberlerden gelen haberlerin kabulünü de bu zarurete bağlamaktadır.</w:t>
      </w:r>
      <w:r>
        <w:rPr>
          <w:rStyle w:val="FootnoteReference"/>
        </w:rPr>
        <w:footnoteReference w:id="6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Bununla birlikte haber her durumda olduğu gibi kabul edilmemektedir. Mâtürîdî'ye göre peygamberlerden bize ulaşan haberler, hata ve yalan ihtimali taşıyan kimselerin dilleri üzerinden gelmektedir ve bu kimselerde ne doğruluğun delili ne de masumiyetin burhanı bulunmaktadır. Böyle bir haberin hakkı, üzerinde nazar edilmesidir.</w:t>
      </w:r>
      <w:r>
        <w:rPr>
          <w:rStyle w:val="FootnoteReference"/>
        </w:rPr>
        <w:footnoteReference w:id="6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14. dipnottaki doğrulama bloğunda verilmiştir.]</w:t>
      </w:r>
    </w:p>
    <w:p>
      <w:pPr>
        <w:pStyle w:val="DogrulamaAR"/>
        <w:bidi/>
        <w:spacing w:after="20" w:line="300"/>
        <w:ind w:end="567"/>
        <w:jc w:val="both"/>
      </w:pPr>
      <w:r>
        <w:rPr>
          <w:rFonts w:ascii="Times New Roman" w:cs="Traditional Arabic" w:eastAsia="Times New Roman" w:hAnsi="Times New Roman"/>
          <w:i/>
          <w:iCs/>
          <w:sz w:val="24"/>
          <w:szCs w:val="30"/>
          <w:rtl/>
        </w:rPr>
        <w:t xml:space="preserve">“ثمَّ الْأَخْبَار الَّتِي تَنْتَهِي إِلَيْنَا من الرُّسُل تَنْتَهِي على ألسن من يحْتَمل مِنْهُم الْغَلَط وَالْكذب إِذْ لَيْسَ مَعَهم دَلِيل الصدْق وَلَا برهَان الْعِصْمَة فَحق مثله النّظر فِيهِ”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6365, page_id 6, basılı s. 8]</w:t>
      </w:r>
    </w:p>
    <w:p>
      <w:pPr>
        <w:spacing w:after="120" w:line="360"/>
        <w:ind w:firstLine="567"/>
        <w:jc w:val="both"/>
      </w:pPr>
      <w:r>
        <w:rPr>
          <w:rFonts w:ascii="Times New Roman" w:cs="Traditional Arabic" w:eastAsia="Times New Roman" w:hAnsi="Times New Roman"/>
          <w:i w:val="false"/>
          <w:sz w:val="24"/>
          <w:szCs w:val="24"/>
        </w:rPr>
        <w:t xml:space="preserve">Kanaatimizce bu üç yol birbirinden kopuk değildir. ʿİyân bilginin en sağlam zeminini oluşturmakta, haber bu zeminin ulaşamadığı yere bilgi taşımakta, nazar ise bu iki yoldan gelen bilgi üzerinde düşünmeyi mümkün kılmaktadır. Mâtürîdî'nin metninde nazarın haberi takip etmesi özellikle önemlidir. Nazarı gerekli kılan, peygamberlerden gelen haberleri aktaranlarda hata ve yalan ihtimalinin bulunması ve yanlarında doğruluğun delili ya da masumiyetin burhanı olmamasıdır.</w:t>
      </w:r>
      <w:r>
        <w:rPr>
          <w:rStyle w:val="FootnoteReference"/>
        </w:rPr>
        <w:footnoteReference w:id="6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66.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Nitel araştırma açısından bu tablo ilk bakışta tanıdık görünmektedir. Gözlem doğrudan idrake, görüşme ve doküman başkalarının aktardığına, analiz ve yorum ise bu iki kaynaktan gelen veriler üzerinde düşünmeye karşılık gelmektedir. Kitabın kurgusu da bu benzerlikten yararlanmaktadır. Ancak burada önemli bir fark bulunmaktadır. Mâtürîdî'nin sorusu, eşyanın hakikatinin nasıl bilineceğidir. Haber üzerinde nazar, haberin doğru olup olmadığını belirlemeye yöneliktir. Nitel araştırmada ise katılımcının anlatımı çoğu zaman bir dış gerçekliğe dair doğru ya da yanlış bir haber olarak değil, katılımcının tecrübesini ve anlam dünyasını ifade eden bir veri olarak ele alınmaktadır. Araştırmacının nazarı, sözün doğruluğunu karara bağlamaktan çok, o sözün söyleyen için ne ifade ettiğini anlamaya yönelmektedir. Kanaatimizce Mâtürîdî'nin üçlüsü, nitel araştırma sürecinin aşamalarını adlandırmak için verimli bir düzenleme ilkesi sunmakta, fakat haber kavramının taşıdığı doğruluk sorusu nitel veriye ancak sınırlı ölçüde taşınabilmektedir. Bu sınır, kitabın ilerleyen bölümlerinde araştırmacının dürüstlüğü ve kayıt titizliği meselesine dönüştürülmüştür.</w:t>
      </w:r>
    </w:p>
    <w:p>
      <w:pPr>
        <w:pStyle w:val="Heading2"/>
        <w:keepNext/>
        <w:spacing w:after="120" w:before="240"/>
      </w:pPr>
      <w:r>
        <w:rPr>
          <w:rFonts w:ascii="Times New Roman" w:cs="Traditional Arabic" w:eastAsia="Times New Roman" w:hAnsi="Times New Roman"/>
          <w:b/>
          <w:bCs/>
          <w:i w:val="false"/>
          <w:sz w:val="24"/>
          <w:szCs w:val="24"/>
        </w:rPr>
        <w:t xml:space="preserve">2.2. Gazzâlî'nin Arayışı: Taklitten Yakîne</w:t>
      </w:r>
    </w:p>
    <w:p>
      <w:pPr>
        <w:spacing w:after="120" w:line="360"/>
        <w:ind w:firstLine="567"/>
        <w:jc w:val="both"/>
      </w:pPr>
      <w:r>
        <w:rPr>
          <w:rFonts w:ascii="Times New Roman" w:cs="Traditional Arabic" w:eastAsia="Times New Roman" w:hAnsi="Times New Roman"/>
          <w:i w:val="false"/>
          <w:sz w:val="24"/>
          <w:szCs w:val="24"/>
        </w:rPr>
        <w:t xml:space="preserve">Gazzâlî, </w:t>
      </w:r>
      <w:r>
        <w:rPr>
          <w:rFonts w:ascii="Times New Roman" w:cs="Traditional Arabic" w:eastAsia="Times New Roman" w:hAnsi="Times New Roman"/>
          <w:i/>
          <w:iCs/>
          <w:sz w:val="24"/>
          <w:szCs w:val="24"/>
        </w:rPr>
        <w:t xml:space="preserve">el-Munkız</w:t>
      </w:r>
      <w:r>
        <w:rPr>
          <w:rFonts w:ascii="Times New Roman" w:cs="Traditional Arabic" w:eastAsia="Times New Roman" w:hAnsi="Times New Roman"/>
          <w:i w:val="false"/>
          <w:sz w:val="24"/>
          <w:szCs w:val="24"/>
        </w:rPr>
        <w:t xml:space="preserve">'da kendi zihnî serüvenini anlatırken bilgiye ulaşma çabasının nasıl başladığını ayrıntılı biçimde tasvir etmektedir. Onun anlatımında dikkat çeken ilk husus, farklı grupları kendi iç anlayışlarıyla tanıma isteğidir. Gazzâlî, her fırkanın akidesini araştırdığını, her zümrenin mezhebinin sırlarını keşfetmeye çalıştığını ve bunu hak üzere olanı batıl üzere olandan, sünnete uyanı bidat ehlinden ayırt etmek için yaptığını söylemektedir. Hiçbir bâtınîyi bâtınîliğine vâkıf olmayı istemeden, hiçbir zâhirîyi zâhirîliğinin neye vardığını öğrenmeyi arzu etmeden, hiçbir felsefeciyi felsefesinin künhüne ulaşmayı kastetmeden bırakmadığını belirtmektedir.</w:t>
      </w:r>
      <w:r>
        <w:rPr>
          <w:rStyle w:val="FootnoteReference"/>
        </w:rPr>
        <w:footnoteReference w:id="6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Aynı tavrı sûfîler ve ibadete düşkün kimseler için de sürdürmekte, hiçbir sûfîyi safâsının sırrına ulaşmaya, hiçbir âbidi ibadetinin neye vardığını gözetlemeye özen göstermeden bırakmadığını eklemektedir.</w:t>
      </w:r>
      <w:r>
        <w:rPr>
          <w:rStyle w:val="FootnoteReference"/>
        </w:rPr>
        <w:footnoteReference w:id="69"/>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“وأتفحص عن عقيدة كل فرقة، وأستكشف أسرار مذهب كل طائفة، لأميز بين محق ومبطل، ومتسنن ومبتدع، لا أغادر باطنياً إلا وأحب أن أطلع على باطنيته، ولا ظاهرياً إلا وأريد أن أعلم حاصل ظاهريته، ولا فلسفياً إلا وأقصد الوقوف على كنه فلسفته،”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4, basılı s. 109]</w:t>
      </w:r>
    </w:p>
    <w:p>
      <w:pPr>
        <w:pStyle w:val="DogrulamaAR"/>
        <w:bidi/>
        <w:spacing w:after="20" w:line="300"/>
        <w:ind w:end="567"/>
        <w:jc w:val="both"/>
      </w:pPr>
      <w:r>
        <w:rPr>
          <w:rFonts w:ascii="Times New Roman" w:cs="Traditional Arabic" w:eastAsia="Times New Roman" w:hAnsi="Times New Roman"/>
          <w:i/>
          <w:iCs/>
          <w:sz w:val="24"/>
          <w:szCs w:val="30"/>
          <w:rtl/>
        </w:rPr>
        <w:t xml:space="preserve">“ولا صوفياً إلا وأحرص على العثور على سر صفوته، ولا متعبداً إلا وأترصد ما يرجع إليه حاصل عبادته،”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5, basılı s. 110]</w:t>
      </w:r>
    </w:p>
    <w:p>
      <w:pPr>
        <w:spacing w:after="120" w:line="360"/>
        <w:ind w:firstLine="567"/>
        <w:jc w:val="both"/>
      </w:pPr>
      <w:r>
        <w:rPr>
          <w:rFonts w:ascii="Times New Roman" w:cs="Traditional Arabic" w:eastAsia="Times New Roman" w:hAnsi="Times New Roman"/>
          <w:i w:val="false"/>
          <w:sz w:val="24"/>
          <w:szCs w:val="24"/>
        </w:rPr>
        <w:t xml:space="preserve">Bu satırlarda nitel araştırmacının aşina olduğu bir tutum görülmektedir. Gazzâlî farklı grupların akidesini, mezheplerinin sırlarını ve öğretilerinin künhünü bizzat tanımak istediğini söylemektedir.</w:t>
      </w:r>
      <w:r>
        <w:rPr>
          <w:rStyle w:val="FootnoteReference"/>
        </w:rPr>
        <w:footnoteReference w:id="7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bir âbidin ibadetinin “neye vardığını gözetlemek”, nitel araştırmacının katılımcının ibadetine yüklediği anlamı anlama çabasıyla karşılaştırılabilir. Bununla birlikte Gazzâlî'nin amacı, metnin açıkça ifade ettiği gibi, hak üzere olanı batıl üzere olandan, sünnete uyanı bidat ehlinden ayırmaktır. Nitel araştırmacı ise katılımcının dünyasını anlamaya çalışırken onun inancının doğruluğu hakkında hüküm vermeyi bir kenara bırakmaktadır. İki tutum, içeriden anlama isteğinde birleşmekte, bu anlayışla ne yapılacağı konusunda ayrılmaktadır.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68.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Gazzâlî'nin anlatımında din eğitimcisini doğrudan ilgilendiren bir gözlem de yer almaktadır. Gazzâlî, henüz gençlik çağına yakın bir yaşta taklit bağının üzerinden çözüldüğünü ve tevarüs ettiği akidelerin kendisinde kırıldığını anlatmaktadır. Bunun sebebi, Hristiyanların çocuklarının ancak Hristiyanlık, Yahudilerin çocuklarının ancak Yahudilik, Müslümanların çocuklarının da ancak İslam üzere yetiştiğini görmesidir.</w:t>
      </w:r>
      <w:r>
        <w:rPr>
          <w:rStyle w:val="FootnoteReference"/>
        </w:rPr>
        <w:footnoteReference w:id="7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Gazzâlî'nin ifadesiyle iç dünyası, asıl fıtratın hakikatini ve ana-babanın ve hocaların taklidiyle sonradan arız olan akidelerin hakikatini aramaya ve bu taklitler arasında ayırım yapmaya yönelmiştir.</w:t>
      </w:r>
      <w:r>
        <w:rPr>
          <w:rStyle w:val="FootnoteReference"/>
        </w:rPr>
        <w:footnoteReference w:id="7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16.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17.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Bu satırlar, aile ve öğretmenin çocuğun inanç dünyasının oluşmasındaki rolüne dair klasik bir tespit olarak okunabilir. Gazzâlî'nin buradaki amacı bir eğitim araştırması yapmak değil, kendi inancını sağlam bir temele oturtmaktır. Fakat onun sorduğu soru, yani bir çocuğun inancında neyin fıtrattan, neyin ana-babadan ve hocadan geldiği sorusu, aile içi din eğitimi araştırmalarının temel sorularından biriyle akrabadır. Nitel araştırmacı bu soruya Gazzâlî gibi bir yakîn arayışıyla değil, çocukların, ana-babaların ve öğretmenlerin bu süreci nasıl tecrübe ettiğini ve anlattığını inceleyerek yaklaşacaktır.</w:t>
      </w:r>
    </w:p>
    <w:p>
      <w:pPr>
        <w:spacing w:after="120" w:line="360"/>
        <w:ind w:firstLine="567"/>
        <w:jc w:val="both"/>
      </w:pPr>
      <w:r>
        <w:rPr>
          <w:rFonts w:ascii="Times New Roman" w:cs="Traditional Arabic" w:eastAsia="Times New Roman" w:hAnsi="Times New Roman"/>
          <w:i w:val="false"/>
          <w:sz w:val="24"/>
          <w:szCs w:val="24"/>
        </w:rPr>
        <w:t xml:space="preserve">Gazzâlî'nin aradığı bilginin ölçüsü de bu farkı belirginleştirmektedir. Ona göre yakînî bilgi, bilinen şeyin kendisinde hiçbir şüphe kalmayacak biçimde açığa çıktığı ve hata ile vehim ihtimalinin kendisine eşlik etmediği bilgidir [Şamile metnindeki “yufârikuhû” kelimesi, anlam gereği “yukârinuhû” okunarak çevrilmiştir].</w:t>
      </w:r>
      <w:r>
        <w:rPr>
          <w:rStyle w:val="FootnoteReference"/>
        </w:rPr>
        <w:footnoteReference w:id="7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 böyle bir yakîn iddiasında bulunmamaktadır. Onun ulaşmaya çalıştığı bilgi, belli bir bağlamda belli insanların tecrübesine dair inandırıcı ve iyi temellendirilmiş bir anlayıştır. Bu fark bir eksiklik olarak değil, iki bilgi türünün farklı sorulara cevap vermesi olarak anlaşılmalıdır.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“فظهر لي: أن العلم اليقيني هو الذي ينكشف فيه المعلوم انكشافاً لا يبقى معه ريب، ولا يفارقه إمكان الغلط والوهم،”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6, basılı s. 111] Not: Metinde “ولا يفارقه” biçiminde geçmektedir. Çeviri, anlam gereği “ولا يقارنه” okumasına göre yapılmıştır. Basılı nüshadan kontrol edilmelidir.</w:t>
      </w:r>
    </w:p>
    <w:p>
      <w:pPr>
        <w:pStyle w:val="Heading2"/>
        <w:keepNext/>
        <w:spacing w:after="120" w:before="240"/>
      </w:pPr>
      <w:r>
        <w:rPr>
          <w:rFonts w:ascii="Times New Roman" w:cs="Traditional Arabic" w:eastAsia="Times New Roman" w:hAnsi="Times New Roman"/>
          <w:b/>
          <w:bCs/>
          <w:i w:val="false"/>
          <w:sz w:val="24"/>
          <w:szCs w:val="24"/>
        </w:rPr>
        <w:t xml:space="preserve">2.3. Nitel Araştırmanın Bilgi Anlayışı</w:t>
      </w:r>
    </w:p>
    <w:p>
      <w:pPr>
        <w:spacing w:after="120" w:line="360"/>
        <w:ind w:firstLine="567"/>
        <w:jc w:val="both"/>
      </w:pPr>
      <w:r>
        <w:rPr>
          <w:rFonts w:ascii="Times New Roman" w:cs="Traditional Arabic" w:eastAsia="Times New Roman" w:hAnsi="Times New Roman"/>
          <w:i w:val="false"/>
          <w:sz w:val="24"/>
          <w:szCs w:val="24"/>
        </w:rPr>
        <w:t xml:space="preserve">Yıldırım ve Şimşek'e göre sosyal bilimlerde yaşanan dönüşüm, dünyayı nasıl anladığımız ve gördüğümüz konusunda yaşanan büyük ölçekli bir dönüşümün parçasıdır.</w:t>
      </w:r>
      <w:r>
        <w:rPr>
          <w:rStyle w:val="FootnoteReference"/>
        </w:rPr>
        <w:footnoteReference w:id="7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bu tespit, nitel araştırmanın yalnızca yeni bir veri toplama tekniği olarak değil, dünyayı anlama ve görme biçimine dair daha geniş bir dönüşümün parçası olarak da okunabileceğini düşündürmektedir.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“Bu dönüşüm, dünyayı nasıl anladığımız ve gördüğümüz konusunda yaşanan büyük ölçekli bir dönüşümün parçasıdır.”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[23], PDF s. 21] Not: 23 numaralı sayfada basılı sayfa numarası görünmemektedir (bölüm açılış sayfası). Köşeli ayraç içindeki numara, önceki ve sonraki sayfaların basılı numaralarından çıkarılmıştır.</w:t>
      </w:r>
    </w:p>
    <w:p>
      <w:pPr>
        <w:spacing w:after="120" w:line="360"/>
        <w:ind w:firstLine="567"/>
        <w:jc w:val="both"/>
      </w:pPr>
      <w:r>
        <w:rPr>
          <w:rFonts w:ascii="Times New Roman" w:cs="Traditional Arabic" w:eastAsia="Times New Roman" w:hAnsi="Times New Roman"/>
          <w:i w:val="false"/>
          <w:sz w:val="24"/>
          <w:szCs w:val="24"/>
        </w:rPr>
        <w:t xml:space="preserve">Yazarlar nitel araştırmadaki bütün yönelimleri, yöntemleri, süreçleri ve özellikleri kapsayan bir tanım yapmanın güç olduğunu kabul etmekle birlikte bir tanım önermektedir. Bu tanıma göre nitel araştırma, gözlem, görüşme ve doküman analizi gibi nitel veri toplama yöntemlerinin kullanıldığı, algıların ve olayların doğal ortamda gerçekçi ve “bütüncül” bir biçimde ortaya konmasına yönelik nitel bir sürecin izlendiği araştırma olarak tanımlanabilir.</w:t>
      </w:r>
      <w:r>
        <w:rPr>
          <w:rStyle w:val="FootnoteReference"/>
        </w:rPr>
        <w:footnoteReference w:id="7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bunu başka bir ifadeyle, kuram oluşturmayı temel alan bir anlayışla sosyal olguları bağlı bulundukları çevre içinde araştırmayı ve anlamayı ön plana alan bir yaklaşım olarak da açıklamaktadır.</w:t>
      </w:r>
      <w:r>
        <w:rPr>
          <w:rStyle w:val="FootnoteReference"/>
        </w:rPr>
        <w:footnoteReference w:id="7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“Her ne kadar tüm bu yönelimleri, yöntemleri, süreçleri ve özellikleri kapsayan bir tanım yapmak güç ise de,”nitel araştırma”, gözlem, görüşme ve doküman analizi gibi nitel veri toplama yöntemlerinin kullanıldığı, algıların ve olayların doğal ortamda gerçekçi ve bütüncül bir biçimde ortaya konmasına yönelik nitel bir sürecin izlendiği araştırma olarak tanımlanabilir.”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39, PDF s. 37]</w:t>
      </w:r>
    </w:p>
    <w:p>
      <w:pPr>
        <w:pStyle w:val="Dogrulama"/>
        <w:spacing w:after="20" w:line="276"/>
        <w:ind w:left="567"/>
        <w:jc w:val="both"/>
      </w:pPr>
      <w:r>
        <w:rPr>
          <w:rFonts w:ascii="Times New Roman" w:cs="Traditional Arabic" w:eastAsia="Times New Roman" w:hAnsi="Times New Roman"/>
          <w:i/>
          <w:iCs/>
          <w:sz w:val="22"/>
          <w:szCs w:val="22"/>
        </w:rPr>
        <w:t xml:space="preserve">“Başka bir deyişle nitel araştırma, kuram oluşturmayı temel alan bir anlayışla sosyal olguları bağlı bulundukları çevre içerisinde araştırmayı ve anlamayı ön plâna alan bir yaklaşımdır.”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39, PDF s. 37]</w:t>
      </w:r>
    </w:p>
    <w:p>
      <w:pPr>
        <w:spacing w:after="120" w:line="360"/>
        <w:ind w:firstLine="567"/>
        <w:jc w:val="both"/>
      </w:pPr>
      <w:r>
        <w:rPr>
          <w:rFonts w:ascii="Times New Roman" w:cs="Traditional Arabic" w:eastAsia="Times New Roman" w:hAnsi="Times New Roman"/>
          <w:i w:val="false"/>
          <w:sz w:val="24"/>
          <w:szCs w:val="24"/>
        </w:rPr>
        <w:t xml:space="preserve">Bu tanımda üç unsur öne çıkmaktadır. Birincisi veri toplama yollarıdır ve bunlar Mâtürîdî'nin ʿiyân ve ahbârına kabaca karşılık gelmektedir. İkincisi doğal ortamdır. Olay, kendisini anlamlı kılan bağlamından koparılmadan incelenmektedir. Üçüncüsü algılardır. Nitel araştırmanın konusu yalnızca olan bitenler değil, olan bitenin ona katılanlar tarafından nasıl algılandığıdır. Yazarlar bu son noktayı ayrıca vurgulamakta, nitel araştırmanın en önemli amaçlarından birinin araştırmaya katılan bireylerin algılarının ve deneyimlerinin ortaya konması olduğunu belirtmektedir.</w:t>
      </w:r>
      <w:r>
        <w:rPr>
          <w:rStyle w:val="FootnoteReference"/>
        </w:rPr>
        <w:footnoteReference w:id="7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araştırmada en önemli amaçlardan biri araştırmaya dahil edilen bireylerin algılarının ve deneyimlerinin ortaya konmasıdır.”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45, PDF s. 43]</w:t>
      </w:r>
    </w:p>
    <w:p>
      <w:pPr>
        <w:spacing w:after="120" w:line="360"/>
        <w:ind w:firstLine="567"/>
        <w:jc w:val="both"/>
      </w:pPr>
      <w:r>
        <w:rPr>
          <w:rFonts w:ascii="Times New Roman" w:cs="Traditional Arabic" w:eastAsia="Times New Roman" w:hAnsi="Times New Roman"/>
          <w:i w:val="false"/>
          <w:sz w:val="24"/>
          <w:szCs w:val="24"/>
        </w:rPr>
        <w:t xml:space="preserve">Nitel araştırmanın bilgi anlayışında araştırmacının konumu da farklıdır. Yıldırım ve Şimşek'e göre nitel araştırmacı, bizzat alanda zaman geçiren, araştırma kapsamındaki kişilerle doğrudan görüşen, gerektiğinde onların deneyimlerini yaşayan ve alanda kazandığı bakış açısını verilerin analizinde kullanan kişidir.</w:t>
      </w:r>
      <w:r>
        <w:rPr>
          <w:rStyle w:val="FootnoteReference"/>
        </w:rPr>
        <w:footnoteReference w:id="7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yönüyle araştırmacı, araştırma sürecinin doğal bir parçası haline gelmekte ve zaman zaman bir veri toplama aracı işlevi görmektedir.</w:t>
      </w:r>
      <w:r>
        <w:rPr>
          <w:rStyle w:val="FootnoteReference"/>
        </w:rPr>
        <w:footnoteReference w:id="79"/>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araştırmacı bizzat alanda zaman harcayan, araştırma kapsamındaki kişilerle doğrudan görüşen ve gerektiğinde bu kişilerin deneyimlerini yaşayan, alanda kazandığı bakış açısını ve deneyimleri, toplanan verilerin analizinde kullanan kişidir.”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43, PDF s. 41]</w:t>
      </w:r>
    </w:p>
    <w:p>
      <w:pPr>
        <w:pStyle w:val="Dogrulama"/>
        <w:spacing w:after="20" w:line="276"/>
        <w:ind w:left="567"/>
        <w:jc w:val="both"/>
      </w:pPr>
      <w:r>
        <w:rPr>
          <w:rFonts w:ascii="Times New Roman" w:cs="Traditional Arabic" w:eastAsia="Times New Roman" w:hAnsi="Times New Roman"/>
          <w:i/>
          <w:iCs/>
          <w:sz w:val="22"/>
          <w:szCs w:val="22"/>
        </w:rPr>
        <w:t xml:space="preserve">“Bu yönüyle nitel araştırmacı, araştırma sürecinin doğal bir parçası haline gelir ve zaman zaman bir veri toplama aracı işlevi görür.”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43, PDF s. 41]</w:t>
      </w:r>
    </w:p>
    <w:p>
      <w:pPr>
        <w:spacing w:after="120" w:line="360"/>
        <w:ind w:firstLine="567"/>
        <w:jc w:val="both"/>
      </w:pPr>
      <w:r>
        <w:rPr>
          <w:rFonts w:ascii="Times New Roman" w:cs="Traditional Arabic" w:eastAsia="Times New Roman" w:hAnsi="Times New Roman"/>
          <w:i w:val="false"/>
          <w:sz w:val="24"/>
          <w:szCs w:val="24"/>
        </w:rPr>
        <w:t xml:space="preserve">Araştırmacının zaman zaman bir veri toplama aracı işlevi görmesi, klasik usul açısından ilginç bir soruyu gündeme getirmektedir. Mâtürîdî'nin metninde peygamberlerden gelen haber, onu aktaranlarda hata ve yalan ihtimali bulunduğu ve yanlarında doğruluğun delili ya da masumiyetin burhanı olmadığı için nazarı gerekli kılmaktadır.</w:t>
      </w:r>
      <w:r>
        <w:rPr>
          <w:rStyle w:val="FootnoteReference"/>
        </w:rPr>
        <w:footnoteReference w:id="8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araştırmada ise verinin taşıyıcısı yalnızca katılımcı değil, aynı zamanda onu dinleyen, gözleyen ve kaydeden araştırmacıdır. Kanaatimizce klasik usulün râvi hakkında sorduğu soruların modern araştırmaya taşınabilecek en sağlam biçimi, bu soruları katılımcıya değil araştırmacıya yöneltmektir. Araştırmacı ne kadar dürüsttür, kaydı ne kadar sağlamdır, gördüğünü ve duyduğunu ne kadar özenle aktarmaktadır? Bu sorular on ikinci ve on üçüncü bölümlerde ayrıntılı biçimde ele alınacaktır.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66.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2.4. Tümevarım ve Zan: Tam Olmayan İstikrânın Sınırı</w:t>
      </w:r>
    </w:p>
    <w:p>
      <w:pPr>
        <w:spacing w:after="120" w:line="360"/>
        <w:ind w:firstLine="567"/>
        <w:jc w:val="both"/>
      </w:pPr>
      <w:r>
        <w:rPr>
          <w:rFonts w:ascii="Times New Roman" w:cs="Traditional Arabic" w:eastAsia="Times New Roman" w:hAnsi="Times New Roman"/>
          <w:i w:val="false"/>
          <w:sz w:val="24"/>
          <w:szCs w:val="24"/>
        </w:rPr>
        <w:t xml:space="preserve">Nitel araştırmanın bilgi anlayışını klasik düşünceyle karşılaştırırken tümevarım meselesi ayrı bir önem taşımaktadır. Gazzâlî </w:t>
      </w:r>
      <w:r>
        <w:rPr>
          <w:rFonts w:ascii="Times New Roman" w:cs="Traditional Arabic" w:eastAsia="Times New Roman" w:hAnsi="Times New Roman"/>
          <w:i/>
          <w:iCs/>
          <w:sz w:val="24"/>
          <w:szCs w:val="24"/>
        </w:rPr>
        <w:t xml:space="preserve">el-Mustasfâ</w:t>
      </w:r>
      <w:r>
        <w:rPr>
          <w:rFonts w:ascii="Times New Roman" w:cs="Traditional Arabic" w:eastAsia="Times New Roman" w:hAnsi="Times New Roman"/>
          <w:i w:val="false"/>
          <w:sz w:val="24"/>
          <w:szCs w:val="24"/>
        </w:rPr>
        <w:t xml:space="preserve">'da istikrâyı, cüzî birtakım şeyleri, onların hükmünü bu cüzleri kapsayan bir şeye vermek üzere gözden geçirmek olarak tanımlamaktadır.</w:t>
      </w:r>
      <w:r>
        <w:rPr>
          <w:rStyle w:val="FootnoteReference"/>
        </w:rPr>
        <w:footnoteReference w:id="8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Gazzâlî'ye göre istikrâ tam ise birinci şekle döner ve kat'î meselelere elverişli olur. Tam değilse ancak fıkhî meselelere elverişlidir, çünkü çoğunluk belli bir tarz üzere bulunduğunda diğerinin de öyle olduğu zann-ı galip olur.</w:t>
      </w:r>
      <w:r>
        <w:rPr>
          <w:rStyle w:val="FootnoteReference"/>
        </w:rPr>
        <w:footnoteReference w:id="8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“أَمَّا الِاسْتِقْرَاءُ فَهُوَ عِبَارَةٌ عَنْ تَصَفُّحِ أُمُورٍ جُزْئِيَّةٍ لِنَحْكُمَ بِحُكْمِهَا عَلَى أَمْرٍ يَشْمَلُ تِلْكَ الْجُزْئِيَّاتِ”</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5459, page_id 39, basılı s. 41]</w:t>
      </w:r>
    </w:p>
    <w:p>
      <w:pPr>
        <w:pStyle w:val="DogrulamaAR"/>
        <w:bidi/>
        <w:spacing w:after="20" w:line="300"/>
        <w:ind w:end="567"/>
        <w:jc w:val="both"/>
      </w:pPr>
      <w:r>
        <w:rPr>
          <w:rFonts w:ascii="Times New Roman" w:cs="Traditional Arabic" w:eastAsia="Times New Roman" w:hAnsi="Times New Roman"/>
          <w:i/>
          <w:iCs/>
          <w:sz w:val="24"/>
          <w:szCs w:val="30"/>
          <w:rtl/>
        </w:rPr>
        <w:t xml:space="preserve">“فَثَبَتَ بِهَذَا أَنَّ الِاسْتِقْرَاءَ إنْ كَانَ تَامًّا رَجَعَ إلَى النَّظْمِ الْأَوَّلِ وَصَلُحَ لِلْقَطْعِيَّاتِ، وَإِنْ لَمْ يَكُنْ تَامًّا لَمْ يَصْلُحْ إلَّا لِلْفِقْهِيَّاتِ لِأَنَّهُ مَهْمَا وُجِدَ الْأَكْثَرُ عَلَى نَمَطٍ، غَلَبَ عَلَى الظَّنِّ أَنَّ الْآخَرَ كَذَلِكَ.”</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5459, page_id 39, basılı s. 41]</w:t>
      </w:r>
    </w:p>
    <w:p>
      <w:pPr>
        <w:spacing w:after="120" w:line="360"/>
        <w:ind w:firstLine="567"/>
        <w:jc w:val="both"/>
      </w:pPr>
      <w:r>
        <w:rPr>
          <w:rFonts w:ascii="Times New Roman" w:cs="Traditional Arabic" w:eastAsia="Times New Roman" w:hAnsi="Times New Roman"/>
          <w:i w:val="false"/>
          <w:sz w:val="24"/>
          <w:szCs w:val="24"/>
        </w:rPr>
        <w:t xml:space="preserve">Bu ayrım nitel araştırma için öğreticidir. Nitel araştırmacı sınırlı sayıda katılımcıdan, sınırlı sayıda gözlemden ve dokümandan hareketle temalara ve açıklamalara ulaşmaktadır. Bu çıkarım, Gazzâlî'nin ifadesiyle söylenirse, tam olmayan bir istikrâdır.</w:t>
      </w:r>
      <w:r>
        <w:rPr>
          <w:rStyle w:val="FootnoteReference"/>
        </w:rPr>
        <w:footnoteReference w:id="8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Dolayısıyla nitel araştırmanın ulaştığı sonuçlar kesinlik değil, belli bir bağlamda iyi temellendirilmiş bir kanaat ifade etmektedir. Gazzâlî'nin tam olmayan istikrâyı fıkhî meselelere ayırması ve bunu zann-ı galip ile gerekçelendirmesi de kanaatimizce dikkate değerdir. Nitel araştırmanın sonuçları da uygulamaya yön verecek bir anlayış sunmakta, mutlak bir kural koymamaktadır.</w:t>
      </w:r>
      <w:r>
        <w:rPr>
          <w:rStyle w:val="FootnoteReference"/>
        </w:rPr>
        <w:footnoteReference w:id="8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82. dipnottaki doğrulama bloğunda verilmiştir.]</w:t>
      </w:r>
    </w:p>
    <w:p>
      <w:pPr>
        <w:pStyle w:val="Dogrulama"/>
        <w:spacing w:after="20" w:line="276"/>
        <w:ind w:left="567"/>
        <w:jc w:val="both"/>
      </w:pPr>
      <w:r>
        <w:rPr>
          <w:rFonts w:ascii="Times New Roman" w:cs="Traditional Arabic" w:eastAsia="Times New Roman" w:hAnsi="Times New Roman"/>
          <w:i/>
          <w:iCs/>
          <w:sz w:val="22"/>
          <w:szCs w:val="22"/>
        </w:rPr>
        <w:t xml:space="preserve">“Nitel araştırmada, uygulamaya yönelik sonuçlar nicel araştırmalarda olduğu gibi kurallar ya da ilkeler biçiminde değildir. Sonuçlar uygulayıcılar için daha çok deneyim ve bakış açısı niteliği taşır. Yani nitel araştırma sonuçları uygulayıcılara doğrudan neler yapmaları gerektiğine ilişkin genellenebilir kurallar sunma amacını taşımaz.”</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90, PDF s. 88]</w:t>
      </w:r>
    </w:p>
    <w:p>
      <w:pPr>
        <w:spacing w:after="120" w:line="360"/>
        <w:ind w:firstLine="567"/>
        <w:jc w:val="both"/>
      </w:pPr>
      <w:r>
        <w:rPr>
          <w:rFonts w:ascii="Times New Roman" w:cs="Traditional Arabic" w:eastAsia="Times New Roman" w:hAnsi="Times New Roman"/>
          <w:i w:val="false"/>
          <w:sz w:val="24"/>
          <w:szCs w:val="24"/>
        </w:rPr>
        <w:t xml:space="preserve">Bununla birlikte iki işlem arasındaki fark da göz ardı edilmemelidir. Gazzâlî'nin istikrâsı, incelenen cüzlerden bütün cüzleri kapsayan genel bir hükme ulaşmayı amaçlamaktadır. Yıldırım ve Şimşek ise nitel araştırmanın genellenebilir sonuçlar üretme çabası içinde olmadığını, özellikle sayısal genellemenin nitel araştırmanın önemini ve geçerliğini saptamada önemli bir ölçüt olmadığını belirtmektedir.</w:t>
      </w:r>
      <w:r>
        <w:rPr>
          <w:rStyle w:val="FootnoteReference"/>
        </w:rPr>
        <w:footnoteReference w:id="8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araştırmacı “bütün öğrenciler böyledir” demek için değil, “bu öğrenciler bu bağlamda bunu böyle yaşamaktadır” demek için çalışmaktadır. Bu sebeple istikrâ ile nitel analiz arasındaki benzerlik, çıkarımın yönünde ve ulaştığı bilginin zannî niteliğinde aranmalıdır. Ulaşılan hükmün kapsamında ise iki işlem birbirinden ayrılmaktadır. İstikrâ ile tematik analiz arasındaki ilişki on birinci bölümde Şâtıbî'nin istikrâ anlayışı üzerinden yeniden ele alınacaktır.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7.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2.5. Kulak, Göz ve Kalp: Araştırmacının Sorumluluğu</w:t>
      </w:r>
    </w:p>
    <w:p>
      <w:pPr>
        <w:spacing w:after="120" w:line="360"/>
        <w:ind w:firstLine="567"/>
        <w:jc w:val="both"/>
      </w:pPr>
      <w:r>
        <w:rPr>
          <w:rFonts w:ascii="Times New Roman" w:cs="Traditional Arabic" w:eastAsia="Times New Roman" w:hAnsi="Times New Roman"/>
          <w:i w:val="false"/>
          <w:sz w:val="24"/>
          <w:szCs w:val="24"/>
        </w:rPr>
        <w:t xml:space="preserve">Kur'an-ı Kerîm'de insanın bilgisi olmayan bir şeyin peşine düşmesini yasaklayan bir âyet, bu bölümde ele alınan bilgi yollarını hatırlatan bir sıralama içermektedir: “Hakkında bilgin olmayan şeyin peşine düşme. Çünkü kulak, göz ve kalp, bunların her biri ondan sorumludur” (el-İsrâ 17/36). Âyette kulak, göz ve kalp birlikte zikredilmekte ve her biri sorumluluğun konusu yapılmaktadır.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“وَلَا تَقْفُ مَا لَيْسَ لَكَ بِهِ عِلْمٌ إِنَّ السَّمْعَ وَالْبَصَرَ وَالْفُؤَادَ كُلُّ أُولَئِكَ كَانَ عَنْهُ مَسْئُولًا”</w:t>
      </w:r>
    </w:p>
    <w:p>
      <w:pPr>
        <w:pStyle w:val="Dogrulama"/>
        <w:spacing w:after="80" w:line="240"/>
        <w:ind w:left="567"/>
      </w:pPr>
      <w:r>
        <w:rPr>
          <w:rFonts w:ascii="Times New Roman" w:cs="Traditional Arabic" w:eastAsia="Times New Roman" w:hAnsi="Times New Roman"/>
          <w:i w:val="false"/>
          <w:color w:val="7F7F7F"/>
          <w:sz w:val="18"/>
          <w:szCs w:val="18"/>
        </w:rPr>
        <w:t xml:space="preserve">[Âyet metni Şamile Kur'an metninden (shamela_get_aya) alınmıştır: el-İsrâ 17/36. Meal yazara aittir.]</w:t>
      </w:r>
    </w:p>
    <w:p>
      <w:pPr>
        <w:spacing w:after="120" w:line="360"/>
        <w:ind w:firstLine="567"/>
        <w:jc w:val="both"/>
      </w:pPr>
      <w:r>
        <w:rPr>
          <w:rFonts w:ascii="Times New Roman" w:cs="Traditional Arabic" w:eastAsia="Times New Roman" w:hAnsi="Times New Roman"/>
          <w:i w:val="false"/>
          <w:sz w:val="24"/>
          <w:szCs w:val="24"/>
        </w:rPr>
        <w:t xml:space="preserve">Kanaatimizce bu üçlü, Mâtürîdî'nin saydığı bilgi yollarıyla birlikte düşünüldüğünde araştırmacı için bir ahlak ilkesi ortaya koymaktadır. Kulak işitilenden, göz görülenden, kalp ise bunlar üzerinde varılan yargıdan sorumludur. Bu yorum âyetin tefsir eserlerindeki açıklamalarına başvurularak sınanmamıştır ve yazara ait bir okuma olarak sunulmaktadır. Yine de nitel araştırmacı için açık bir hatırlatma içerdiği söylenebilir. Araştırmacı duymadığını duymuş, görmediğini görmüş gibi yazmamalı, verinin taşıyamayacağı bir hükmü de verinin üzerine yüklememelidir. Bu ilke, kitabın geçerlik, etik ve raporlaştırma bölümlerinde farklı biçimlerde yeniden karşımıza çıkacaktır.</w:t>
      </w:r>
    </w:p>
    <w:p>
      <w:pPr>
        <w:pStyle w:val="Heading2"/>
        <w:keepNext/>
        <w:spacing w:after="120" w:before="240"/>
      </w:pPr>
      <w:r>
        <w:rPr>
          <w:rFonts w:ascii="Times New Roman" w:cs="Traditional Arabic" w:eastAsia="Times New Roman" w:hAnsi="Times New Roman"/>
          <w:b/>
          <w:bCs/>
          <w:i w:val="false"/>
          <w:sz w:val="24"/>
          <w:szCs w:val="24"/>
        </w:rPr>
        <w:t xml:space="preserve">2.6. Din Eğitimi Uygulaması: Tecrübenin Ölçülebilir Değişkenlere İndirgenmesinin Sınırları</w:t>
      </w:r>
    </w:p>
    <w:p>
      <w:pPr>
        <w:spacing w:after="120" w:line="360"/>
        <w:ind w:firstLine="567"/>
        <w:jc w:val="both"/>
      </w:pPr>
      <w:r>
        <w:rPr>
          <w:rFonts w:ascii="Times New Roman" w:cs="Traditional Arabic" w:eastAsia="Times New Roman" w:hAnsi="Times New Roman"/>
          <w:i w:val="false"/>
          <w:sz w:val="24"/>
          <w:szCs w:val="24"/>
        </w:rPr>
        <w:t xml:space="preserve">Din eğitimi araştırmalarında inanç, ibadet ve ahlak ölçülebilir değişkenlere dönüştürülerek de incelenebilmektedir. Namaz kılma sıklığı, dinî bilgi testinden alınan puan ya da bir tutum ölçeğindeki toplam puan, bu dönüşümün tanıdık örnekleridir. Bu ölçümler belli sorulara değerli cevaplar verebilmektedir. Ancak aynı sayının arkasında birbirinden çok farklı tecrübeler bulunabilmektedir. Aşağıdaki kurgusal örnek bu durumu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Aynı sayının arkasındaki farklı anlamlar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Bir lisede yapılan anket çalışmasında iki öğrencinin “Son bir ayda kaç vakit namaz kıldınız?” sorusuna aynı cevabı verdiği düşünülsün. Nitel bir görüşmede birinci öğrenci namaza vefat eden dedesinin hatırasıyla başladığını ve kıldığı her namazda onu andığını anlatmaktadır. İkinci öğrenci ise okulun mescidinde arkadaşlarıyla buluştuğu öğle namazını, okulun en huzurlu anı olarak tarif etmektedir.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Anket iki öğrenciyi aynı gruba yerleştirmektedir. Görüşme ise birinin namazı bir aile bağı ve vefa tecrübesi olarak, diğerinin bir aidiyet ve dinginlik tecrübesi olarak yaşadığını göstermektedir. Din eğitimcisi açısından bu iki tecrübe, öğretimde farklı yollarla desteklenmesi gereken iki ayrı süreçtir.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 nicel araştırmanın değersiz olduğunu göstermemektedir. Gösterdiği şey, iki yaklaşımın farklı sorulara cevap verdiğidir. Sıklık sorusu sayıyla, anlam sorusu ise anlatımla cevaplanmaktadır. Gazzâlî'nin çocukların inançlarını ana-babalarından ve hocalarından devraldığına dair gözlemi de benzer bir araştırma sorusuna kapı aralamaktadır.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Gazzâlî'nin gözleminden bir araştırma sorusuna</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Araştırma sorusu: Ortaokul öğrencileri dinî inançlarını edinme süreçlerinde ailelerinin ve öğretmenlerinin rolünü nasıl anlatmaktadır?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Alt sorular: Öğrenciler, dinle ilgili ilk hatıralarını kimlerle ve hangi ortamlarla ilişkilendirmektedir? Aileden öğrenilen ile din kültürü dersinde öğrenilen arasında bir fark gördüklerinde bunu nasıl yorumlamaktadırlar? Kendi kanaatlerini “ailemden aldığım” ve “kendim düşünüp benimsediğim” biçiminde ayırdıkları durumlar var mıdır?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Bu sorular bir hipotezi sınamak için değil, öğrencilerin kendi tecrübelerini hangi kavramlarla anlattığını ortaya çıkarmak için sorulmaktadır. Gazzâlî'nin taklit ile fıtrat arasında yaptığı ayrım, analiz aşamasında araştırmacıya duyarlılık kazandıran bir kavram çifti olarak kullanılabilir, fakat öğrencilerin anlatımlarını bu ayrıma zorla yerleştirmek için kullanılmamalıdır.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iki örnek, bölümün ana fikrini din eğitimi ortamına taşımaktadır. Nitel araştırma, inanç ve ibadetin ölçülebilir yönlerini inkâr etmemekte, fakat bu yönlerin ardındaki anlamı görünür kılmaya çalışmaktadır. Klasik bilgi yolları ise bu çabaya hem bir dil hem de bir uyarı sunmaktadır. Dil, ʿiyân, haber ve nazar ayrımıdır. Uyarı ise bilgisi olmayan şeyin peşine düşmeme sorumluluğudur.</w:t>
      </w:r>
    </w:p>
    <w:p>
      <w:pPr>
        <w:keepNext/>
        <w:spacing w:after="80" w:before="200"/>
      </w:pPr>
      <w:r>
        <w:rPr>
          <w:rFonts w:ascii="Times New Roman" w:cs="Traditional Arabic" w:eastAsia="Times New Roman" w:hAnsi="Times New Roman"/>
          <w:b/>
          <w:bCs/>
          <w:i w:val="false"/>
          <w:sz w:val="22"/>
          <w:szCs w:val="22"/>
        </w:rPr>
        <w:t xml:space="preserve">Tablo 2.1. İkinci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745"/>
        <w:gridCol w:w="1118"/>
        <w:gridCol w:w="1242"/>
        <w:gridCol w:w="1863"/>
        <w:gridCol w:w="2360"/>
        <w:gridCol w:w="1739"/>
      </w:tblGrid>
      <w:tr>
        <w:trPr>
          <w:cantSplit/>
          <w:tblHeader/>
        </w:trPr>
        <w:tc>
          <w:tcPr>
            <w:tcW w:type="dxa" w:w="74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111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242"/>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86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236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739"/>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Gözlem</w:t>
            </w:r>
          </w:p>
        </w:tc>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ʿİyân</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Mâtürîdî, Kitâbü't-Tevhîd, 7 (Şamile 6365)</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Duyularla doğrudan idrak edilen bilgiye dayanma</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ʿİyân hakikat bilgisinin aslıdır, gözlem ise davranışın bağlam içindeki anlamını arar</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Sınıf, cami ve Kur'an kursu gözlemlerinin bilgi değerini temellendirme</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ve doküman verisi</w:t>
            </w:r>
          </w:p>
        </w:tc>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Haberler (ahbâr)</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Mâtürîdî, Kitâbü't-Tevhîd, 8 (Şamile 6365)</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Başkasının aktardığı bilgiye dayanma ve onun üzerinde düşünmeyi gerektirme</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Haber doğru ya da yanlış diye değerlendirilir, nitel veri katılımcının anlam dünyasının ifadesidir</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Öğrenci, öğretmen ve veli anlatımlarının yorumlanması</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Analiz ve yorum</w:t>
            </w:r>
          </w:p>
        </w:tc>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Nazar</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Mâtürîdî, Kitâbü't-Tevhîd, 8 (Şamile 6365)</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Veri üzerinde düşünerek bilgiye ulaşma</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Nazar hükme ulaşmayı, nitel yorum anlamaya ulaşmayı hedefler</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dökümlerinin ve gözlem notlarının analizi</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Tümevarımcı çıkarım</w:t>
            </w:r>
          </w:p>
        </w:tc>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Tam olmayan istikrâ</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el-Mustasfâ, 41 (Şamile 5459)</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Tikellerden hareket etme ve zannî bilgi verme</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İstikrâ genel bir hükme ulaşır, nitel araştırma genelleme iddiasında bulunmaz</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Bulguların sınırlarının dürüstçe ifade edilmesi</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İçeriden anlama</w:t>
            </w:r>
          </w:p>
        </w:tc>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Fırkaların akidesini araştırma (tefahhus)</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el-Munkız, 109-110 (Şamile 9246)</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Grupları kendi iç mantığıyla tanıma isteği</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hak ile batılı ayırmak ister, nitel araştırmacı hükmü askıya alır</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Farklı dindarlık biçimlerinin incelenmesi</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Dinî sosyalleşme</w:t>
            </w:r>
          </w:p>
        </w:tc>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Fıtrat ve taklit</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el-Munkız, 110 (Şamile 9246)</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Ana-baba ve hocaların inanç oluşumundaki rolüne dikkat</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kendi arayışını anlatır, düzenli veri toplamaz</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Aile içi din eğitimi araştırma soruları</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ÜÇÜNCÜ BÖLÜM</w:t>
      </w:r>
    </w:p>
    <w:p>
      <w:pPr>
        <w:pStyle w:val="Heading1"/>
        <w:spacing w:after="360"/>
        <w:jc w:val="center"/>
      </w:pPr>
      <w:r>
        <w:rPr>
          <w:rFonts w:ascii="Times New Roman" w:cs="Traditional Arabic" w:eastAsia="Times New Roman" w:hAnsi="Times New Roman"/>
          <w:b/>
          <w:bCs/>
          <w:i w:val="false"/>
          <w:color w:val="1F3864"/>
          <w:sz w:val="28"/>
          <w:szCs w:val="28"/>
        </w:rPr>
        <w:t xml:space="preserve">3. Tahkîk Paradigması: Din Eğitimi Araştırmaları İçin Usûl Temelli Bir Nitel Araştırma Anlayışı</w:t>
      </w:r>
    </w:p>
    <w:p>
      <w:pPr>
        <w:spacing w:after="120" w:line="360"/>
        <w:ind w:firstLine="567"/>
        <w:jc w:val="both"/>
      </w:pPr>
      <w:r>
        <w:rPr>
          <w:rFonts w:ascii="Times New Roman" w:cs="Traditional Arabic" w:eastAsia="Times New Roman" w:hAnsi="Times New Roman"/>
          <w:i w:val="false"/>
          <w:sz w:val="24"/>
          <w:szCs w:val="24"/>
        </w:rPr>
        <w:t xml:space="preserve">Birinci bölümde modern sosyal bilimlerin paradigma tartışmasının geldiği yer, ikinci bölümde ise klasik bilgi yolları ile nitel araştırmanın bilgi anlayışı arasındaki münasebet ele alındı. Bu bölüm, iki bölümün hazırladığı zemin üzerinde kitabın asıl iddiasını ortaya koymaktadır. İddia şudur: Din eğitimi araştırmacısı, Batı sosyal bilimlerinin bugün ulaştığı birikimden azami ölçüde istifade etmekle birlikte, araştırmasının bilgi tasavvurunu bu birikimden hazır almak zorunda değildir. İslam ilim geleneğinin usûl ilimlerinde işlenmiş kavramlar, nitel araştırmanın varlık, bilgi, yöntem ve değer sorularına kendi içinde tutarlı bir cevap vermeye elverişlidir. Bu cevabı bu kitapta </w:t>
      </w:r>
      <w:r>
        <w:rPr>
          <w:rFonts w:ascii="Times New Roman" w:cs="Traditional Arabic" w:eastAsia="Times New Roman" w:hAnsi="Times New Roman"/>
          <w:b/>
          <w:bCs/>
          <w:i w:val="false"/>
          <w:sz w:val="24"/>
          <w:szCs w:val="24"/>
        </w:rPr>
        <w:t xml:space="preserve">tahkîk paradigması</w:t>
      </w:r>
      <w:r>
        <w:rPr>
          <w:rFonts w:ascii="Times New Roman" w:cs="Traditional Arabic" w:eastAsia="Times New Roman" w:hAnsi="Times New Roman"/>
          <w:i w:val="false"/>
          <w:sz w:val="24"/>
          <w:szCs w:val="24"/>
        </w:rPr>
        <w:t xml:space="preserve"> adıyla anıyoruz.</w:t>
      </w:r>
    </w:p>
    <w:p>
      <w:pPr>
        <w:spacing w:after="120" w:line="360"/>
        <w:ind w:firstLine="567"/>
        <w:jc w:val="both"/>
      </w:pPr>
      <w:r>
        <w:rPr>
          <w:rFonts w:ascii="Times New Roman" w:cs="Traditional Arabic" w:eastAsia="Times New Roman" w:hAnsi="Times New Roman"/>
          <w:i w:val="false"/>
          <w:sz w:val="24"/>
          <w:szCs w:val="24"/>
        </w:rPr>
        <w:t xml:space="preserve">Ad bilerek seçilmiştir. Tahkîk, klasik dilde bir bilginin hakikatini araştırıp sabit kılmak, taklidin karşıtı olarak kanaati delile bağlamak anlamında kullanılagelmiştir. Paradigmanın adında bu kelimenin bulunması iki şeyi birden hatırlatmaktadır. Birincisi, araştırmacının hem Batı’dan gelen yönteme hem de kendi geleneğinden gelen kavrama karşı mukallit değil muhakkik olması gerektiğidir. İkincisi, nitel araştırmanın amacının anlamı yalnızca kaydetmek değil, kaydedilen anlamı usûlüne uygun bir hükme bağlamak olduğudur. Bu bölümde paradigmanın dört rüknü sırasıyla ele alınmakta, ardından araştırmacının konumu, bilgi topluluğunun işleyişi ve Batı paradigmalarıyla mukayesesi tartışılmaktadır.</w:t>
      </w:r>
    </w:p>
    <w:p>
      <w:pPr>
        <w:pStyle w:val="Heading2"/>
        <w:keepNext/>
        <w:spacing w:after="120" w:before="240"/>
      </w:pPr>
      <w:r>
        <w:rPr>
          <w:rFonts w:ascii="Times New Roman" w:cs="Traditional Arabic" w:eastAsia="Times New Roman" w:hAnsi="Times New Roman"/>
          <w:b/>
          <w:bCs/>
          <w:i w:val="false"/>
          <w:sz w:val="24"/>
          <w:szCs w:val="24"/>
        </w:rPr>
        <w:t xml:space="preserve">3.1. Neden Kendi Paradigmamız? Mebâdîde Taklit Meselesi</w:t>
      </w:r>
    </w:p>
    <w:p>
      <w:pPr>
        <w:spacing w:after="120" w:line="360"/>
        <w:ind w:firstLine="567"/>
        <w:jc w:val="both"/>
      </w:pPr>
      <w:r>
        <w:rPr>
          <w:rFonts w:ascii="Times New Roman" w:cs="Traditional Arabic" w:eastAsia="Times New Roman" w:hAnsi="Times New Roman"/>
          <w:i w:val="false"/>
          <w:sz w:val="24"/>
          <w:szCs w:val="24"/>
        </w:rPr>
        <w:t xml:space="preserve">Gazzâlî </w:t>
      </w:r>
      <w:r>
        <w:rPr>
          <w:rFonts w:ascii="Times New Roman" w:cs="Traditional Arabic" w:eastAsia="Times New Roman" w:hAnsi="Times New Roman"/>
          <w:i/>
          <w:iCs/>
          <w:sz w:val="24"/>
          <w:szCs w:val="24"/>
        </w:rPr>
        <w:t xml:space="preserve">el-Mustasfâ</w:t>
      </w:r>
      <w:r>
        <w:rPr>
          <w:rFonts w:ascii="Times New Roman" w:cs="Traditional Arabic" w:eastAsia="Times New Roman" w:hAnsi="Times New Roman"/>
          <w:i w:val="false"/>
          <w:sz w:val="24"/>
          <w:szCs w:val="24"/>
        </w:rPr>
        <w:t xml:space="preserve">’nın mukaddimesinde ilimleri küllî ve cüzî olarak ayırırken dikkat çekici bir tespitte bulunmaktadır. Ona göre cüzî ilimlerden birini bilen her âlim, kendi ilminin mebâdîsinde, yani başlangıç ilkelerinde kaçınılmaz olarak mukallittir.</w:t>
      </w:r>
      <w:r>
        <w:rPr>
          <w:rStyle w:val="FootnoteReference"/>
        </w:rPr>
        <w:footnoteReference w:id="8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Fakih, fıkhın dayandığı ilkeleri fıkıh içinde ispat etmemekte, onları üst bir ilimden hazır almaktadır. Bu tespit bir kusur tespiti değildir. Her ilmin bir yerden başlaması gerekmektedir. Ne var ki tespitin araştırmacıya bakan yüzü açıktır. Hangi ilimden hangi mebâdîyi taklit ettiğini bilmeyen araştırmacı, kendi araştırmasının temelini de bilmemektedir.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«فَكُلُّ عَالِمٍ بِعِلْمٍ مِنْ الْعُلُومِ الْجُزْئِيَّةِ فَإِنَّهُ مُقَلِّدٌ لَا مَحَالَةَ فِي مَبَادِئِ عِلْمِهِ»</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5459, basılı s. 7. Kaynak dosya: Sosyal_Bilimler_ve_Din_Egitiminde_Usul_Meselesi.docx, 2.3. kısım (Şâmile’den teyit edilmiş alıntı). Bu çalışmada Şâmile’ye erişilemediği için metin yeniden karşılaştırılamamıştır.]</w:t>
      </w:r>
    </w:p>
    <w:p>
      <w:pPr>
        <w:spacing w:after="120" w:line="360"/>
        <w:ind w:firstLine="567"/>
        <w:jc w:val="both"/>
      </w:pPr>
      <w:r>
        <w:rPr>
          <w:rFonts w:ascii="Times New Roman" w:cs="Traditional Arabic" w:eastAsia="Times New Roman" w:hAnsi="Times New Roman"/>
          <w:i w:val="false"/>
          <w:sz w:val="24"/>
          <w:szCs w:val="24"/>
        </w:rPr>
        <w:t xml:space="preserve">Bugün din eğitimi alanında nitel araştırma yapan bir kimse, mebâdîsini büyük ölçüde Batı sosyal bilimlerinin paradigma tartışmasından almaktadır. Birinci bölümde görüldüğü üzere bu tartışmanın kendisi de pozitivist bilgi idealinin sarsılması, anlama sorununun hermenötik gelenekte yeniden düşünülmesi ve postmodern eleştirinin bilgi iddialarını göreceleştirmesi gibi kendine has bir tarihin mahsulüdür. Din eğitimi araştırmacısı bu tarihi bilmeli ve ondan istifade etmelidir. Fakat onun cevaplarını kendi sorusunun cevabı saymak zorunda değildir. Mâtürîdî’nin taklit hakkındaki hükmü burada da geçerlidir. Taklit sahibini mazur kılmamaktadır, çünkü onun bir benzeri karşıt görüşü tutanda da bulunmaktadır ve taklitte sayı çokluğundan başka bir şey yoktur.</w:t>
      </w:r>
      <w:r>
        <w:rPr>
          <w:rStyle w:val="FootnoteReference"/>
        </w:rPr>
        <w:footnoteReference w:id="8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yöntem anlayışını yalnızca yaygın olduğu için benimsemek, ilmî bir tercih değil bir taklit tercihidir.</w:t>
      </w:r>
    </w:p>
    <w:p>
      <w:pPr>
        <w:spacing w:after="120" w:line="360"/>
        <w:ind w:firstLine="567"/>
        <w:jc w:val="both"/>
      </w:pPr>
      <w:r>
        <w:rPr>
          <w:rFonts w:ascii="Times New Roman" w:cs="Traditional Arabic" w:eastAsia="Times New Roman" w:hAnsi="Times New Roman"/>
          <w:i w:val="false"/>
          <w:sz w:val="24"/>
          <w:szCs w:val="24"/>
        </w:rPr>
        <w:t xml:space="preserve">Kendi paradigmamızı kurma iddiası iki yanlış anlamaya açıktır ve bunlar baştan bertaraf edilmelidir. Birinci yanlış anlama, bu iddianın modern sosyal bilimlerin reddi olduğu zannıdır. Hâlbuki tahkîk paradigması, nitel araştırmanın veri toplama ve çözümleme tekniklerini, desenlerini ve inandırıcılık önlemlerini bütünüyle kullanmaktadır. Değişen şey tekniklerin kendisi değil, onlara meşruiyet kazandıran bilgi tasavvurudur. İkinci yanlış anlama, bu iddianın bir “biz zaten biliyorduk” savunması olduğu zannıdır. Kitabın girişinde belirtildiği üzere klasik metinlere modern kavramlar yüklemek de, her modern kavrama mutlaka bir klasik karşılık aramak da tahkîkin değil taklidin bir başka sûretidir. Tahkîk paradigması klasik usûlden aldığını açıkça gösterir, almadığını ve alamadığını da aynı açıklıkla yazar.</w:t>
      </w:r>
    </w:p>
    <w:p>
      <w:pPr>
        <w:pStyle w:val="Heading2"/>
        <w:keepNext/>
        <w:spacing w:after="120" w:before="240"/>
      </w:pPr>
      <w:r>
        <w:rPr>
          <w:rFonts w:ascii="Times New Roman" w:cs="Traditional Arabic" w:eastAsia="Times New Roman" w:hAnsi="Times New Roman"/>
          <w:b/>
          <w:bCs/>
          <w:i w:val="false"/>
          <w:sz w:val="24"/>
          <w:szCs w:val="24"/>
        </w:rPr>
        <w:t xml:space="preserve">3.2. Paradigmanın Dört Sorusu</w:t>
      </w:r>
    </w:p>
    <w:p>
      <w:pPr>
        <w:spacing w:after="120" w:line="360"/>
        <w:ind w:firstLine="567"/>
        <w:jc w:val="both"/>
      </w:pPr>
      <w:r>
        <w:rPr>
          <w:rFonts w:ascii="Times New Roman" w:cs="Traditional Arabic" w:eastAsia="Times New Roman" w:hAnsi="Times New Roman"/>
          <w:i w:val="false"/>
          <w:sz w:val="24"/>
          <w:szCs w:val="24"/>
        </w:rPr>
        <w:t xml:space="preserve">Birinci bölümde ele alındığı üzere bir araştırma paradigması, gerçekliğin mahiyetine (varlık), bilginin imkânına ve kaynaklarına (bilgi), bilgiye ulaşmanın yollarına (yöntem) ve araştırmaya yön veren değerlere (değer) dair birbirine bağlı kabullerden oluşmaktadır. Tahkîk paradigması bu dört soruya klasik usûlün kavramlarıyla cevap vermektedir. Aşağıdaki kısımlarda her soru ayrı ayrı ele alınmaktadır. Ancak paradigmanın gücü, bu cevapların birbirinden ayrı dört tez olmasında değil, ayrılmaz bir bütün teşkil etmesindedir. Varlık hakkındaki kabul bilginin derecesini, bilginin derecesi yöntemin ihtiyatını, yöntemin ihtiyatı da araştırmacının ahlakını belirlemektedir.</w:t>
      </w:r>
    </w:p>
    <w:p>
      <w:pPr>
        <w:pStyle w:val="Heading2"/>
        <w:keepNext/>
        <w:spacing w:after="120" w:before="240"/>
      </w:pPr>
      <w:r>
        <w:rPr>
          <w:rFonts w:ascii="Times New Roman" w:cs="Traditional Arabic" w:eastAsia="Times New Roman" w:hAnsi="Times New Roman"/>
          <w:b/>
          <w:bCs/>
          <w:i w:val="false"/>
          <w:sz w:val="24"/>
          <w:szCs w:val="24"/>
        </w:rPr>
        <w:t xml:space="preserve">3.3. Varlık: Nefsü’l-Emr, Hâl ve Anlam</w:t>
      </w:r>
    </w:p>
    <w:p>
      <w:pPr>
        <w:spacing w:after="120" w:line="360"/>
        <w:ind w:firstLine="567"/>
        <w:jc w:val="both"/>
      </w:pPr>
      <w:r>
        <w:rPr>
          <w:rFonts w:ascii="Times New Roman" w:cs="Traditional Arabic" w:eastAsia="Times New Roman" w:hAnsi="Times New Roman"/>
          <w:i w:val="false"/>
          <w:sz w:val="24"/>
          <w:szCs w:val="24"/>
        </w:rPr>
        <w:t xml:space="preserve">Nitel araştırma literatüründe varlık sorusuna verilen cevaplar iki uç arasında salınmaktadır. Bir uçta yalnızca gözlenebilen ve ölçülebilen olanı gerçek sayan bir tutum, öbür uçta gerçekliği bütünüyle insanların zihninde ve dilinde kurulan bir inşa olarak gören bir tutum bulunmaktadır. Birinci tutum din eğitiminin konusu olan iç hâlleri, niyeti, huşûyu ve imanı kavrayamamakta, ikinci tutum ise araştırmanın ulaştığı her hükmü bir yorumdan ibaret saymakta ve hakikat sorusunu askıya almaktadır.</w:t>
      </w:r>
    </w:p>
    <w:p>
      <w:pPr>
        <w:spacing w:after="120" w:line="360"/>
        <w:ind w:firstLine="567"/>
        <w:jc w:val="both"/>
      </w:pPr>
      <w:r>
        <w:rPr>
          <w:rFonts w:ascii="Times New Roman" w:cs="Traditional Arabic" w:eastAsia="Times New Roman" w:hAnsi="Times New Roman"/>
          <w:i w:val="false"/>
          <w:sz w:val="24"/>
          <w:szCs w:val="24"/>
        </w:rPr>
        <w:t xml:space="preserve">Klasik usûl bu iki uçtan farklı bir yerde durmaktadır. Bu farkı en açık gösteren metinlerden biri İbnü’s-Salâh’ın sahih hadis hakkındaki hükmüdür. İbnü’s-Salâh önce sahih hadisi, âdil ve zâbıt olanın yine âdil ve zâbıt olandan nakliyle senedi sonuna kadar muttasıl olan, şâz ve muallel olmayan müsned hadis olarak tarif etmektedir.</w:t>
      </w:r>
      <w:r>
        <w:rPr>
          <w:rStyle w:val="FootnoteReference"/>
        </w:rPr>
        <w:footnoteReference w:id="8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Ardından hükmün sınırını çizmektedir. Muhaddisler bir hadis için sahihtir dediklerinde bunun manası, zikredilen vasıflarla birlikte senedinin muttasıl olduğudur. Nefsü’l-emirde kesin olması şart değildir.</w:t>
      </w:r>
      <w:r>
        <w:rPr>
          <w:rStyle w:val="FootnoteReference"/>
        </w:rPr>
        <w:footnoteReference w:id="8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Aynı şekilde bir hadis için sahih değildir dediklerinde de bu, onun nefsü’l-emirde yalan olduğuna dair kesin bir hüküm değildir. Zira nefsü’l-emirde doğru olabilir. Kastedilen yalnızca isnadının zikredilen şart üzere sahih olmadığıdır.</w:t>
      </w:r>
      <w:r>
        <w:rPr>
          <w:rStyle w:val="FootnoteReference"/>
        </w:rPr>
        <w:footnoteReference w:id="9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«أَمَّا الْحَدِيثُ الصَّحِيحُ: فَهُوَ الْحَدِيثُ الْمُسْنَدُ الَّذِي يَتَّصِلُ إِسْنَادُهُ بِنَقْلِ الْعَدْلِ الضَّابِطِ عَنِ الْعَدْلِ الضَّابِطِ إِلَى مُنْتَهَاهُ، وَلَا يَكُونُ شَاذًّا، وَلَا مُعَلَّلًا.»</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22870, basılı s. 11-12.]</w:t>
      </w:r>
    </w:p>
    <w:p>
      <w:pPr>
        <w:pStyle w:val="DogrulamaAR"/>
        <w:bidi/>
        <w:spacing w:after="20" w:line="300"/>
        <w:ind w:end="567"/>
        <w:jc w:val="both"/>
      </w:pPr>
      <w:r>
        <w:rPr>
          <w:rFonts w:ascii="Times New Roman" w:cs="Traditional Arabic" w:eastAsia="Times New Roman" w:hAnsi="Times New Roman"/>
          <w:i/>
          <w:iCs/>
          <w:sz w:val="24"/>
          <w:szCs w:val="30"/>
          <w:rtl/>
        </w:rPr>
        <w:t xml:space="preserve">«وَمَتَى قَالُوا: هَذَا حَدِيثٌ صَحِيحٌ فَمَعْنَاهُ: أَنَّهُ اتَّصَلَ سَنَدُهُ مَعَ سَائِرِ الْأَوْصَافِ الْمَذْكُورَةِ، وَلَيْسَ مِنْ شَرْطِهِ أَنْ يَكُونَ مَقْطُوعًا بِهِ فِي نَفْسِ الْأَمْرِ»</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22870, basılı s. 13-14.]</w:t>
      </w:r>
    </w:p>
    <w:p>
      <w:pPr>
        <w:pStyle w:val="DogrulamaAR"/>
        <w:bidi/>
        <w:spacing w:after="20" w:line="300"/>
        <w:ind w:end="567"/>
        <w:jc w:val="both"/>
      </w:pPr>
      <w:r>
        <w:rPr>
          <w:rFonts w:ascii="Times New Roman" w:cs="Traditional Arabic" w:eastAsia="Times New Roman" w:hAnsi="Times New Roman"/>
          <w:i/>
          <w:iCs/>
          <w:sz w:val="24"/>
          <w:szCs w:val="30"/>
          <w:rtl/>
        </w:rPr>
        <w:t xml:space="preserve">«وَكَذَلِكَ إِذَا قَالُوا فِي حَدِيثٍ: إِنَّهُ غَيْرُ صَحِيحٍ فَلَيْسَ ذَلِكَ قَطْعًا بِأَنَّهُ كَذِبٌ فِي نَفْسِ الْأَمْرِ، إِذْ قَدْ يَكُونُ صِدْقًا فِي نَفْسِ الْأَمْرِ، وَإِنَّمَا الْمُرَادُ بِهِ أَنَّهُ لَمْ يَصِحَّ إِسْنَادُهُ عَلَى الشَّرْطِ الْمَذْكُورِ»</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22870, basılı s. 14. Üç alıntının kaynak dosyası: Sosyal_Bilimlerde_Metodlar_Kitap_Tasarimi_2.docx, 16.7. kısım (Şâmile’den teyit edilmiş alıntılar). Bu çalışmada Şâmile’ye erişilemediği için metinler yeniden karşılaştırılamamıştır.]</w:t>
      </w:r>
    </w:p>
    <w:p>
      <w:pPr>
        <w:spacing w:after="120" w:line="360"/>
        <w:ind w:firstLine="567"/>
        <w:jc w:val="both"/>
      </w:pPr>
      <w:r>
        <w:rPr>
          <w:rFonts w:ascii="Times New Roman" w:cs="Traditional Arabic" w:eastAsia="Times New Roman" w:hAnsi="Times New Roman"/>
          <w:i w:val="false"/>
          <w:sz w:val="24"/>
          <w:szCs w:val="24"/>
        </w:rPr>
        <w:t xml:space="preserve">Bu iki cümle, tahkîk paradigmasının varlık anlayışının çekirdeğini vermektedir. Bir yanda </w:t>
      </w:r>
      <w:r>
        <w:rPr>
          <w:rFonts w:ascii="Times New Roman" w:cs="Traditional Arabic" w:eastAsia="Times New Roman" w:hAnsi="Times New Roman"/>
          <w:b/>
          <w:bCs/>
          <w:i w:val="false"/>
          <w:sz w:val="24"/>
          <w:szCs w:val="24"/>
        </w:rPr>
        <w:t xml:space="preserve">nefsü’l-emr</w:t>
      </w:r>
      <w:r>
        <w:rPr>
          <w:rFonts w:ascii="Times New Roman" w:cs="Traditional Arabic" w:eastAsia="Times New Roman" w:hAnsi="Times New Roman"/>
          <w:i w:val="false"/>
          <w:sz w:val="24"/>
          <w:szCs w:val="24"/>
        </w:rPr>
        <w:t xml:space="preserve">, yani bilinsin ya da bilinmesin, kendi başına olduğu gibi olan hakikat bulunmaktadır. Öbür yanda bu hakikate dair usûle bağlı olarak verilen hüküm bulunmaktadır. İkisi aynı şey değildir, fakat ikincisi birinciye yönelmekte ve ondan anlamını almaktadır. Sahih hükmü nefsü’l-emri garanti etmemekte, sahih değil hükmü de nefsü’l-emri inkâr etmemektedir. Bu yapıda hakikat inkâr edilmemekte, insanın hakikat hakkındaki hükmü ise usûlüne bağlanarak sınırlandırılmaktadır.</w:t>
      </w:r>
    </w:p>
    <w:p>
      <w:pPr>
        <w:spacing w:after="120" w:line="360"/>
        <w:ind w:firstLine="567"/>
        <w:jc w:val="both"/>
      </w:pPr>
      <w:r>
        <w:rPr>
          <w:rFonts w:ascii="Times New Roman" w:cs="Traditional Arabic" w:eastAsia="Times New Roman" w:hAnsi="Times New Roman"/>
          <w:i w:val="false"/>
          <w:sz w:val="24"/>
          <w:szCs w:val="24"/>
        </w:rPr>
        <w:t xml:space="preserve">Kanaatimizce nitel araştırma için bu yapının kazandırdığı şey, gerçekçilik ile tevazuun bir arada tutulabilmesidir. Bir öğrencinin namazı nasıl tecrübe ettiği, araştırmacı onu bilse de bilmese de öğrencinin hayatında bir hakikat olarak vardır. Araştırmacının bu tecrübe hakkında vardığı tema ise o hakikatin kendisi değil, usûlüne uygun yürütülmüş bir çalışmanın hükmüdür. Bu hüküm yanılabilir, eksik kalabilir, başka bir araştırmacının hükmüyle tamamlanabilir. Fakat yanılabilmesi, ortada hakkında yanılınacak bir şeyin bulunduğunu gösterir. Gerçekliği bütünüyle inşa sayan bir anlayış, yanılgıyı da anlamsız kılmaktadır. Tahkîk paradigmasında ise yanılgı, hakikate yönelen bir çabanın yanılgısıdır ve bu sebeple düzeltilmeye açıktır.</w:t>
      </w:r>
    </w:p>
    <w:p>
      <w:pPr>
        <w:spacing w:after="120" w:line="360"/>
        <w:ind w:firstLine="567"/>
        <w:jc w:val="both"/>
      </w:pPr>
      <w:r>
        <w:rPr>
          <w:rFonts w:ascii="Times New Roman" w:cs="Traditional Arabic" w:eastAsia="Times New Roman" w:hAnsi="Times New Roman"/>
          <w:i w:val="false"/>
          <w:sz w:val="24"/>
          <w:szCs w:val="24"/>
        </w:rPr>
        <w:t xml:space="preserve">Bu varlık anlayışının ikinci unsuru, insanın iç hâllerinin ve anlam dünyasının da nefsü’l-emrin bir parçası olmasıdır. Bir çocuğun ilk orucunda hissettiği sevinç, bir öğretmenin değer öğretimi karşısında yaşadığı çaresizlik ya da bir gencin dinî sorusunu kimseye açamamasının ağırlığı, ölçülebilir davranışlar kadar gerçektir. Ne var ki bu gerçeklik ancak onu yaşayanın beyanı ve davranışı aracılığıyla bilinebilmektedir. İç hâlin varlığı ile iç hâle dair bilgimiz arasındaki bu mesafe, bir sonraki kısımda ele alınan iki kayıt ilkesinin zeminidir.</w:t>
      </w:r>
    </w:p>
    <w:p>
      <w:pPr>
        <w:pStyle w:val="Heading2"/>
        <w:keepNext/>
        <w:spacing w:after="120" w:before="240"/>
      </w:pPr>
      <w:r>
        <w:rPr>
          <w:rFonts w:ascii="Times New Roman" w:cs="Traditional Arabic" w:eastAsia="Times New Roman" w:hAnsi="Times New Roman"/>
          <w:b/>
          <w:bCs/>
          <w:i w:val="false"/>
          <w:sz w:val="24"/>
          <w:szCs w:val="24"/>
        </w:rPr>
        <w:t xml:space="preserve">3.4. Bilgi: Üç Yol, İki Kayıt ve Dereceli Kesinlik</w:t>
      </w:r>
    </w:p>
    <w:p>
      <w:pPr>
        <w:spacing w:after="120" w:line="360"/>
        <w:ind w:firstLine="567"/>
        <w:jc w:val="both"/>
      </w:pPr>
      <w:r>
        <w:rPr>
          <w:rFonts w:ascii="Times New Roman" w:cs="Traditional Arabic" w:eastAsia="Times New Roman" w:hAnsi="Times New Roman"/>
          <w:i w:val="false"/>
          <w:sz w:val="24"/>
          <w:szCs w:val="24"/>
        </w:rPr>
        <w:t xml:space="preserve">Tahkîk paradigmasının bilgi anlayışı üç unsurdan oluşmaktadır. Birincisi bilginin yollarıdır. İkinci bölümde ayrıntılı olarak ele alındığı üzere Mâtürîdî eşyanın hakikatlerinin bilgisine ulaştıran yolları ʿiyân, haberler ve nazar olarak saymaktadır.</w:t>
      </w:r>
      <w:r>
        <w:rPr>
          <w:rStyle w:val="FootnoteReference"/>
        </w:rPr>
        <w:footnoteReference w:id="9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üçlü, kitabın ikinci ve üçüncü kısımlarının düzenini belirlemektedir. Gözlem ʿiyân alanında, görüşme ve doküman ahbâr alanında, analiz ve yorum ise nazar alanında yer almaktadır.</w:t>
      </w:r>
    </w:p>
    <w:p>
      <w:pPr>
        <w:spacing w:after="120" w:line="360"/>
        <w:ind w:firstLine="567"/>
        <w:jc w:val="both"/>
      </w:pPr>
      <w:r>
        <w:rPr>
          <w:rFonts w:ascii="Times New Roman" w:cs="Traditional Arabic" w:eastAsia="Times New Roman" w:hAnsi="Times New Roman"/>
          <w:i w:val="false"/>
          <w:sz w:val="24"/>
          <w:szCs w:val="24"/>
        </w:rPr>
        <w:t xml:space="preserve">İkinci unsur, ahbâr alanında elde edilen verinin hangi kayıtta okunacağına dair bir ayrımdır. İbn Haldûn, haber tenkidinde taʿdîl ve tecrîhin niçin bazı haberlerde yeterli, bazılarında yetersiz olduğunu açıklarken iki haber türünü birbirinden ayırmaktadır. Ona göre taʿdîl ve tecrîh şerʿî haberlerin sıhhatinde muteberdir, çünkü bunların çoğu inşâî tekliflerdir ve Şâri’, doğruluklarına dair zan hâsıl olduğunda onlarla amel etmeyi vacip kılmıştır. Vâkıalara dair haberlerde ise doğruluk ve sıhhat için mutabakatın gözetilmesi zorunludur. Bu sebeple vukuunun imkânına bakılması gerekmekte ve bu, taʿdîlden daha önemli ve ondan önce gelmektedir.</w:t>
      </w:r>
      <w:r>
        <w:rPr>
          <w:rStyle w:val="FootnoteReference"/>
        </w:rPr>
        <w:footnoteReference w:id="9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İbn Haldûn farkı bir cümlede daha da keskinleştirmektedir: İnşânın faydası yalnızca kendisinden alınmakta, haberin faydası ise hem kendisinden hem de mutabakat yoluyla dışarıdan alınmaktadır.</w:t>
      </w:r>
      <w:r>
        <w:rPr>
          <w:rStyle w:val="FootnoteReference"/>
        </w:rPr>
        <w:footnoteReference w:id="9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«وَإِنَّما كان التّعديل والتّجريح هو المعتبر في صحّة الأخبار الشّرعيّة لأنّ معظمها تكاليف إنشائيّة أوجب الشّارع العمل بها حتّى حصل الظّنّ بصدقها وسبيل صحّة الظّنّ الثّقة بالرّواة بالعدالة والضّبط. وأما الأخبار عن الواقعات فلا بدّ في صدقها وصحّتها من اعتبار المطابقة فلذلك وجب أن ينظر في إمكان وقوعه وصار فيها ذلك أهمّ من التّعديل ومقدّما عليه»</w:t>
      </w:r>
    </w:p>
    <w:p>
      <w:pPr>
        <w:pStyle w:val="DogrulamaAR"/>
        <w:bidi/>
        <w:spacing w:after="20" w:line="300"/>
        <w:ind w:end="567"/>
        <w:jc w:val="both"/>
      </w:pPr>
      <w:r>
        <w:rPr>
          <w:rFonts w:ascii="Times New Roman" w:cs="Traditional Arabic" w:eastAsia="Times New Roman" w:hAnsi="Times New Roman"/>
          <w:i/>
          <w:iCs/>
          <w:sz w:val="24"/>
          <w:szCs w:val="30"/>
          <w:rtl/>
        </w:rPr>
        <w:t xml:space="preserve">«إذ فائدة الإنشاء مقتبسة منه فقط وفائدة الخبر منه ومن الخارج بالمطابقة»</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12320, basılı 1/49. Kaynak dosya: Sosyal_Bilimler_ve_Din_Egitiminde_Usul_Meselesi.docx, 3.2. kısım (Şâmile’den teyit edilmiş alıntılar). Bu çalışmada Şâmile’ye erişilemediği için metinler yeniden karşılaştırılamamıştır.]</w:t>
      </w:r>
    </w:p>
    <w:p>
      <w:pPr>
        <w:spacing w:after="120" w:line="360"/>
        <w:ind w:firstLine="567"/>
        <w:jc w:val="both"/>
      </w:pPr>
      <w:r>
        <w:rPr>
          <w:rFonts w:ascii="Times New Roman" w:cs="Traditional Arabic" w:eastAsia="Times New Roman" w:hAnsi="Times New Roman"/>
          <w:i w:val="false"/>
          <w:sz w:val="24"/>
          <w:szCs w:val="24"/>
        </w:rPr>
        <w:t xml:space="preserve">Bu ayrım, nitel verinin tabiatına dair kitabın en önemli usûl ilkesine dayanak teşkil etmektedir. Bu ilkeyi </w:t>
      </w:r>
      <w:r>
        <w:rPr>
          <w:rFonts w:ascii="Times New Roman" w:cs="Traditional Arabic" w:eastAsia="Times New Roman" w:hAnsi="Times New Roman"/>
          <w:b/>
          <w:bCs/>
          <w:i w:val="false"/>
          <w:sz w:val="24"/>
          <w:szCs w:val="24"/>
        </w:rPr>
        <w:t xml:space="preserve">iki kayıt ilkesi</w:t>
      </w:r>
      <w:r>
        <w:rPr>
          <w:rFonts w:ascii="Times New Roman" w:cs="Traditional Arabic" w:eastAsia="Times New Roman" w:hAnsi="Times New Roman"/>
          <w:i w:val="false"/>
          <w:sz w:val="24"/>
          <w:szCs w:val="24"/>
        </w:rPr>
        <w:t xml:space="preserve"> olarak adlandırıyoruz. Bir katılımcının beyanı iki ayrı kayıtta okunabilmektedir. Birinci kayıtta beyanın kendisi veridir. Soru, bu kişinin ne söylediği ve söylediğiyle neyi kastettiğidir. Beyanın faydası, İbn Haldûn’un ifadesine benzer biçimde, yalnızca kendisinden alınmaktadır. Burada araştırmacı beyanı doğrulamaya değil anlamaya ve çözümlemeye girişmektedir. İkinci kayıtta ise aynı beyan, kişinin dışındaki bir vâkıaya dair bir iddia olarak okunmaktadır. Soru, söylenenin vâkıaya mutabık olup olmadığıdır. Burada mutabakat sorusu kaçınılmazdır ve haber tenkidinin ölçütleri devreye girmektedir.</w:t>
      </w:r>
    </w:p>
    <w:p>
      <w:pPr>
        <w:spacing w:after="120" w:line="360"/>
        <w:ind w:firstLine="567"/>
        <w:jc w:val="both"/>
      </w:pPr>
      <w:r>
        <w:rPr>
          <w:rFonts w:ascii="Times New Roman" w:cs="Traditional Arabic" w:eastAsia="Times New Roman" w:hAnsi="Times New Roman"/>
          <w:i w:val="false"/>
          <w:sz w:val="24"/>
          <w:szCs w:val="24"/>
        </w:rPr>
        <w:t xml:space="preserve">Bir öğrencinin görüşmede “namazlarımı düzenli kılıyorum” demesi birinci kayıtta, onun kendi ibadet hayatını nasıl sunduğuna dair tam bir veridir. Aynı cümle, raporda “bu okuldaki öğrenciler namazlarını düzenli kılmaktadır” hükmüne dönüştürüldüğünde ikinci kayda geçilmiştir ve artık gözlem, doküman ya da başka katılımcıların anlatımları gibi bağımsız yollardan bir teyit aranması gerekmektedir. Nitel araştırma büyük ölçüde birinci kayıtta yürümektedir. Kitabın girişinde belirtilen daraltmanın usûlî gerekçesi de budur. Katılımcının sözü bir rivayet gibi doğru ya da yanlış diye sınanmamaktadır, çünkü birinci kayıtta onun faydası kendisindendir. Ancak araştırmacı her ikinci kayda geçişte bunun farkında olmak ve geçişi gerekçelendirmek zorundadır. Kanaatimizce din eğitimi araştırmalarında rastlanan usûl hatalarının önemli bir kısmı, bu geçişin farkında olmadan yapılmasından doğmaktadır.</w:t>
      </w:r>
    </w:p>
    <w:p>
      <w:pPr>
        <w:spacing w:after="120" w:line="360"/>
        <w:ind w:firstLine="567"/>
        <w:jc w:val="both"/>
      </w:pPr>
      <w:r>
        <w:rPr>
          <w:rFonts w:ascii="Times New Roman" w:cs="Traditional Arabic" w:eastAsia="Times New Roman" w:hAnsi="Times New Roman"/>
          <w:i w:val="false"/>
          <w:sz w:val="24"/>
          <w:szCs w:val="24"/>
        </w:rPr>
        <w:t xml:space="preserve">İki kayıt ilkesi, haber tenkidi ile nitel araştırma arasındaki münasebeti de yeniden düzenlemektedir. Haber tenkidinin râviye yönelttiği adalet ve zabt soruları, birinci kayıtta katılımcıya değil, katılımcının sözünü kaydeden ve aktaran araştırmacıya yöneltilmektedir. Çünkü birinci kayıtta okurun güvenmesi gereken şey katılımcının doğru söylediği değil, araştırmacının katılımcının söylediğini doğru kaydettiği ve doğru anladığıdır. İkinci kayıtta ise İbn Haldûn’un mutabakat ve imkân ölçütü, araştırmacının vâkıaya dair her genellemesine uygulanmaktadır. Böylece klasik tenkit usûlü, nitel araştırmanın içine zorlama bir benzetmeyle değil, verinin hangi kayıtta okunduğuna göre işleyen bir ölçüt olarak girmektedir.</w:t>
      </w:r>
    </w:p>
    <w:p>
      <w:pPr>
        <w:spacing w:after="120" w:line="360"/>
        <w:ind w:firstLine="567"/>
        <w:jc w:val="both"/>
      </w:pPr>
      <w:r>
        <w:rPr>
          <w:rFonts w:ascii="Times New Roman" w:cs="Traditional Arabic" w:eastAsia="Times New Roman" w:hAnsi="Times New Roman"/>
          <w:i w:val="false"/>
          <w:sz w:val="24"/>
          <w:szCs w:val="24"/>
        </w:rPr>
        <w:t xml:space="preserve">Bilgi anlayışının üçüncü unsuru, kesinliğin dereceli olmasıdır. Gazzâlî </w:t>
      </w:r>
      <w:r>
        <w:rPr>
          <w:rFonts w:ascii="Times New Roman" w:cs="Traditional Arabic" w:eastAsia="Times New Roman" w:hAnsi="Times New Roman"/>
          <w:i/>
          <w:iCs/>
          <w:sz w:val="24"/>
          <w:szCs w:val="24"/>
        </w:rPr>
        <w:t xml:space="preserve">el-Mustasfâ</w:t>
      </w:r>
      <w:r>
        <w:rPr>
          <w:rFonts w:ascii="Times New Roman" w:cs="Traditional Arabic" w:eastAsia="Times New Roman" w:hAnsi="Times New Roman"/>
          <w:i w:val="false"/>
          <w:sz w:val="24"/>
          <w:szCs w:val="24"/>
        </w:rPr>
        <w:t xml:space="preserve">’da tam olmayan istikrânın ancak fıkhî meselelere elverişli olduğunu, çünkü çoğunluk belli bir tarz üzere bulunduğunda diğerinin de öyle olduğu zann-ı gâlibin hâsıl olduğunu belirtmektedir.</w:t>
      </w:r>
      <w:r>
        <w:rPr>
          <w:rStyle w:val="FootnoteReference"/>
        </w:rPr>
        <w:footnoteReference w:id="9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Klasik usûlde bilgi yakîn ile şüphe arasında ikiye bölünmemekte, zann-ı gâlib gibi amele esas olabilen ara dereceler de tanınmaktadır. Nitel araştırmanın ulaştığı hükümler de bu ara derecelerdedir. Sınırlı sayıda katılımcının anlatımından ve sınırlı süreli bir gözlemden çıkarılan bir tema yakîn ifade etmemekte, fakat usûlüne uygun yürütüldüğünde bir uygulamaya yön verecek kadar sağlam bir kanaat sunmaktadır. Bu derecelendirmenin dile yansıması, on ikinci bölümde ele alınan kesinlik diline ilişkin ilkenin temelidir.</w:t>
      </w:r>
    </w:p>
    <w:p>
      <w:pPr>
        <w:pStyle w:val="Heading2"/>
        <w:keepNext/>
        <w:spacing w:after="120" w:before="240"/>
      </w:pPr>
      <w:r>
        <w:rPr>
          <w:rFonts w:ascii="Times New Roman" w:cs="Traditional Arabic" w:eastAsia="Times New Roman" w:hAnsi="Times New Roman"/>
          <w:b/>
          <w:bCs/>
          <w:i w:val="false"/>
          <w:sz w:val="24"/>
          <w:szCs w:val="24"/>
        </w:rPr>
        <w:t xml:space="preserve">3.5. Yöntem: Dört Kutuplu Araştırma Mimarisi</w:t>
      </w:r>
    </w:p>
    <w:p>
      <w:pPr>
        <w:spacing w:after="120" w:line="360"/>
        <w:ind w:firstLine="567"/>
        <w:jc w:val="both"/>
      </w:pPr>
      <w:r>
        <w:rPr>
          <w:rFonts w:ascii="Times New Roman" w:cs="Traditional Arabic" w:eastAsia="Times New Roman" w:hAnsi="Times New Roman"/>
          <w:i w:val="false"/>
          <w:sz w:val="24"/>
          <w:szCs w:val="24"/>
        </w:rPr>
        <w:t xml:space="preserve">Tahkîk paradigmasının yöntem anlayışı, Gazzâlî’nin fıkıh usûlünü kurarken kullandığı dört kutuplu çerçeveden alınmaktadır. Gazzâlî </w:t>
      </w:r>
      <w:r>
        <w:rPr>
          <w:rFonts w:ascii="Times New Roman" w:cs="Traditional Arabic" w:eastAsia="Times New Roman" w:hAnsi="Times New Roman"/>
          <w:i/>
          <w:iCs/>
          <w:sz w:val="24"/>
          <w:szCs w:val="24"/>
        </w:rPr>
        <w:t xml:space="preserve">el-Mustasfâ</w:t>
      </w:r>
      <w:r>
        <w:rPr>
          <w:rFonts w:ascii="Times New Roman" w:cs="Traditional Arabic" w:eastAsia="Times New Roman" w:hAnsi="Times New Roman"/>
          <w:i w:val="false"/>
          <w:sz w:val="24"/>
          <w:szCs w:val="24"/>
        </w:rPr>
        <w:t xml:space="preserve">’nın girişinde hükümlerin birer meyve olduğunu, her meyvenin kendisinde bir vasfı ve hakikati bulunduğunu, ayrıca onun bir meyve vereni, bir meyve devşireni ve bir de devşirme yolu olduğunu söylemektedir.</w:t>
      </w:r>
      <w:r>
        <w:rPr>
          <w:rStyle w:val="FootnoteReference"/>
        </w:rPr>
        <w:footnoteReference w:id="9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Gazzâlî bu dört unsuru eserin dört kutbu yapmaktadır: Birinci kutup hükümlerin kendisi, ikinci kutup hükümlerin delilleri, üçüncü kutup delillerden hüküm çıkarmanın yolu, dördüncü kutup ise hükmü çıkaran müctehiddir.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«فَإِنَّ الْأَحْكَامَ ثَمَرَاتٌ وَكُلُّ ثَمَرَةٍ فَلَهَا صِفَةٌ وَحَقِيقَةٌ فِي نَفْسِهَا وَلَهَا مُثْمِرٌ وَمُسْتَثْمِرٌ وَطَرِيقٌ فِي الِاسْتِثْمَارِ.»</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5459, basılı s. 7. Kaynak dosyalar: Sosyal_Bilimlerde_Metodlar_Kitap_Tasarimi_2.docx, 2. kısım ve Sosyal_Bilimler_ve_Din_Egitiminde_Usul_Meselesi.docx, “Omurga: Dört Kutup” kısmı (Şâmile’den teyit edilmiş alıntı). Kutupların sayımı aynı sayfadadır. Bu çalışmada Şâmile’ye erişilemediği için metin yeniden karşılaştırılamamıştır.]</w:t>
      </w:r>
    </w:p>
    <w:p>
      <w:pPr>
        <w:spacing w:after="120" w:line="360"/>
        <w:ind w:firstLine="567"/>
        <w:jc w:val="both"/>
      </w:pPr>
      <w:r>
        <w:rPr>
          <w:rFonts w:ascii="Times New Roman" w:cs="Traditional Arabic" w:eastAsia="Times New Roman" w:hAnsi="Times New Roman"/>
          <w:i w:val="false"/>
          <w:sz w:val="24"/>
          <w:szCs w:val="24"/>
        </w:rPr>
        <w:t xml:space="preserve">Bu dört kutup, bir nitel araştırmanın dört ana meselesine şaşırtıcı bir açıklıkla tekabül etmektedir. Araştırmanın ortaya koyacağı bulgu ve yorum </w:t>
      </w:r>
      <w:r>
        <w:rPr>
          <w:rFonts w:ascii="Times New Roman" w:cs="Traditional Arabic" w:eastAsia="Times New Roman" w:hAnsi="Times New Roman"/>
          <w:b/>
          <w:bCs/>
          <w:i w:val="false"/>
          <w:sz w:val="24"/>
          <w:szCs w:val="24"/>
        </w:rPr>
        <w:t xml:space="preserve">semeredir</w:t>
      </w:r>
      <w:r>
        <w:rPr>
          <w:rFonts w:ascii="Times New Roman" w:cs="Traditional Arabic" w:eastAsia="Times New Roman" w:hAnsi="Times New Roman"/>
          <w:i w:val="false"/>
          <w:sz w:val="24"/>
          <w:szCs w:val="24"/>
        </w:rPr>
        <w:t xml:space="preserve">. Bulgunun beslendiği katılımcılar, saha ve belgeler </w:t>
      </w:r>
      <w:r>
        <w:rPr>
          <w:rFonts w:ascii="Times New Roman" w:cs="Traditional Arabic" w:eastAsia="Times New Roman" w:hAnsi="Times New Roman"/>
          <w:b/>
          <w:bCs/>
          <w:i w:val="false"/>
          <w:sz w:val="24"/>
          <w:szCs w:val="24"/>
        </w:rPr>
        <w:t xml:space="preserve">müsmirdir</w:t>
      </w:r>
      <w:r>
        <w:rPr>
          <w:rFonts w:ascii="Times New Roman" w:cs="Traditional Arabic" w:eastAsia="Times New Roman" w:hAnsi="Times New Roman"/>
          <w:i w:val="false"/>
          <w:sz w:val="24"/>
          <w:szCs w:val="24"/>
        </w:rPr>
        <w:t xml:space="preserve">. Veriden bulguya götüren kodlama, kategorileştirme ve yorum işlemleri </w:t>
      </w:r>
      <w:r>
        <w:rPr>
          <w:rFonts w:ascii="Times New Roman" w:cs="Traditional Arabic" w:eastAsia="Times New Roman" w:hAnsi="Times New Roman"/>
          <w:b/>
          <w:bCs/>
          <w:i w:val="false"/>
          <w:sz w:val="24"/>
          <w:szCs w:val="24"/>
        </w:rPr>
        <w:t xml:space="preserve">tarîku’l-istismârdır</w:t>
      </w:r>
      <w:r>
        <w:rPr>
          <w:rFonts w:ascii="Times New Roman" w:cs="Traditional Arabic" w:eastAsia="Times New Roman" w:hAnsi="Times New Roman"/>
          <w:i w:val="false"/>
          <w:sz w:val="24"/>
          <w:szCs w:val="24"/>
        </w:rPr>
        <w:t xml:space="preserve">. Bütün bu işlemleri yürüten ve sonuçlarından sorumlu olan araştırmacı ise </w:t>
      </w:r>
      <w:r>
        <w:rPr>
          <w:rFonts w:ascii="Times New Roman" w:cs="Traditional Arabic" w:eastAsia="Times New Roman" w:hAnsi="Times New Roman"/>
          <w:b/>
          <w:bCs/>
          <w:i w:val="false"/>
          <w:sz w:val="24"/>
          <w:szCs w:val="24"/>
        </w:rPr>
        <w:t xml:space="preserve">müstesmirdir</w:t>
      </w:r>
      <w:r>
        <w:rPr>
          <w:rFonts w:ascii="Times New Roman" w:cs="Traditional Arabic" w:eastAsia="Times New Roman" w:hAnsi="Times New Roman"/>
          <w:i w:val="false"/>
          <w:sz w:val="24"/>
          <w:szCs w:val="24"/>
        </w:rPr>
        <w:t xml:space="preserve">. Aşağıdaki tablo bu tekabülü göstermektedir.</w:t>
      </w:r>
    </w:p>
    <w:p>
      <w:pPr>
        <w:keepNext/>
        <w:spacing w:after="80" w:before="200"/>
      </w:pPr>
      <w:r>
        <w:rPr>
          <w:rFonts w:ascii="Times New Roman" w:cs="Traditional Arabic" w:eastAsia="Times New Roman" w:hAnsi="Times New Roman"/>
          <w:b/>
          <w:bCs/>
          <w:i w:val="false"/>
          <w:sz w:val="22"/>
          <w:szCs w:val="22"/>
        </w:rPr>
        <w:t xml:space="preserve">Tablo 3.1. Dört kutup ve nitel araştırmanın ana meseleleri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1814"/>
        <w:gridCol w:w="1814"/>
        <w:gridCol w:w="1814"/>
        <w:gridCol w:w="1814"/>
        <w:gridCol w:w="1814"/>
      </w:tblGrid>
      <w:tr>
        <w:trPr>
          <w:cantSplit/>
          <w:tblHeader/>
        </w:trPr>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Kutup</w:t>
            </w:r>
          </w:p>
        </w:tc>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Gazzâlî’deki karşılığı</w:t>
            </w:r>
          </w:p>
        </w:tc>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Nitel araştırmadaki karşılığı</w:t>
            </w:r>
          </w:p>
        </w:tc>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Araştırmacının sorusu</w:t>
            </w:r>
          </w:p>
        </w:tc>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Kitapta ele alındığı yer</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Semere</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Hükmün kendisi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Bulgu, tema, yorum ve öneri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Hangi bilgi iddiasında bulunuyorum ve bu iddia hangi kayıttadır?</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14. ve 15. bölümler</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Müsmir</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Hükmün delilleri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Katılımcılar, saha, belgeler (ʿiyân ve ahbâr)</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 veriyi kimden, nereden ve hangi yolla elde ettim?</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6-10. bölümler</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Tarîku’l-istismâr</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Delilden hüküm çıkarma yolu</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Kodlama, kategorileştirme, tema oluşturma, yorum (nazar)</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Veriden bulguya hangi işlemlerle geçtim ve bu geçiş denetlenebilir mi?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11. ve 12. bölümler</w:t>
            </w:r>
          </w:p>
        </w:tc>
      </w:tr>
      <w:tr>
        <w:trPr>
          <w:cantSplit/>
        </w:trPr>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Müstesmir</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Hükmü çıkaran müctehid</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 ehliyeti, konumu, ahlakı</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 araştırmayı yürütmeye ehil miyim ve konumum yorumumu nasıl etkiliyor?</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3., 12. ve 13. bölümler</w:t>
            </w:r>
          </w:p>
        </w:tc>
      </w:tr>
    </w:tbl>
    <w:p>
      <w:pPr>
        <w:spacing w:after="160"/>
      </w:pPr>
    </w:p>
    <w:p>
      <w:pPr>
        <w:spacing w:after="120" w:line="360"/>
        <w:ind w:firstLine="567"/>
        <w:jc w:val="both"/>
      </w:pPr>
      <w:r>
        <w:rPr>
          <w:rFonts w:ascii="Times New Roman" w:cs="Traditional Arabic" w:eastAsia="Times New Roman" w:hAnsi="Times New Roman"/>
          <w:i w:val="false"/>
          <w:sz w:val="24"/>
          <w:szCs w:val="24"/>
        </w:rPr>
        <w:t xml:space="preserve">Dört kutuplu mimarinin nitel araştırmaya kazandırdığı ilk şey, araştırmacının araştırmanın dışında değil içinde konumlanmasıdır. Gazzâlî müctehidi hükmün dört kutbundan biri saymaktadır. Hüküm, onu çıkaranın ehliyetinden ve ahlakından bağımsız düşünülmemektedir. Nitel araştırma literatürü de araştırmacının bir veri toplama aracı olduğunu kabul etmektedir. Ne var ki bu kabul çoğu zaman bir zaruretin itirafı olarak kalmaktadır. Tahkîk paradigmasında ise araştırmacının ehliyeti ve ahlakı, yöntemin kendisine dahil bir kutuptur. Bir araştırmanın değerlendirilmesinde müstesmir sorusu sorulmadan verilen hüküm eksiktir.</w:t>
      </w:r>
    </w:p>
    <w:p>
      <w:pPr>
        <w:spacing w:after="120" w:line="360"/>
        <w:ind w:firstLine="567"/>
        <w:jc w:val="both"/>
      </w:pPr>
      <w:r>
        <w:rPr>
          <w:rFonts w:ascii="Times New Roman" w:cs="Traditional Arabic" w:eastAsia="Times New Roman" w:hAnsi="Times New Roman"/>
          <w:i w:val="false"/>
          <w:sz w:val="24"/>
          <w:szCs w:val="24"/>
        </w:rPr>
        <w:t xml:space="preserve">Mimarinin ikinci kazancı, istismâr yolunun, yani analiz işlemlerinin klasik usûldeki çıkarım biçimleriyle düşünülebilmesidir. Bu çıkarım biçimlerinden dördü nitel analiz için özellikle verimlidir.</w:t>
      </w:r>
    </w:p>
    <w:p>
      <w:pPr>
        <w:spacing w:after="120" w:line="360"/>
        <w:ind w:firstLine="567"/>
        <w:jc w:val="both"/>
      </w:pPr>
      <w:r>
        <w:rPr>
          <w:rFonts w:ascii="Times New Roman" w:cs="Traditional Arabic" w:eastAsia="Times New Roman" w:hAnsi="Times New Roman"/>
          <w:b/>
          <w:bCs/>
          <w:i w:val="false"/>
          <w:sz w:val="24"/>
          <w:szCs w:val="24"/>
        </w:rPr>
        <w:t xml:space="preserve">İstikrâ-i maʿnevî ve tema.</w:t>
      </w:r>
      <w:r>
        <w:rPr>
          <w:rFonts w:ascii="Times New Roman" w:cs="Traditional Arabic" w:eastAsia="Times New Roman" w:hAnsi="Times New Roman"/>
          <w:i w:val="false"/>
          <w:sz w:val="24"/>
          <w:szCs w:val="24"/>
        </w:rPr>
        <w:t xml:space="preserve"> Şâtıbî bazı küllî ilkelerin tek bir hususî delille değil, birbirine eklenen ve amaçları farklı delillerle sabit olduğunu, bu delillerin toplamından da hepsinin üzerinde birleştiği tek bir hususun intizam kazandığını söylemektedir.</w:t>
      </w:r>
      <w:r>
        <w:rPr>
          <w:rStyle w:val="FootnoteReference"/>
        </w:rPr>
        <w:footnoteReference w:id="9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nitel tema da tek bir katılımcının çarpıcı bir cümlesine değil, farklı katılımcıların farklı bağlamlarda söylediklerinin birikimine dayanmalıdır. Şâtıbî’nin delillerin amaçlarının farklı olmasına dair kaydı, örneklemde çeşitliliğin niçin arandığını da açıklamaktadır. Birbirinin aynı olan çok sayıda anlatım, birbirinden farklı az sayıda anlatımın birleştiği bir anlam kadar güçlü bir hüküm taşımamaktadır. Bu konu altıncı ve on birinci bölümlerde ayrıca işlenmektedir.</w:t>
      </w:r>
    </w:p>
    <w:p>
      <w:pPr>
        <w:spacing w:after="120" w:line="360"/>
        <w:ind w:firstLine="567"/>
        <w:jc w:val="both"/>
      </w:pPr>
      <w:r>
        <w:rPr>
          <w:rFonts w:ascii="Times New Roman" w:cs="Traditional Arabic" w:eastAsia="Times New Roman" w:hAnsi="Times New Roman"/>
          <w:b/>
          <w:bCs/>
          <w:i w:val="false"/>
          <w:sz w:val="24"/>
          <w:szCs w:val="24"/>
        </w:rPr>
        <w:t xml:space="preserve">Tahkîku’l-menât ve kodlama.</w:t>
      </w:r>
      <w:r>
        <w:rPr>
          <w:rFonts w:ascii="Times New Roman" w:cs="Traditional Arabic" w:eastAsia="Times New Roman" w:hAnsi="Times New Roman"/>
          <w:i w:val="false"/>
          <w:sz w:val="24"/>
          <w:szCs w:val="24"/>
        </w:rPr>
        <w:t xml:space="preserve"> Gazzâlî, bir hüküm bir ölçütle bilinir hâle geldiğinde o ölçütün her bir yerde gerçekleşip gerçekleşmediğini tespitin, inkâr etmedikleri bir ictihada muhtaç olduğunu belirtmektedir.</w:t>
      </w:r>
      <w:r>
        <w:rPr>
          <w:rStyle w:val="FootnoteReference"/>
        </w:rPr>
        <w:footnoteReference w:id="9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Kodlama kılavuzu ne kadar açık yazılırsa yazılsın, bir görüşme parçasının o kodun kapsamına girip girmediğine karar vermek araştırmacının hükmünü gerektirmektedir. Gazzâlî bu kaçınılmazlığı bir kusur olarak değil, ictihadın meşru alanı olarak görmektedir. Kanaatimizce bu tespit, nitel analizde kodlayıcılar arası farklılığın niçin tamamen ortadan kaldırılamayacağını ve niçin her kodlama kararının gerekçesiyle kaydedilmesi gerektiğini açıklamaktadır.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«وَالْحُكْمُ إذَا صَارَ مَعْلُومًا بِضَابِطٍ فَتَحْقِيقُ الضَّابِطِ فِي كُلِّ مَحَلٍّ يَحْتَاجُ إلَى اجْتِهَادٍ لَا نُنْكِرُهُ»</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5459, basılı s. 291. Kaynak dosya: Sosyal_Bilimlerde_Metodlar_Kitap_Tasarimi_2.docx, 3.2. kısım (d) (Şâmile’den teyit edilmiş alıntı). Bu çalışmada Şâmile’ye erişilemediği için metin yeniden karşılaştırılamamıştır.]</w:t>
      </w:r>
    </w:p>
    <w:p>
      <w:pPr>
        <w:spacing w:after="120" w:line="360"/>
        <w:ind w:firstLine="567"/>
        <w:jc w:val="both"/>
      </w:pPr>
      <w:r>
        <w:rPr>
          <w:rFonts w:ascii="Times New Roman" w:cs="Traditional Arabic" w:eastAsia="Times New Roman" w:hAnsi="Times New Roman"/>
          <w:b/>
          <w:bCs/>
          <w:i w:val="false"/>
          <w:sz w:val="24"/>
          <w:szCs w:val="24"/>
        </w:rPr>
        <w:t xml:space="preserve">Taksîmin şartları ve kategori sistemi.</w:t>
      </w:r>
      <w:r>
        <w:rPr>
          <w:rFonts w:ascii="Times New Roman" w:cs="Traditional Arabic" w:eastAsia="Times New Roman" w:hAnsi="Times New Roman"/>
          <w:i w:val="false"/>
          <w:sz w:val="24"/>
          <w:szCs w:val="24"/>
        </w:rPr>
        <w:t xml:space="preserve"> Şinkîtî, bir taksîmin sahih olmasının ilk şartını taksîm edilenin bütün kısımlarını kuşatması, yani taksîm aklî ise bütün aklî kısımları, istikrâî ise dışarıda mevcut bütün kısımları toplaması ve taksîm edilenin kısımlarından olmayan bir kısmın girmesine mani olması olarak ifade etmektedir.</w:t>
      </w:r>
      <w:r>
        <w:rPr>
          <w:rStyle w:val="FootnoteReference"/>
        </w:rPr>
        <w:footnoteReference w:id="9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analizde kodların ve temaların oluşturduğu kategori sistemi de bir taksîmdir. Bu sistemin veriyi kuşatıp kuşatmadığı ve kategorilerin birbirine karışıp karışmadığı, Şinkîtî’nin iki şartıyla sınanabilir. Şinkîtî’nin aklî taksîm ile istikrâî taksîmi ayırması ise nitel araştırmacı için ayrıca önemlidir. Verinin içinden çıkan kategoriler istikrâî bir taksîmdir ve kuşatıcılıkları ancak sahada mevcut olanlar bakımından aranabilir. Bu sebeple araştırmacı kategori sisteminin kuşatıcılığını iddia ederken bu sınırı da beyan etmelidir.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«الأول: أن يكون حاصرًا لجميع أقسام المقسَّم، بمعنى كونه جامعًا للأقسام العقلية كلها إن كان التقسيم عقليًّا، وجامعًا لما جميع الأقسام الموجودة في الخارج إن كان استقرائيًّا، وأن يكون مانعًا من دخول قسم من غير أقسام المقسم.»</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266, basılı 1/156. Kaynak dosya: Sosyal_Bilimlerde_Metodlar_Kitap_Tasarimi_2.docx, 3.2. kısım (b) (Şâmile’den teyit edilmiş alıntı). Alıntıdaki “وجامعًا لما جميع” ifadesi kaynak dosyadaki şekliyle korunmuştur. Bu çalışmada Şâmile’ye erişilemediği için metin yeniden karşılaştırılamamıştır.]</w:t>
      </w:r>
    </w:p>
    <w:p>
      <w:pPr>
        <w:spacing w:after="120" w:line="360"/>
        <w:ind w:firstLine="567"/>
        <w:jc w:val="both"/>
      </w:pPr>
      <w:r>
        <w:rPr>
          <w:rFonts w:ascii="Times New Roman" w:cs="Traditional Arabic" w:eastAsia="Times New Roman" w:hAnsi="Times New Roman"/>
          <w:b/>
          <w:bCs/>
          <w:i w:val="false"/>
          <w:sz w:val="24"/>
          <w:szCs w:val="24"/>
        </w:rPr>
        <w:t xml:space="preserve">Sebr ve taksîm: Rakip açıklamaların elenmesi.</w:t>
      </w:r>
      <w:r>
        <w:rPr>
          <w:rFonts w:ascii="Times New Roman" w:cs="Traditional Arabic" w:eastAsia="Times New Roman" w:hAnsi="Times New Roman"/>
          <w:i w:val="false"/>
          <w:sz w:val="24"/>
          <w:szCs w:val="24"/>
        </w:rPr>
        <w:t xml:space="preserve"> Gazzâlî sebr ve taksîmi sahih bir delil olarak tanımlamakta ve şöyle açıklamaktadır: Bu hüküm illetlidir ve onun şundan ya da bundan başka illeti yoktur. Bunlardan biri bâtıl olmuştur, öyleyse öbürü taayyün etmiştir.</w:t>
      </w:r>
      <w:r>
        <w:rPr>
          <w:rStyle w:val="FootnoteReference"/>
        </w:rPr>
        <w:footnoteReference w:id="9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delilin şartlarından biri sebrin hâsır olması, yani illet olabilecek her şeyi kuşatmasıdır. Müctehid ise başka bir ihtimal getirmekten âciz kalıncaya kadar gücü ölçüsünde sebr etmekle yükümlüdür.</w:t>
      </w:r>
      <w:r>
        <w:rPr>
          <w:rStyle w:val="FootnoteReference"/>
        </w:rPr>
        <w:footnoteReference w:id="10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Gazzâlî bir başka yerde, birlikte bulunmanın tek başına illet olmayı gerektirmediğini de vurgulamaktadır. Bir şeyle birlikte bulunanın onun illeti olması gerektiğine sebr ve taksîmden önce hükmetmek keyfîlik ve vehimdir.</w:t>
      </w:r>
      <w:r>
        <w:rPr>
          <w:rStyle w:val="FootnoteReference"/>
        </w:rPr>
        <w:footnoteReference w:id="10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«النَّوْعُ الْأَوَّلُ: السَّبْرُ وَالتَّقْسِيمُ وَهُوَ دَلِيلٌ صَحِيحٌ، وَذَلِكَ بِأَنْ يَقُولَ: هَذَا الْحُكْمُ مُعَلَّلٌ وَلَا عِلَّةَ لَهُ إلَّا كَذَا أَوْ كَذَا، وَقَدْ بَطَلَ أَحَدُهُمَا فَتَعَيَّنَ الْآخَرُ»</w:t>
      </w:r>
    </w:p>
    <w:p>
      <w:pPr>
        <w:pStyle w:val="DogrulamaAR"/>
        <w:bidi/>
        <w:spacing w:after="20" w:line="300"/>
        <w:ind w:end="567"/>
        <w:jc w:val="both"/>
      </w:pPr>
      <w:r>
        <w:rPr>
          <w:rFonts w:ascii="Times New Roman" w:cs="Traditional Arabic" w:eastAsia="Times New Roman" w:hAnsi="Times New Roman"/>
          <w:i/>
          <w:iCs/>
          <w:sz w:val="24"/>
          <w:szCs w:val="30"/>
          <w:rtl/>
        </w:rPr>
        <w:t xml:space="preserve">«الثَّانِي: أَنْ يَكُونَ سَبْرُهُ حَاصِرًا فَيَحْصُرُ جَمِيعَ مَا يُمْكِنُ أَنْ يَكُونَ عِلَّةً... فَإِنْ كَانَ مُجْتَهِدًا فَعَلَيْهِ سَبْرٌ بِقَدْرِ إمْكَانِهِ حَتَّى يَعْجِزَ عَنْ إيرَادِ غَيْرِهِ»</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5459, basılı s. 311. Kaynak dosyadaki alıntıda bir kısım “...” işaretiyle kısaltılmıştır.]</w:t>
      </w:r>
    </w:p>
    <w:p>
      <w:pPr>
        <w:pStyle w:val="DogrulamaAR"/>
        <w:bidi/>
        <w:spacing w:after="20" w:line="300"/>
        <w:ind w:end="567"/>
        <w:jc w:val="both"/>
      </w:pPr>
      <w:r>
        <w:rPr>
          <w:rFonts w:ascii="Times New Roman" w:cs="Traditional Arabic" w:eastAsia="Times New Roman" w:hAnsi="Times New Roman"/>
          <w:i/>
          <w:iCs/>
          <w:sz w:val="24"/>
          <w:szCs w:val="30"/>
          <w:rtl/>
        </w:rPr>
        <w:t xml:space="preserve">«أَمَّا حُكْمُهُ قَبْلَ السَّبْرِ وَالتَّقْسِيمِ بِأَنَّ مَا اقْتَرَنَ بِشَيْءٍ يَنْبَغِي أَنْ يَكُونَ عِلَّةً فِيهِ تَحَكُّمٌ وَوَهْمٌ»</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5459, basılı s. 316. Alıntılar için kaynak dosya: Sosyal_Bilimler_ve_Din_Egitiminde_Usul_Meselesi.docx, 23.1. ve 23.2. kısımlar (Şâmile’den teyit edilmiş alıntılar). Bu çalışmada Şâmile’ye erişilemediği için metinler yeniden karşılaştırılamamıştır.]</w:t>
      </w:r>
    </w:p>
    <w:p>
      <w:pPr>
        <w:spacing w:after="120" w:line="360"/>
        <w:ind w:firstLine="567"/>
        <w:jc w:val="both"/>
      </w:pPr>
      <w:r>
        <w:rPr>
          <w:rFonts w:ascii="Times New Roman" w:cs="Traditional Arabic" w:eastAsia="Times New Roman" w:hAnsi="Times New Roman"/>
          <w:i w:val="false"/>
          <w:sz w:val="24"/>
          <w:szCs w:val="24"/>
        </w:rPr>
        <w:t xml:space="preserve">Bu metinler nitel yorumun ahlakını ve mantığını birlikte vermektedir. Nitel araştırmacı bir tecrübeyi açıklarken, örneğin öğrencilerin din kültürü dersine ilgisizliğini bir sebebe bağlarken, akla gelebilecek diğer açıklamaları da sıralamalı ve verinin onlardan hangisini desteklemediğini göstermelidir. Birlikte görülen iki durumu, örneğin bir öğretmenin belli bir yöntemi kullanması ile öğrencilerin katılımının artmasını, başka açıklamaları sınamadan sebep ve sonuç ilişkisine bağlamak, Gazzâlî’nin ifadesiyle keyfîlik ve vehimdir. Nitel araştırmada nedensellik iddiasının ihtiyatla kurulması gerektiğine dair modern uyarı, burada çok daha eski bir usûl ihtiyatıyla buluşmaktadır. “Gücü ölçüsünde” kaydı ise araştırmacıya ölçülü bir yük yüklemektedir. Araştırmacıdan bütün ihtimalleri bilmesi değil, bilebildiklerini sınaması beklenmektedir.</w:t>
      </w:r>
    </w:p>
    <w:p>
      <w:pPr>
        <w:pStyle w:val="Heading2"/>
        <w:keepNext/>
        <w:spacing w:after="120" w:before="240"/>
      </w:pPr>
      <w:r>
        <w:rPr>
          <w:rFonts w:ascii="Times New Roman" w:cs="Traditional Arabic" w:eastAsia="Times New Roman" w:hAnsi="Times New Roman"/>
          <w:b/>
          <w:bCs/>
          <w:i w:val="false"/>
          <w:sz w:val="24"/>
          <w:szCs w:val="24"/>
        </w:rPr>
        <w:t xml:space="preserve">3.6. Müstesmir: Araştırmacının Ehliyeti, Niyeti ve Titizliği</w:t>
      </w:r>
    </w:p>
    <w:p>
      <w:pPr>
        <w:spacing w:after="120" w:line="360"/>
        <w:ind w:firstLine="567"/>
        <w:jc w:val="both"/>
      </w:pPr>
      <w:r>
        <w:rPr>
          <w:rFonts w:ascii="Times New Roman" w:cs="Traditional Arabic" w:eastAsia="Times New Roman" w:hAnsi="Times New Roman"/>
          <w:i w:val="false"/>
          <w:sz w:val="24"/>
          <w:szCs w:val="24"/>
        </w:rPr>
        <w:t xml:space="preserve">Dört kutuplu mimarinin araştırmacıya ayırdığı yer, tahkîk paradigmasını modern paradigmalardan ayıran en belirgin özelliktir. Klasik usûl, bilginin değerini onu taşıyanın niteliklerinden ayırmamıştır. İbnü’s-Salâh, hadis ve fıkıh imamlarının büyük çoğunluğunun, rivayetiyle delil getirilecek kimsenin adil ve rivayet ettiğini zabteden biri olmasını şart koştuğunu belirtmektedir.</w:t>
      </w:r>
      <w:r>
        <w:rPr>
          <w:rStyle w:val="FootnoteReference"/>
        </w:rPr>
        <w:footnoteReference w:id="10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Girişte ve ikinci bölümde belirtildiği üzere bu şartlar, iki kayıt ilkesi gereğince katılımcıya değil araştırmacıya uygulanmaktadır.</w:t>
      </w:r>
    </w:p>
    <w:p>
      <w:pPr>
        <w:spacing w:after="120" w:line="360"/>
        <w:ind w:firstLine="567"/>
        <w:jc w:val="both"/>
      </w:pPr>
      <w:r>
        <w:rPr>
          <w:rFonts w:ascii="Times New Roman" w:cs="Traditional Arabic" w:eastAsia="Times New Roman" w:hAnsi="Times New Roman"/>
          <w:i w:val="false"/>
          <w:sz w:val="24"/>
          <w:szCs w:val="24"/>
        </w:rPr>
        <w:t xml:space="preserve">Şâfiî’nin </w:t>
      </w:r>
      <w:r>
        <w:rPr>
          <w:rFonts w:ascii="Times New Roman" w:cs="Traditional Arabic" w:eastAsia="Times New Roman" w:hAnsi="Times New Roman"/>
          <w:i/>
          <w:iCs/>
          <w:sz w:val="24"/>
          <w:szCs w:val="24"/>
        </w:rPr>
        <w:t xml:space="preserve">er-Risâle</w:t>
      </w:r>
      <w:r>
        <w:rPr>
          <w:rFonts w:ascii="Times New Roman" w:cs="Traditional Arabic" w:eastAsia="Times New Roman" w:hAnsi="Times New Roman"/>
          <w:i w:val="false"/>
          <w:sz w:val="24"/>
          <w:szCs w:val="24"/>
        </w:rPr>
        <w:t xml:space="preserve">’de saydığı ölçütler bu uygulamayı daha da ayrıntılandırmaya elverişlidir. Şâfiî, hassanın haberiyle hüccetin ancak birtakım hususlar bir araya geldiğinde kaim olacağını söylemekte ve bunları saymaktadır. Haberi nakleden dininde güvenilir, sözünde doğrulukla tanınmış, naklettiği şeyi akleden, lafızdan hadisin manalarını değiştiren şeyleri bilen ve hadisi işittiği gibi harfleriyle edâ eden biri olmalıdır.</w:t>
      </w:r>
      <w:r>
        <w:rPr>
          <w:rStyle w:val="FootnoteReference"/>
        </w:rPr>
        <w:footnoteReference w:id="10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Şâfiî bir sonraki sayfada, ezberinden naklediyorsa hafız, kitabından naklediyorsa kitabını muhafaza eden, ezber ehliyle bir hadiste ortak olduğunda onların naklettiğine muvafık düşen ve tedlîsten uzak biri olmasını da eklemektedir.</w:t>
      </w:r>
      <w:r>
        <w:rPr>
          <w:rStyle w:val="FootnoteReference"/>
        </w:rPr>
        <w:footnoteReference w:id="10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«١٠٠٠ - ولا تقوم الحجة بخبر الخاصة حتى يَجْمَعَ أُموراً. ١٠٠١ - منها أن يكون مَنْ حدَّثَ به ثِقَةً في دينه معروفاً بالصِّدق في حديثه عاقلا لما يحدث به علما بما يُحيل مَعَانِيَ الحديث مِنَ اللفظ وأن يكون ممن يُؤَدِّي الحديث بحروفه كما سَمِعَ لا يحدث به على المعنى»</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8180, basılı s. 370-371.]</w:t>
      </w:r>
    </w:p>
    <w:p>
      <w:pPr>
        <w:pStyle w:val="DogrulamaAR"/>
        <w:bidi/>
        <w:spacing w:after="20" w:line="300"/>
        <w:ind w:end="567"/>
        <w:jc w:val="both"/>
      </w:pPr>
      <w:r>
        <w:rPr>
          <w:rFonts w:ascii="Times New Roman" w:cs="Traditional Arabic" w:eastAsia="Times New Roman" w:hAnsi="Times New Roman"/>
          <w:i/>
          <w:iCs/>
          <w:sz w:val="24"/>
          <w:szCs w:val="30"/>
          <w:rtl/>
        </w:rPr>
        <w:t xml:space="preserve">«حافظا إذا حدث به من حفظه حافظا لكتابه إذا حدَّث من كتابه إذا شَرِكَ أهلَ الحفظ في حديث وافَقَ حديثَهم بَرِيًّا مِنْ أنْ يكونَ مُدَلِّساً»</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8180, basılı s. 371. Kaynak dosya: Sosyal_Bilimlerde_Metodlar_Kitap_Tasarimi_2.docx, 16.3. kısım (Şâmile’den teyit edilmiş alıntılar). Kaynak dosyada matbu nüshadaki muhakkik dipnot işaretlerinin çıkarıldığı, paragraf numaralarının korunduğu belirtilmektedir. Bu çalışmada Şâmile’ye erişilemediği için metinler yeniden karşılaştırılamamıştır.]</w:t>
      </w:r>
    </w:p>
    <w:p>
      <w:pPr>
        <w:spacing w:after="120" w:line="360"/>
        <w:ind w:firstLine="567"/>
        <w:jc w:val="both"/>
      </w:pPr>
      <w:r>
        <w:rPr>
          <w:rFonts w:ascii="Times New Roman" w:cs="Traditional Arabic" w:eastAsia="Times New Roman" w:hAnsi="Times New Roman"/>
          <w:i w:val="false"/>
          <w:sz w:val="24"/>
          <w:szCs w:val="24"/>
        </w:rPr>
        <w:t xml:space="preserve">Bu ölçütler nitel araştırmacının yükümlülüklerini neredeyse madde madde tarif etmektedir. Naklettiğini akletmek, araştırmacının katılımcının söylediğini anlamadan aktarmamasıdır. Lafzın manayı değiştirdiği yerleri bilmek, bir görüşme dökümünde bir kelimenin, bir vurgunun ya da bir duraklamanın anlamı nasıl değiştirebileceğinin farkında olmaktır. Harfleriyle edâ etmek, doğrudan alıntıların katılımcının kendi sözleriyle verilmesidir. Kitabını muhafaza etmek, ses kayıtlarının, dökümlerin ve alan notlarının korunması ve denetlenebilir tutulmasıdır. Ezber ehline muvafık düşmek, araştırmacının yorumunun başka araştırmacıların incelemesine açık olması ve bu incelemeden geçebilmesidir. Tedlîsten uzak olmak ise araştırmacının bir verinin nereden geldiğini, hangi aracı yoldan elde edildiğini ve hangi kısmının dışarıda bırakıldığını gizlememesidir. Bu ölçütlerin dikkate değer yanı, birbirinden ayrı literatürlerde ele alınan yükümlülükleri tek bir kabul şartları listesinde toplamasıdır.</w:t>
      </w:r>
    </w:p>
    <w:p>
      <w:pPr>
        <w:spacing w:after="120" w:line="360"/>
        <w:ind w:firstLine="567"/>
        <w:jc w:val="both"/>
      </w:pPr>
      <w:r>
        <w:rPr>
          <w:rFonts w:ascii="Times New Roman" w:cs="Traditional Arabic" w:eastAsia="Times New Roman" w:hAnsi="Times New Roman"/>
          <w:i w:val="false"/>
          <w:sz w:val="24"/>
          <w:szCs w:val="24"/>
        </w:rPr>
        <w:t xml:space="preserve">Müstesmirin niteliklerinden biri daha ayrıca anılmalıdır: niyet. İbnü’s-Salâh hadis talebesine düşen ilk şeyin ihlası gerçekleştirmek ve ilmi dünyevî garazlardan birine ulaşmak için bir vasıta edinmekten sakınmak olduğunu söylemektedir.</w:t>
      </w:r>
      <w:r>
        <w:rPr>
          <w:rStyle w:val="FootnoteReference"/>
        </w:rPr>
        <w:footnoteReference w:id="10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Muhaddisin âdâbını anlattığı bahiste de hadis ilminin şerefli bir ilim olduğunu, güzel ahlaka ve güzel huylara uygun düştüğünü, kötü ahlak ve çirkin huylardan uzak olduğunu belirtmektedir.</w:t>
      </w:r>
      <w:r>
        <w:rPr>
          <w:rStyle w:val="FootnoteReference"/>
        </w:rPr>
        <w:footnoteReference w:id="10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«فَأَوَّلُ مَا عَلَيْهِ تَحْقِيقُ الْإِخْلَاصِ، وَالْحَذَرُ مِنْ أَنْ يَتَّخِذَهُ وُصْلَةً إِلَى شَيْءٍ مِنَ الْأَغْرَاضِ الدُّنْيَوِيَّةِ.»</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22870, basılı s. 245.]</w:t>
      </w:r>
    </w:p>
    <w:p>
      <w:pPr>
        <w:pStyle w:val="DogrulamaAR"/>
        <w:bidi/>
        <w:spacing w:after="20" w:line="300"/>
        <w:ind w:end="567"/>
        <w:jc w:val="both"/>
      </w:pPr>
      <w:r>
        <w:rPr>
          <w:rFonts w:ascii="Times New Roman" w:cs="Traditional Arabic" w:eastAsia="Times New Roman" w:hAnsi="Times New Roman"/>
          <w:i/>
          <w:iCs/>
          <w:sz w:val="24"/>
          <w:szCs w:val="30"/>
          <w:rtl/>
        </w:rPr>
        <w:t xml:space="preserve">«عِلْمُ الْحَدِيثِ عِلْمٌ شَرِيفٌ، يُنَاسِبُ مَكَارِمَ الْأَخْلَاقِ وَمَحَاسِنَ الشِّيَمِ، وَيُنَافِرُ مَسَاوِيَ الْأَخْلَاقِ، وَمَشَايِنَ الشِّيَمِ»</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22870, basılı s. 236. Kaynak dosya: Sosyal_Bilimler_ve_Din_Egitiminde_Usul_Meselesi.docx, 4.2. ve 6.2. kısımlar (Şâmile’den teyit edilmiş alıntılar). Bu çalışmada Şâmile’ye erişilemediği için metinler yeniden karşılaştırılamamıştır.]</w:t>
      </w:r>
    </w:p>
    <w:p>
      <w:pPr>
        <w:spacing w:after="120" w:line="360"/>
        <w:ind w:firstLine="567"/>
        <w:jc w:val="both"/>
      </w:pPr>
      <w:r>
        <w:rPr>
          <w:rFonts w:ascii="Times New Roman" w:cs="Traditional Arabic" w:eastAsia="Times New Roman" w:hAnsi="Times New Roman"/>
          <w:i w:val="false"/>
          <w:sz w:val="24"/>
          <w:szCs w:val="24"/>
        </w:rPr>
        <w:t xml:space="preserve">Modern araştırma etiği niyet sorusunu çoğu zaman ilgi çatışmalarının beyanıyla sınırlamaktadır. Tahkîk paradigmasında ise niyet, araştırmanın görünmeyen başlangıcıdır ve yalnızca etik kurul formunda değil, araştırma sorusunun seçiminden bulguların sunumuna kadar her kararda etkisini gösterir. Bir araştırmacının bulgularını yayın sayısını artırmak, belli bir kurumu memnun etmek ya da önceden benimsediği bir tezi doğrulamak için biçimlendirmesi, İbnü’s-Salâh’ın ifadesiyle ilmi dünyevî bir garaza vasıta edinmektir. Niyetin denetlenemeyeceği itirazı yerindedir. Ancak tahkîk paradigması niyeti bir denetim ölçütü olarak değil, araştırmacının kendi kendini denetlemesinin zemini olarak konumlandırmaktadır. On üçüncü bölüm bu konuyu araştırma etiği bağlamında ayrıntılı olarak ele almaktadır.</w:t>
      </w:r>
    </w:p>
    <w:p>
      <w:pPr>
        <w:pStyle w:val="Heading2"/>
        <w:keepNext/>
        <w:spacing w:after="120" w:before="240"/>
      </w:pPr>
      <w:r>
        <w:rPr>
          <w:rFonts w:ascii="Times New Roman" w:cs="Traditional Arabic" w:eastAsia="Times New Roman" w:hAnsi="Times New Roman"/>
          <w:b/>
          <w:bCs/>
          <w:i w:val="false"/>
          <w:sz w:val="24"/>
          <w:szCs w:val="24"/>
        </w:rPr>
        <w:t xml:space="preserve">3.7. Münazara: Bilgi Topluluğu ve Hakkın Zuhûru</w:t>
      </w:r>
    </w:p>
    <w:p>
      <w:pPr>
        <w:spacing w:after="120" w:line="360"/>
        <w:ind w:firstLine="567"/>
        <w:jc w:val="both"/>
      </w:pPr>
      <w:r>
        <w:rPr>
          <w:rFonts w:ascii="Times New Roman" w:cs="Traditional Arabic" w:eastAsia="Times New Roman" w:hAnsi="Times New Roman"/>
          <w:i w:val="false"/>
          <w:sz w:val="24"/>
          <w:szCs w:val="24"/>
        </w:rPr>
        <w:t xml:space="preserve">Tahkîk paradigmasında bir araştırmanın hükmü yalnızca araştırmacının kendi kanaatiyle değil, ilim ehlinin incelemesiyle olgunlaşmaktadır. Klasik gelenekte bu incelemenin âdâbı, âdâbü’l-bahs ve’l-münâzara literatüründe işlenmiştir. Şinkîtî münazara edenlerin uyması gereken âdâb arasında her ikisinin de hakkın ortaya çıkmasını, hasmının eliyle de olsa, kastetmesini saymaktadır.</w:t>
      </w:r>
      <w:r>
        <w:rPr>
          <w:rStyle w:val="FootnoteReference"/>
        </w:rPr>
        <w:footnoteReference w:id="10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Aynı eserde itirazın kabul şartını da açıkça koymaktadır. Nakz, yani karşı tarafın delilinin bozulması, ancak bir şâhidle birlikte kabul edilmektedir ve bu şâhid nakzın sıhhatine delildir. İtiraz eden şâhidi zikretmezse itirazı kabul edilmemektedir.</w:t>
      </w:r>
      <w:r>
        <w:rPr>
          <w:rStyle w:val="FootnoteReference"/>
        </w:rPr>
        <w:footnoteReference w:id="10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«ومنها أن يقصِد كل منهما ظهورَ الحق، ولو على يد خصمِه»</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266, basılı 1/274.]</w:t>
      </w:r>
    </w:p>
    <w:p>
      <w:pPr>
        <w:pStyle w:val="DogrulamaAR"/>
        <w:bidi/>
        <w:spacing w:after="20" w:line="300"/>
        <w:ind w:end="567"/>
        <w:jc w:val="both"/>
      </w:pPr>
      <w:r>
        <w:rPr>
          <w:rFonts w:ascii="Times New Roman" w:cs="Traditional Arabic" w:eastAsia="Times New Roman" w:hAnsi="Times New Roman"/>
          <w:i/>
          <w:iCs/>
          <w:sz w:val="24"/>
          <w:szCs w:val="30"/>
          <w:rtl/>
        </w:rPr>
        <w:t xml:space="preserve">«اعلم أن النقض لا يُقبل إلا مقترنا بشاهد، والمراد بالشاهد المذكور هو الدليلُ على صحة النقض، فإن لم يذكر السائل مع النقض الشاهدَ المذكورَ لم يقبل منه»</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266, basılı 1/234. Kaynak dosyalar: Sosyal_Bilimlerde_Metodlar_Kitap_Tasarimi_2.docx, 3.2. kısım (e) ve Sosyal_Bilimler_ve_Din_Egitiminde_Usul_Meselesi.docx, 29.2. kısım (Şâmile’den teyit edilmiş alıntılar). Bu çalışmada Şâmile’ye erişilemediği için metinler yeniden karşılaştırılamamıştır.]</w:t>
      </w:r>
    </w:p>
    <w:p>
      <w:pPr>
        <w:spacing w:after="120" w:line="360"/>
        <w:ind w:firstLine="567"/>
        <w:jc w:val="both"/>
      </w:pPr>
      <w:r>
        <w:rPr>
          <w:rFonts w:ascii="Times New Roman" w:cs="Traditional Arabic" w:eastAsia="Times New Roman" w:hAnsi="Times New Roman"/>
          <w:i w:val="false"/>
          <w:sz w:val="24"/>
          <w:szCs w:val="24"/>
        </w:rPr>
        <w:t xml:space="preserve">Bu iki ilke, nitel araştırmanın inandırıcılık önlemlerinden akran incelemesine, dış denetime ve katılımcı teyidine kadar uzanan bir dizi uygulamaya ahlaki bir zemin kazandırmaktadır. Hakkın hasmın eliyle de olsa ortaya çıkmasını istemek, araştırmacının kendi yorumuna yöneltilen itirazı bir tehdit olarak değil bir imkân olarak görmesidir. İtirazın şâhidle birlikte kabul edilmesi ise eleştirinin de delile bağlanmasıdır. Bir hakem, bir araştırmanın temasını reddederken o temayı bozan veriyi ya da gerekçeyi göstermelidir. Kanaatimizce bu ilke, postmodern eleştirinin bilgi iddialarını yalnızca konumlarına indirgeyerek tartışmayı sonlandırma eğilimine karşı da bir ölçü sunmaktadır. Tahkîk paradigmasında her bilgi iddiası bir konumdan söylenir, ama hiçbir iddia yalnızca konumu gösterilerek düşürülmez. Düşürülmesi için şâhid gerekir.</w:t>
      </w:r>
    </w:p>
    <w:p>
      <w:pPr>
        <w:pStyle w:val="Heading2"/>
        <w:keepNext/>
        <w:spacing w:after="120" w:before="240"/>
      </w:pPr>
      <w:r>
        <w:rPr>
          <w:rFonts w:ascii="Times New Roman" w:cs="Traditional Arabic" w:eastAsia="Times New Roman" w:hAnsi="Times New Roman"/>
          <w:b/>
          <w:bCs/>
          <w:i w:val="false"/>
          <w:sz w:val="24"/>
          <w:szCs w:val="24"/>
        </w:rPr>
        <w:t xml:space="preserve">3.8. Batı Paradigmalarıyla Mukayese</w:t>
      </w:r>
    </w:p>
    <w:p>
      <w:pPr>
        <w:spacing w:after="120" w:line="360"/>
        <w:ind w:firstLine="567"/>
        <w:jc w:val="both"/>
      </w:pPr>
      <w:r>
        <w:rPr>
          <w:rFonts w:ascii="Times New Roman" w:cs="Traditional Arabic" w:eastAsia="Times New Roman" w:hAnsi="Times New Roman"/>
          <w:i w:val="false"/>
          <w:sz w:val="24"/>
          <w:szCs w:val="24"/>
        </w:rPr>
        <w:t xml:space="preserve">Tahkîk paradigması, birinci bölümde ele alınan Batı paradigmalarının hiçbirinin taklidi değildir. Bununla birlikte onların her birinden bir şey öğrenmekte ve her birinden bir noktada ayrılmaktadır.</w:t>
      </w:r>
    </w:p>
    <w:p>
      <w:pPr>
        <w:spacing w:after="120" w:line="360"/>
        <w:ind w:firstLine="567"/>
        <w:jc w:val="both"/>
      </w:pPr>
      <w:r>
        <w:rPr>
          <w:rFonts w:ascii="Times New Roman" w:cs="Traditional Arabic" w:eastAsia="Times New Roman" w:hAnsi="Times New Roman"/>
          <w:i w:val="false"/>
          <w:sz w:val="24"/>
          <w:szCs w:val="24"/>
        </w:rPr>
        <w:t xml:space="preserve">Yorumlayıcı ve sosyal inşacı paradigmalarla tahkîk paradigması arasında geniş bir mutabakat alanı bulunmaktadır. İnsan tecrübesinin anlam taşıdığı, bu anlamın bağlamından koparılmadan anlaşılması gerektiği ve katılımcının kendi dilinin ve kavramlarının öğrenilmesi gerektiği konusunda iki anlayış birleşmektedir. Beşinci bölümde ele alınan Bîrûnî’nin “bu onun inancıdır ve onu en iyi bilen kendisidir” ilkesi ve dördüncü bölümde ele alınan İbn Nüceym’in örneklerinde görülen, kavramın sınırının insanların kendi algısına bırakılması, bu mutabakatın klasik zemindeki karşılıklarıdır. Ayrılık ise varlık sorusundadır. Tahkîk paradigması anlamın inşa edildiğini kabul etmekle birlikte, anlamın sahibi olan insanın, onun iç hâlinin ve yaşadığı dünyanın, araştırmacının inşasından bağımsız bir gerçekliği olduğunu savunmaktadır. Yorum çoğuldur, fakat hakikat yorumların toplamından ibaret değildir.</w:t>
      </w:r>
    </w:p>
    <w:p>
      <w:pPr>
        <w:spacing w:after="120" w:line="360"/>
        <w:ind w:firstLine="567"/>
        <w:jc w:val="both"/>
      </w:pPr>
      <w:r>
        <w:rPr>
          <w:rFonts w:ascii="Times New Roman" w:cs="Traditional Arabic" w:eastAsia="Times New Roman" w:hAnsi="Times New Roman"/>
          <w:i w:val="false"/>
          <w:sz w:val="24"/>
          <w:szCs w:val="24"/>
        </w:rPr>
        <w:t xml:space="preserve">Hermenötik gelenekle, özellikle Gadamer’le olan münasebet ayrıca ele alınmayı hak etmektedir. Çünkü Gadamer, birinci bölümde görüldüğü üzere geleneği ve otoriteyi yeniden itibara kavuşturmakla kalmamakta, beşeri bilimlerin hermenötiğine örnek olarak doğrudan hukuki ve teolojik hermenötiği göstermektedir. Ona göre hem hukuki hem de teolojik hermenötikte sabit metin ile yargılama ya da vaaz sırasındaki somut yorumda ulaşılan anlam arasında bir gerilim vardır. Yasa tarihsel olarak anlaşılmak için değil, yorumlanarak somutlaştırılmak için vardır ve burada anlama daima uygulamadır.</w:t>
      </w:r>
      <w:r>
        <w:rPr>
          <w:rStyle w:val="FootnoteReference"/>
        </w:rPr>
        <w:footnoteReference w:id="10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Gadamer buradan programatik bir sonuç çıkarmaktadır: Görevimiz, beşeri bilimlerdeki hermenötiği hukuki ve teolojik hermenötiğe göre yeniden tanımlamaktır.</w:t>
      </w:r>
      <w:r>
        <w:rPr>
          <w:rStyle w:val="FootnoteReference"/>
        </w:rPr>
        <w:footnoteReference w:id="11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Uygulama ona göre önce verili bir evrenseli anlayıp sonra onu somut bir duruma uygulamak değil, evrenselin anlaşılmasının bizzat kendisidir.</w:t>
      </w:r>
      <w:r>
        <w:rPr>
          <w:rStyle w:val="FootnoteReference"/>
        </w:rPr>
        <w:footnoteReference w:id="11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“Hem hukuki hem de teolojik hermenoytikte sabit metin - hukuk metni ya da vahiy metni - ile hem yargılama hem de vaaz sırasındaki somut yorum anında metne başvurularak [uygulamayla, ç] ulaşılan anlamı arasında bir gerilim vardır. Yasa tarihsel olarak anlaşılmak üzere var değildir, hukuki geçerliliği yorumlanarak somutlaştırılmak üzere vardır. […] Burada anlama daima uygulamadır.”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65-66, PDF s. 73-74. Köşeli ayraç içindeki ekleme çevirmenlere aittir.]</w:t>
      </w:r>
    </w:p>
    <w:p>
      <w:pPr>
        <w:pStyle w:val="Dogrulama"/>
        <w:spacing w:after="20" w:line="276"/>
        <w:ind w:left="567"/>
        <w:jc w:val="both"/>
      </w:pPr>
      <w:r>
        <w:rPr>
          <w:rFonts w:ascii="Times New Roman" w:cs="Traditional Arabic" w:eastAsia="Times New Roman" w:hAnsi="Times New Roman"/>
          <w:i/>
          <w:iCs/>
          <w:sz w:val="22"/>
          <w:szCs w:val="22"/>
        </w:rPr>
        <w:t xml:space="preserve">“Eğer bu böyle ise, o zaman görevimiz anlam bilimlerinde hermenoytiği hukuki ve teolojik hermenoytiğe göre yeniden tanımlamaktır.”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68, PDF s. 76. Not: Metin çıkarımında “hennenoytiği” biçiminde bozulan kelime düzeltilerek verilmiştir.]</w:t>
      </w:r>
    </w:p>
    <w:p>
      <w:pPr>
        <w:pStyle w:val="Dogrulama"/>
        <w:spacing w:after="20" w:line="276"/>
        <w:ind w:left="567"/>
        <w:jc w:val="both"/>
      </w:pPr>
      <w:r>
        <w:rPr>
          <w:rFonts w:ascii="Times New Roman" w:cs="Traditional Arabic" w:eastAsia="Times New Roman" w:hAnsi="Times New Roman"/>
          <w:i/>
          <w:iCs/>
          <w:sz w:val="22"/>
          <w:szCs w:val="22"/>
        </w:rPr>
        <w:t xml:space="preserve">“Uygulama, ilkin verili bir kendinde evrenselin anlaşılması, sonra da bunu müteakiben onun somut bir duruma uygulanması demek değildir. Uygulama evrenselin - metnin - anlaşılmasının bizatihi kendisidir.”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111, PDF s. 119. Not: Metin çıkarımında “me tnin” biçiminde bölünen kelime birleştirilmiştir.]</w:t>
      </w:r>
    </w:p>
    <w:p>
      <w:pPr>
        <w:spacing w:after="120" w:line="360"/>
        <w:ind w:firstLine="567"/>
        <w:jc w:val="both"/>
      </w:pPr>
      <w:r>
        <w:rPr>
          <w:rFonts w:ascii="Times New Roman" w:cs="Traditional Arabic" w:eastAsia="Times New Roman" w:hAnsi="Times New Roman"/>
          <w:i w:val="false"/>
          <w:sz w:val="24"/>
          <w:szCs w:val="24"/>
        </w:rPr>
        <w:t xml:space="preserve">Gadamer’in bu çağrısı, İslam ilim geleneğinin usûl birikimi için kayda değer bir imkân sunmaktadır. Çünkü Gadamer’in model olarak gösterdiği şey, sabit bir metnin değişen durumlara tatbiki meselesidir ve bu mesele fıkıh usûlünün tam merkezinde yer almaktadır. Yukarıda ele alınan tahkîku’l-menât, yani bilinen bir ölçütün her yeni vakada gerçekleşip gerçekleşmediğinin ictihadla tespiti, Gadamer’in uygulama kavramının usûl dilindeki bir karşılığı olarak düşünülebilir. Gadamer yargıcın yasayı şimdinin ihtiyaçlarına uyarlarken pratik bir görevi yerine getirdiğini, fakat bu yorumun keyfî bir revizyon olmadığını, burada da anlamanın ve yorumlamanın geçerli anlamı keşfederek bilmek olduğunu söylemektedir.</w:t>
      </w:r>
      <w:r>
        <w:rPr>
          <w:rStyle w:val="FootnoteReference"/>
        </w:rPr>
        <w:footnoteReference w:id="11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Klasik usûlde de ictihad keyfî bir tercih değil, belirli şartları ve ehliyeti gerektiren bir faaliyettir.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“İntikal eden hukuku /yasayı şimdinin ihtiyaçlarına adapte eden yargıç hiç kuşkusuz pratik bir görevi yerine getirmeyi denemektedir; fakat onun hukuku/yasayı yorumu bu nedenle hiçbir suretle keyfi bir revizyon değildir. Yine burada da anlamak ve yorumlamak geçerli anlamı keşfederek bilmektir.”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92-93, PDF s. 100-101]</w:t>
      </w:r>
    </w:p>
    <w:p>
      <w:pPr>
        <w:spacing w:after="120" w:line="360"/>
        <w:ind w:firstLine="567"/>
        <w:jc w:val="both"/>
      </w:pPr>
      <w:r>
        <w:rPr>
          <w:rFonts w:ascii="Times New Roman" w:cs="Traditional Arabic" w:eastAsia="Times New Roman" w:hAnsi="Times New Roman"/>
          <w:i w:val="false"/>
          <w:sz w:val="24"/>
          <w:szCs w:val="24"/>
        </w:rPr>
        <w:t xml:space="preserve">Bununla birlikte iki anlayış arasındaki farklar da en az benzerlikler kadar öğreticidir. Birinci fark önyargıların ayıklanması konusundadır. Gadamer, yorumcunun anlamayı mümkün kılan verimli önyargıları anlamayı engelleyen önyargılardan önceden ayıramayacağını, bu ayırmanın ancak anlama süreci içinde gerçekleşebileceğini söylemektedir.</w:t>
      </w:r>
      <w:r>
        <w:rPr>
          <w:rStyle w:val="FootnoteReference"/>
        </w:rPr>
        <w:footnoteReference w:id="11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tespit doğrudur ve nitel araştırmacının önyargılarını baştan “paranteze alabileceği” iddiasına karşı önemli bir uyarıdır. Ne var ki Gadamer bu sürecin nasıl işleyeceğini büyük ölçüde zamansal mesafeye ve geleneğin kendi hareketine bırakmaktadır. Klasik usûl ise aynı sorunu somut kurumlar ve işlemlerle karşılamıştır. İbn Haldûn’un taraftarlık uyarısı, İbnü’s-Salâh’ın öfke perdesine dair tespiti, iʿtibâr ile bir haberin başka yollardan desteklenip desteklenmediğinin aranması ve münazara ile bir hükmün ilim ehlinin itirazına açılması, verimli ve verimsiz önyargının anlama süreci içinde ayıklanmasının usûlleridir. On ikinci ve on dördüncü bölümler bu usûlleri nitel araştırmanın inandırıcılık önlemleriyle birlikte ele almaktadır.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“Yorumcunun bilincini işgal eden önyargılar ve ön-anlamlar onun özgür tanzimine amade değildir. Yorumcu anlamayı mümkün kılan verimli/ üretici önyargıları, anlamayı engelleyen ve yanlış anlamalara götüren önyargılardan, önceden ayıramaz. Dahası, bu ayırma bizatihi anlama süreci içinde gerçekleşmelidir ve bu yüzden hermenoytik bunun nasıl vukubulduğunu sorgulamalıdır.”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47, PDF s. 55]</w:t>
      </w:r>
    </w:p>
    <w:p>
      <w:pPr>
        <w:spacing w:after="120" w:line="360"/>
        <w:ind w:firstLine="567"/>
        <w:jc w:val="both"/>
      </w:pPr>
      <w:r>
        <w:rPr>
          <w:rFonts w:ascii="Times New Roman" w:cs="Traditional Arabic" w:eastAsia="Times New Roman" w:hAnsi="Times New Roman"/>
          <w:i w:val="false"/>
          <w:sz w:val="24"/>
          <w:szCs w:val="24"/>
        </w:rPr>
        <w:t xml:space="preserve">İkinci fark hakikat ve nakil konusundadır. Gadamer’de gelenek, tarihin etkisi altında sürekli yeniden şekillenen bir olaydır ve anlamın doğruluğu bu olayın içinde belirmektedir. İslam ilim geleneğinde ise nakil, bir isnad zinciriyle ve her halkasında denetlenen bir usûlle korunmuştur. Gelenek yalnızca etkisi altında bulunulan bir şey değil, aynı zamanda tenkit edilen ve doğrulanan bir şeydir. Tahkîk paradigmasının hermenötik gelenekten ayrıldığı nokta budur. Tahkîk paradigması anlamanın tarihselliğini ve araştırmacının bir gelenek içinden konuştuğunu kabul etmekte, fakat bu kabulü hakikat sorusunun askıya alınmasına değil, usûlüne uygun bir tenkit ve tahkîk görevine bağlamaktadır.</w:t>
      </w:r>
    </w:p>
    <w:p>
      <w:pPr>
        <w:spacing w:after="120" w:line="360"/>
        <w:ind w:firstLine="567"/>
        <w:jc w:val="both"/>
      </w:pPr>
      <w:r>
        <w:rPr>
          <w:rFonts w:ascii="Times New Roman" w:cs="Traditional Arabic" w:eastAsia="Times New Roman" w:hAnsi="Times New Roman"/>
          <w:i w:val="false"/>
          <w:sz w:val="24"/>
          <w:szCs w:val="24"/>
        </w:rPr>
        <w:t xml:space="preserve">Üçüncü fark yorumcunun metin karşısındaki tavrına dairdir. Gadamer hermenötiğin bir egemenlik değil hizmet olduğunu, kendimizi metnin iddiasına tabi kılmaktan ibaret olduğunu, bunun hakiki modelinin de hukuki ve teolojik hermenötik olduğunu belirtmektedir.</w:t>
      </w:r>
      <w:r>
        <w:rPr>
          <w:rStyle w:val="FootnoteReference"/>
        </w:rPr>
        <w:footnoteReference w:id="11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tespit, klasik gelenekte nassın karşısında müfessirin ve fakihin tavrıyla dikkat çekici bir yakınlık taşımaktadır. Ancak nitel araştırmacının karşısındaki “metin” vahiy değil, insanların anlatımlarıdır. Kanaatimizce Gadamer’in hizmet kavramı nitel araştırmaya şu şekilde taşınabilir: Araştırmacı katılımcının sözüne egemen olmak için değil, onu anlamak ve sadakatle aktarmak için yaklaşmalıdır. Klasik usûlün emanet kavramı da tam olarak bunu ifade etmektedir.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“Filoloji ve tarihsel bilimler alanında hermenoytik”egemenlik/üstünlük olarak bilgi” - yani ele geçirme olarak kendine maletme - değildir; tersine hermenoytik kendimizi, zihinlerimize egemen olması için metnin iddiasına tabi kılmaktan ibarettir. Fakat bunun hakiki modeli hukuki ve teolojik hermenoytiktir. Yasanın iradesini ya da Tanrı’nın vaadlerini yorumlamak kesinlikle bir egemenlik formu değil, hizmet formudur.”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69, PDF s. 77. Not: “egemenlik/üstünlük olarak bilgi” ifadesi dipnotla Max Scheler’e bağlanmaktadır; ifade Scheler’in terimi, görüş Gadamer’indir. Dipnot işareti alıntıda gösterilmemiştir.]</w:t>
      </w:r>
    </w:p>
    <w:p>
      <w:pPr>
        <w:spacing w:after="120" w:line="360"/>
        <w:ind w:firstLine="567"/>
        <w:jc w:val="both"/>
      </w:pPr>
      <w:r>
        <w:rPr>
          <w:rFonts w:ascii="Times New Roman" w:cs="Traditional Arabic" w:eastAsia="Times New Roman" w:hAnsi="Times New Roman"/>
          <w:i w:val="false"/>
          <w:sz w:val="24"/>
          <w:szCs w:val="24"/>
        </w:rPr>
        <w:t xml:space="preserve">Pozitivist ve postpozitivist anlayışlarla tahkîk paradigmasının ortak noktası hakikate yönelmektir. Her iki anlayış da araştırmacının bir şeyi doğru ya da yanlış anlayabileceğini kabul etmekte ve yanılgıyı azaltacak usûl önlemlerini önemsemektedir. Ayrılık ise bilginin kaynakları ve araştırmacının konumu konusundadır. Pozitivizm iç hâlleri ve anlamı ya dışarıda bırakmakta ya da ölçülebilir göstergelere indirgemektedir. Tahkîk paradigması ise iç hâlin beyan yoluyla bilinebileceğini kabul etmekte, fakat bu bilginin derecesini ve kaydını açıkça belirlemektedir. Pozitivizm araştırmacıyı nötr bir gözlemci olarak tasavvur ederken, tahkîk paradigması onu ehliyeti ve ahlakı sorgulanan bir müctehid olarak görmektedir.</w:t>
      </w:r>
    </w:p>
    <w:p>
      <w:pPr>
        <w:spacing w:after="120" w:line="360"/>
        <w:ind w:firstLine="567"/>
        <w:jc w:val="both"/>
      </w:pPr>
      <w:r>
        <w:rPr>
          <w:rFonts w:ascii="Times New Roman" w:cs="Traditional Arabic" w:eastAsia="Times New Roman" w:hAnsi="Times New Roman"/>
          <w:i w:val="false"/>
          <w:sz w:val="24"/>
          <w:szCs w:val="24"/>
        </w:rPr>
        <w:t xml:space="preserve">Eleştirel ve dönüştürücü paradigmalarla ortak nokta, araştırmanın değerden bağımsız olmadığı ve adalet kaygısı taşıması gerektiğidir. Tahkîk paradigmasında da araştırma bir emanettir ve zayıfı, çocuğu, sesi duyulmayanı gözetmek araştırmacının ahlaki yükümlülükleri arasındadır. Ayrılık noktası ise araştırmanın amacındadır. Eleştirel paradigmalar araştırmayı çoğu zaman önceden belirlenmiş bir dönüşüm hedefinin aracı olarak tasarlamaktadır. Tahkîk paradigması ise betimleme ile değerlendirmeyi birbirinden ayırmayı şart koşmaktadır. Olanı tespit etmek ile olması gerekeni söylemek meşru iki faaliyettir, fakat hangi cümlenin tespit hangisinin hüküm olduğu raporda açıkça gösterilmelidir.</w:t>
      </w:r>
    </w:p>
    <w:p>
      <w:pPr>
        <w:spacing w:after="120" w:line="360"/>
        <w:ind w:firstLine="567"/>
        <w:jc w:val="both"/>
      </w:pPr>
      <w:r>
        <w:rPr>
          <w:rFonts w:ascii="Times New Roman" w:cs="Traditional Arabic" w:eastAsia="Times New Roman" w:hAnsi="Times New Roman"/>
          <w:i w:val="false"/>
          <w:sz w:val="24"/>
          <w:szCs w:val="24"/>
        </w:rPr>
        <w:t xml:space="preserve">Pragmatist paradigma ile ortak nokta, bilginin amel ile irtibatıdır. Klasik gelenekte ilmin amele yönelmesi temel bir ilkedir ve din eğitimi araştırmasının nihai amacı öğretimi ve terbiyeyi iyileştirmektir. On beşinci bölümde ele alınan karma yöntem anlayışı da bu ortaklık zemininde değerlendirilmektedir. Ayrılık ise doğruluk ölçütündedir. Pragmatizmde işe yarayan, doğruluğun ölçütü olarak öne çıkabilmektedir. Tahkîk paradigmasında ise bir bilginin faydası onun doğruluğuna delil değildir. Fayda, doğruluğu usûlüne uygun olarak tespit edilmiş bir bilginin kullanılma gerekçesidir.</w:t>
      </w:r>
    </w:p>
    <w:p>
      <w:pPr>
        <w:keepNext/>
        <w:spacing w:after="80" w:before="200"/>
      </w:pPr>
      <w:r>
        <w:rPr>
          <w:rFonts w:ascii="Times New Roman" w:cs="Traditional Arabic" w:eastAsia="Times New Roman" w:hAnsi="Times New Roman"/>
          <w:b/>
          <w:bCs/>
          <w:i w:val="false"/>
          <w:sz w:val="22"/>
          <w:szCs w:val="22"/>
        </w:rPr>
        <w:t xml:space="preserve">Tablo 3.2. Tahkîk paradigmasının Batı paradigmalarıyla mukayesesi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1511"/>
        <w:gridCol w:w="1511"/>
        <w:gridCol w:w="1511"/>
        <w:gridCol w:w="1511"/>
        <w:gridCol w:w="1511"/>
        <w:gridCol w:w="1511"/>
      </w:tblGrid>
      <w:tr>
        <w:trPr>
          <w:cantSplit/>
          <w:tblHeader/>
        </w:trPr>
        <w:tc>
          <w:tcPr>
            <w:tcW w:type="dxa" w:w="151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Soru</w:t>
            </w:r>
          </w:p>
        </w:tc>
        <w:tc>
          <w:tcPr>
            <w:tcW w:type="dxa" w:w="151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Pozitivist ve postpozitivist</w:t>
            </w:r>
          </w:p>
        </w:tc>
        <w:tc>
          <w:tcPr>
            <w:tcW w:type="dxa" w:w="151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Yorumlayıcı ve inşacı</w:t>
            </w:r>
          </w:p>
        </w:tc>
        <w:tc>
          <w:tcPr>
            <w:tcW w:type="dxa" w:w="151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Eleştirel ve dönüştürücü</w:t>
            </w:r>
          </w:p>
        </w:tc>
        <w:tc>
          <w:tcPr>
            <w:tcW w:type="dxa" w:w="151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Pragmatist</w:t>
            </w:r>
          </w:p>
        </w:tc>
        <w:tc>
          <w:tcPr>
            <w:tcW w:type="dxa" w:w="151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Tahkîk paradigması</w:t>
            </w:r>
          </w:p>
        </w:tc>
      </w:tr>
      <w:tr>
        <w:trPr>
          <w:cantSplit/>
        </w:trPr>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Varlık</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Gözlenebilen ve ölçülebilen gerçeklik</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Sosyal olarak inşa edilen çoklu gerçeklikler</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Güç ilişkileriyle biçimlenen gerçeklik</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Sorunun çözümüne göre ele alınan gerçeklik</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Nefsü’l-emr vardır; insanın iç hâli ve anlamı da bu hakikatin parçasıdır</w:t>
            </w:r>
          </w:p>
        </w:tc>
      </w:tr>
      <w:tr>
        <w:trPr>
          <w:cantSplit/>
        </w:trPr>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Bilgi</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Doğrulanabilen ya da yanlışlanabilen önerme</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Katılımcıyla birlikte kurulan yorum</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Bilinç yükseltme ve özgürleşme bilgisi</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İşe yarayan bilgi</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ʿİyân, haber ve nazar; iki kayıt ilkesi; dereceli kesinlik</w:t>
            </w:r>
          </w:p>
        </w:tc>
      </w:tr>
      <w:tr>
        <w:trPr>
          <w:cantSplit/>
        </w:trPr>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Yöntem</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Ölçme, deney, istatistik</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gözlem, hermenötik yorum</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 ve eylem odaklı yöntemler</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Soruya göre karma yöntem</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Dört kutuplu mimari; istikrâ, tahkîku’l-menât, sebr ve taksîm</w:t>
            </w:r>
          </w:p>
        </w:tc>
      </w:tr>
      <w:tr>
        <w:trPr>
          <w:cantSplit/>
        </w:trPr>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Nötr gözlemci</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Anlamın ortak kurucusu</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Değişimin savunucusu</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Sorun çözücü</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Ehliyeti ve ahlakı yöntemin parçası olan müstesmir</w:t>
            </w:r>
          </w:p>
        </w:tc>
      </w:tr>
      <w:tr>
        <w:trPr>
          <w:cantSplit/>
        </w:trPr>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Geçerlik ölçütü</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İç ve dış geçerlik, güvenirlik</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İnandırıcılık ve aktarılabilirlik</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Dönüştürücü etki</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Sonuçların işe yaraması</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Adalet ve zabt, iʿtibâr, illet araştırması, münazaraya açıklık</w:t>
            </w:r>
          </w:p>
        </w:tc>
      </w:tr>
      <w:tr>
        <w:trPr>
          <w:cantSplit/>
        </w:trPr>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Değer</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Değerden bağımsızlık iddiası</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Değerlerin kabulü ve beyanı</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Adalet ve güçlendirme</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Fayda</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Niyet, emanet, betimleme ile hükmün ayrılması</w:t>
            </w:r>
          </w:p>
        </w:tc>
      </w:tr>
    </w:tbl>
    <w:p>
      <w:pPr>
        <w:spacing w:after="160"/>
      </w:pPr>
    </w:p>
    <w:p>
      <w:pPr>
        <w:spacing w:after="120" w:line="360"/>
        <w:ind w:firstLine="567"/>
        <w:jc w:val="both"/>
      </w:pPr>
      <w:r>
        <w:rPr>
          <w:rFonts w:ascii="Times New Roman" w:cs="Traditional Arabic" w:eastAsia="Times New Roman" w:hAnsi="Times New Roman"/>
          <w:i w:val="false"/>
          <w:sz w:val="24"/>
          <w:szCs w:val="24"/>
        </w:rPr>
        <w:t xml:space="preserve">Tablo, her paradigmayı kaçınılmaz olarak basitleştirmektedir. Bu basitleştirmenin amacı Batı paradigmalarını tek tek çürütmek değil, tahkîk paradigmasının nerede durduğunu görünür kılmaktır. Kanaatimizce tahkîk paradigmasının özgün katkısı üç noktada toplanmaktadır. Birincisi, gerçekçi bir varlık anlayışı ile ihtiyatlı ve dereceli bir bilgi anlayışını, İbnü’s-Salâh’ın sahih ile nefsü’l-emr arasında kurduğu ayrım üzerinden bir arada tutabilmesidir. İkincisi, iki kayıt ilkesi sayesinde klasik haber tenkidi ile modern nitel araştırma arasındaki gerilimi zorlama benzetmelerle değil, verinin okunduğu kayda göre çözebilmesidir. Üçüncüsü, araştırmacının ehliyetini ve ahlakını yöntemin dışında bir etik eklentisi olarak değil, yöntemin dört kutbundan biri olarak konumlandırabilmesidir.</w:t>
      </w:r>
    </w:p>
    <w:p>
      <w:pPr>
        <w:pStyle w:val="Heading2"/>
        <w:keepNext/>
        <w:spacing w:after="120" w:before="240"/>
      </w:pPr>
      <w:r>
        <w:rPr>
          <w:rFonts w:ascii="Times New Roman" w:cs="Traditional Arabic" w:eastAsia="Times New Roman" w:hAnsi="Times New Roman"/>
          <w:b/>
          <w:bCs/>
          <w:i w:val="false"/>
          <w:sz w:val="24"/>
          <w:szCs w:val="24"/>
        </w:rPr>
        <w:t xml:space="preserve">3.9. Tahkîk Paradigmasının İlkeleri</w:t>
      </w:r>
    </w:p>
    <w:p>
      <w:pPr>
        <w:spacing w:after="120" w:line="360"/>
        <w:ind w:firstLine="567"/>
        <w:jc w:val="both"/>
      </w:pPr>
      <w:r>
        <w:rPr>
          <w:rFonts w:ascii="Times New Roman" w:cs="Traditional Arabic" w:eastAsia="Times New Roman" w:hAnsi="Times New Roman"/>
          <w:i w:val="false"/>
          <w:sz w:val="24"/>
          <w:szCs w:val="24"/>
        </w:rPr>
        <w:t xml:space="preserve">Bu bölümde ortaya konan anlayış, kitabın geri kalanında uygulanacak on ilke hâlinde özetlenebilir.</w:t>
      </w:r>
    </w:p>
    <w:p>
      <w:pPr>
        <w:spacing w:after="80" w:line="360"/>
        <w:ind w:left="567" w:hanging="283"/>
        <w:jc w:val="both"/>
      </w:pPr>
      <w:r>
        <w:rPr>
          <w:rFonts w:ascii="Times New Roman" w:cs="Traditional Arabic" w:eastAsia="Times New Roman" w:hAnsi="Times New Roman"/>
          <w:i w:val="false"/>
          <w:sz w:val="24"/>
          <w:szCs w:val="24"/>
        </w:rPr>
        <w:t xml:space="preserve">1. </w:t>
      </w:r>
      <w:r>
        <w:rPr>
          <w:rFonts w:ascii="Times New Roman" w:cs="Traditional Arabic" w:eastAsia="Times New Roman" w:hAnsi="Times New Roman"/>
          <w:b/>
          <w:bCs/>
          <w:i w:val="false"/>
          <w:sz w:val="24"/>
          <w:szCs w:val="24"/>
        </w:rPr>
        <w:t xml:space="preserve">Hakikat ilkesi.</w:t>
      </w:r>
      <w:r>
        <w:rPr>
          <w:rFonts w:ascii="Times New Roman" w:cs="Traditional Arabic" w:eastAsia="Times New Roman" w:hAnsi="Times New Roman"/>
          <w:i w:val="false"/>
          <w:sz w:val="24"/>
          <w:szCs w:val="24"/>
        </w:rPr>
        <w:t xml:space="preserve"> Araştırmacının hükmünden bağımsız bir nefsü’l-emr vardır. İnsanın iç hâlleri ve yaşadığı anlam da bu hakikatin parçasıdır.</w:t>
      </w:r>
    </w:p>
    <w:p>
      <w:pPr>
        <w:spacing w:after="80" w:line="360"/>
        <w:ind w:left="567" w:hanging="283"/>
        <w:jc w:val="both"/>
      </w:pPr>
      <w:r>
        <w:rPr>
          <w:rFonts w:ascii="Times New Roman" w:cs="Traditional Arabic" w:eastAsia="Times New Roman" w:hAnsi="Times New Roman"/>
          <w:i w:val="false"/>
          <w:sz w:val="24"/>
          <w:szCs w:val="24"/>
        </w:rPr>
        <w:t xml:space="preserve">2. </w:t>
      </w:r>
      <w:r>
        <w:rPr>
          <w:rFonts w:ascii="Times New Roman" w:cs="Traditional Arabic" w:eastAsia="Times New Roman" w:hAnsi="Times New Roman"/>
          <w:b/>
          <w:bCs/>
          <w:i w:val="false"/>
          <w:sz w:val="24"/>
          <w:szCs w:val="24"/>
        </w:rPr>
        <w:t xml:space="preserve">Usûlî hüküm ilkesi.</w:t>
      </w:r>
      <w:r>
        <w:rPr>
          <w:rFonts w:ascii="Times New Roman" w:cs="Traditional Arabic" w:eastAsia="Times New Roman" w:hAnsi="Times New Roman"/>
          <w:i w:val="false"/>
          <w:sz w:val="24"/>
          <w:szCs w:val="24"/>
        </w:rPr>
        <w:t xml:space="preserve"> Araştırmanın hükmü usûle bağlı bir hükümdür. “Bulgu budur” demek “hakikat budur” demek değildir. “Bulgu desteklemiyor” demek de “yanlıştır” demek değildir.</w:t>
      </w:r>
    </w:p>
    <w:p>
      <w:pPr>
        <w:spacing w:after="80" w:line="360"/>
        <w:ind w:left="567" w:hanging="283"/>
        <w:jc w:val="both"/>
      </w:pPr>
      <w:r>
        <w:rPr>
          <w:rFonts w:ascii="Times New Roman" w:cs="Traditional Arabic" w:eastAsia="Times New Roman" w:hAnsi="Times New Roman"/>
          <w:i w:val="false"/>
          <w:sz w:val="24"/>
          <w:szCs w:val="24"/>
        </w:rPr>
        <w:t xml:space="preserve">3. </w:t>
      </w:r>
      <w:r>
        <w:rPr>
          <w:rFonts w:ascii="Times New Roman" w:cs="Traditional Arabic" w:eastAsia="Times New Roman" w:hAnsi="Times New Roman"/>
          <w:b/>
          <w:bCs/>
          <w:i w:val="false"/>
          <w:sz w:val="24"/>
          <w:szCs w:val="24"/>
        </w:rPr>
        <w:t xml:space="preserve">İki kayıt ilkesi.</w:t>
      </w:r>
      <w:r>
        <w:rPr>
          <w:rFonts w:ascii="Times New Roman" w:cs="Traditional Arabic" w:eastAsia="Times New Roman" w:hAnsi="Times New Roman"/>
          <w:i w:val="false"/>
          <w:sz w:val="24"/>
          <w:szCs w:val="24"/>
        </w:rPr>
        <w:t xml:space="preserve"> Katılımcının beyanı ya anlamın kaydı ya da vâkıaya dair bir iddia olarak okunur. Birinci kayıtta beyan anlaşılır, ikinci kayıtta mutabakatı aranır. İki kayıt arasındaki her geçiş gerekçelendirilir.</w:t>
      </w:r>
    </w:p>
    <w:p>
      <w:pPr>
        <w:spacing w:after="80" w:line="360"/>
        <w:ind w:left="567" w:hanging="283"/>
        <w:jc w:val="both"/>
      </w:pPr>
      <w:r>
        <w:rPr>
          <w:rFonts w:ascii="Times New Roman" w:cs="Traditional Arabic" w:eastAsia="Times New Roman" w:hAnsi="Times New Roman"/>
          <w:i w:val="false"/>
          <w:sz w:val="24"/>
          <w:szCs w:val="24"/>
        </w:rPr>
        <w:t xml:space="preserve">4. </w:t>
      </w:r>
      <w:r>
        <w:rPr>
          <w:rFonts w:ascii="Times New Roman" w:cs="Traditional Arabic" w:eastAsia="Times New Roman" w:hAnsi="Times New Roman"/>
          <w:b/>
          <w:bCs/>
          <w:i w:val="false"/>
          <w:sz w:val="24"/>
          <w:szCs w:val="24"/>
        </w:rPr>
        <w:t xml:space="preserve">Dereceli kesinlik ilkesi.</w:t>
      </w:r>
      <w:r>
        <w:rPr>
          <w:rFonts w:ascii="Times New Roman" w:cs="Traditional Arabic" w:eastAsia="Times New Roman" w:hAnsi="Times New Roman"/>
          <w:i w:val="false"/>
          <w:sz w:val="24"/>
          <w:szCs w:val="24"/>
        </w:rPr>
        <w:t xml:space="preserve"> Nitel bulgular yakîn değil, usûlüne uygun temellendirilmiş kanaat ifade eder. Raporun dili bu dereceyi yansıtır.</w:t>
      </w:r>
    </w:p>
    <w:p>
      <w:pPr>
        <w:spacing w:after="80" w:line="360"/>
        <w:ind w:left="567" w:hanging="283"/>
        <w:jc w:val="both"/>
      </w:pPr>
      <w:r>
        <w:rPr>
          <w:rFonts w:ascii="Times New Roman" w:cs="Traditional Arabic" w:eastAsia="Times New Roman" w:hAnsi="Times New Roman"/>
          <w:i w:val="false"/>
          <w:sz w:val="24"/>
          <w:szCs w:val="24"/>
        </w:rPr>
        <w:t xml:space="preserve">5. </w:t>
      </w:r>
      <w:r>
        <w:rPr>
          <w:rFonts w:ascii="Times New Roman" w:cs="Traditional Arabic" w:eastAsia="Times New Roman" w:hAnsi="Times New Roman"/>
          <w:b/>
          <w:bCs/>
          <w:i w:val="false"/>
          <w:sz w:val="24"/>
          <w:szCs w:val="24"/>
        </w:rPr>
        <w:t xml:space="preserve">Müstesmir ilkesi.</w:t>
      </w:r>
      <w:r>
        <w:rPr>
          <w:rFonts w:ascii="Times New Roman" w:cs="Traditional Arabic" w:eastAsia="Times New Roman" w:hAnsi="Times New Roman"/>
          <w:i w:val="false"/>
          <w:sz w:val="24"/>
          <w:szCs w:val="24"/>
        </w:rPr>
        <w:t xml:space="preserve"> Araştırmacı yöntemin içindedir. Ehliyeti, konumu, niyeti ve duyguları raporda beyan edilir.</w:t>
      </w:r>
    </w:p>
    <w:p>
      <w:pPr>
        <w:spacing w:after="80" w:line="360"/>
        <w:ind w:left="567" w:hanging="283"/>
        <w:jc w:val="both"/>
      </w:pPr>
      <w:r>
        <w:rPr>
          <w:rFonts w:ascii="Times New Roman" w:cs="Traditional Arabic" w:eastAsia="Times New Roman" w:hAnsi="Times New Roman"/>
          <w:i w:val="false"/>
          <w:sz w:val="24"/>
          <w:szCs w:val="24"/>
        </w:rPr>
        <w:t xml:space="preserve">6. </w:t>
      </w:r>
      <w:r>
        <w:rPr>
          <w:rFonts w:ascii="Times New Roman" w:cs="Traditional Arabic" w:eastAsia="Times New Roman" w:hAnsi="Times New Roman"/>
          <w:b/>
          <w:bCs/>
          <w:i w:val="false"/>
          <w:sz w:val="24"/>
          <w:szCs w:val="24"/>
        </w:rPr>
        <w:t xml:space="preserve">Adalet ve zabt ilkesi.</w:t>
      </w:r>
      <w:r>
        <w:rPr>
          <w:rFonts w:ascii="Times New Roman" w:cs="Traditional Arabic" w:eastAsia="Times New Roman" w:hAnsi="Times New Roman"/>
          <w:i w:val="false"/>
          <w:sz w:val="24"/>
          <w:szCs w:val="24"/>
        </w:rPr>
        <w:t xml:space="preserve"> Araştırmacı duymadığını duymuş, görmediğini görmüş gibi yazmaz. Kayıtlarını titizlikle tutar ve denetime açık bırakır.</w:t>
      </w:r>
    </w:p>
    <w:p>
      <w:pPr>
        <w:spacing w:after="80" w:line="360"/>
        <w:ind w:left="567" w:hanging="283"/>
        <w:jc w:val="both"/>
      </w:pPr>
      <w:r>
        <w:rPr>
          <w:rFonts w:ascii="Times New Roman" w:cs="Traditional Arabic" w:eastAsia="Times New Roman" w:hAnsi="Times New Roman"/>
          <w:i w:val="false"/>
          <w:sz w:val="24"/>
          <w:szCs w:val="24"/>
        </w:rPr>
        <w:t xml:space="preserve">7. </w:t>
      </w:r>
      <w:r>
        <w:rPr>
          <w:rFonts w:ascii="Times New Roman" w:cs="Traditional Arabic" w:eastAsia="Times New Roman" w:hAnsi="Times New Roman"/>
          <w:b/>
          <w:bCs/>
          <w:i w:val="false"/>
          <w:sz w:val="24"/>
          <w:szCs w:val="24"/>
        </w:rPr>
        <w:t xml:space="preserve">İstikrâ ilkesi.</w:t>
      </w:r>
      <w:r>
        <w:rPr>
          <w:rFonts w:ascii="Times New Roman" w:cs="Traditional Arabic" w:eastAsia="Times New Roman" w:hAnsi="Times New Roman"/>
          <w:i w:val="false"/>
          <w:sz w:val="24"/>
          <w:szCs w:val="24"/>
        </w:rPr>
        <w:t xml:space="preserve"> Temalar tek bir çarpıcı anlatıma değil, farklı kaynaklardan gelen işaretlerin birikimine dayanır. Temaya uymayan durumlar ayrıca incelenir.</w:t>
      </w:r>
    </w:p>
    <w:p>
      <w:pPr>
        <w:spacing w:after="80" w:line="360"/>
        <w:ind w:left="567" w:hanging="283"/>
        <w:jc w:val="both"/>
      </w:pPr>
      <w:r>
        <w:rPr>
          <w:rFonts w:ascii="Times New Roman" w:cs="Traditional Arabic" w:eastAsia="Times New Roman" w:hAnsi="Times New Roman"/>
          <w:i w:val="false"/>
          <w:sz w:val="24"/>
          <w:szCs w:val="24"/>
        </w:rPr>
        <w:t xml:space="preserve">8. </w:t>
      </w:r>
      <w:r>
        <w:rPr>
          <w:rFonts w:ascii="Times New Roman" w:cs="Traditional Arabic" w:eastAsia="Times New Roman" w:hAnsi="Times New Roman"/>
          <w:b/>
          <w:bCs/>
          <w:i w:val="false"/>
          <w:sz w:val="24"/>
          <w:szCs w:val="24"/>
        </w:rPr>
        <w:t xml:space="preserve">Sebr ve taksîm ilkesi.</w:t>
      </w:r>
      <w:r>
        <w:rPr>
          <w:rFonts w:ascii="Times New Roman" w:cs="Traditional Arabic" w:eastAsia="Times New Roman" w:hAnsi="Times New Roman"/>
          <w:i w:val="false"/>
          <w:sz w:val="24"/>
          <w:szCs w:val="24"/>
        </w:rPr>
        <w:t xml:space="preserve"> Bir açıklama, akla gelebilecek rakip açıklamalar gücü ölçüsünde sınanmadan benimsenmez. Birlikte görülmek sebep olmak demek değildir.</w:t>
      </w:r>
    </w:p>
    <w:p>
      <w:pPr>
        <w:spacing w:after="80" w:line="360"/>
        <w:ind w:left="567" w:hanging="283"/>
        <w:jc w:val="both"/>
      </w:pPr>
      <w:r>
        <w:rPr>
          <w:rFonts w:ascii="Times New Roman" w:cs="Traditional Arabic" w:eastAsia="Times New Roman" w:hAnsi="Times New Roman"/>
          <w:i w:val="false"/>
          <w:sz w:val="24"/>
          <w:szCs w:val="24"/>
        </w:rPr>
        <w:t xml:space="preserve">9. </w:t>
      </w:r>
      <w:r>
        <w:rPr>
          <w:rFonts w:ascii="Times New Roman" w:cs="Traditional Arabic" w:eastAsia="Times New Roman" w:hAnsi="Times New Roman"/>
          <w:b/>
          <w:bCs/>
          <w:i w:val="false"/>
          <w:sz w:val="24"/>
          <w:szCs w:val="24"/>
        </w:rPr>
        <w:t xml:space="preserve">Münazara ilkesi.</w:t>
      </w:r>
      <w:r>
        <w:rPr>
          <w:rFonts w:ascii="Times New Roman" w:cs="Traditional Arabic" w:eastAsia="Times New Roman" w:hAnsi="Times New Roman"/>
          <w:i w:val="false"/>
          <w:sz w:val="24"/>
          <w:szCs w:val="24"/>
        </w:rPr>
        <w:t xml:space="preserve"> Araştırmacı hakkın kendi eliyle değil, hasmının eliyle de ortaya çıkmasına razıdır. Eleştiri ise şâhidle, yani delille yapılır.</w:t>
      </w:r>
    </w:p>
    <w:p>
      <w:pPr>
        <w:spacing w:after="80" w:line="360"/>
        <w:ind w:left="567" w:hanging="283"/>
        <w:jc w:val="both"/>
      </w:pPr>
      <w:r>
        <w:rPr>
          <w:rFonts w:ascii="Times New Roman" w:cs="Traditional Arabic" w:eastAsia="Times New Roman" w:hAnsi="Times New Roman"/>
          <w:i w:val="false"/>
          <w:sz w:val="24"/>
          <w:szCs w:val="24"/>
        </w:rPr>
        <w:t xml:space="preserve">10. </w:t>
      </w:r>
      <w:r>
        <w:rPr>
          <w:rFonts w:ascii="Times New Roman" w:cs="Traditional Arabic" w:eastAsia="Times New Roman" w:hAnsi="Times New Roman"/>
          <w:b/>
          <w:bCs/>
          <w:i w:val="false"/>
          <w:sz w:val="24"/>
          <w:szCs w:val="24"/>
        </w:rPr>
        <w:t xml:space="preserve">Emanet ilkesi.</w:t>
      </w:r>
      <w:r>
        <w:rPr>
          <w:rFonts w:ascii="Times New Roman" w:cs="Traditional Arabic" w:eastAsia="Times New Roman" w:hAnsi="Times New Roman"/>
          <w:i w:val="false"/>
          <w:sz w:val="24"/>
          <w:szCs w:val="24"/>
        </w:rPr>
        <w:t xml:space="preserve"> Katılımcının sözü, sırrı ve güveni emanettir. Betimleme ile değerlendirme birbirinden ayrılır, değerlendirme kendi gerekçesiyle ayrı bir cümlede söylenir.</w:t>
      </w:r>
    </w:p>
    <w:p>
      <w:pPr>
        <w:pStyle w:val="Heading2"/>
        <w:keepNext/>
        <w:spacing w:after="120" w:before="240"/>
      </w:pPr>
      <w:r>
        <w:rPr>
          <w:rFonts w:ascii="Times New Roman" w:cs="Traditional Arabic" w:eastAsia="Times New Roman" w:hAnsi="Times New Roman"/>
          <w:b/>
          <w:bCs/>
          <w:i w:val="false"/>
          <w:sz w:val="24"/>
          <w:szCs w:val="24"/>
        </w:rPr>
        <w:t xml:space="preserve">3.10. Din Eğitimi Uygulaması: Bir Araştırma Önerisinin Dört Kutupla Denetimi</w:t>
      </w:r>
    </w:p>
    <w:p>
      <w:pPr>
        <w:spacing w:after="120" w:line="360"/>
        <w:ind w:firstLine="567"/>
        <w:jc w:val="both"/>
      </w:pPr>
      <w:r>
        <w:rPr>
          <w:rFonts w:ascii="Times New Roman" w:cs="Traditional Arabic" w:eastAsia="Times New Roman" w:hAnsi="Times New Roman"/>
          <w:i w:val="false"/>
          <w:sz w:val="24"/>
          <w:szCs w:val="24"/>
        </w:rPr>
        <w:t xml:space="preserve">Dört kutuplu mimari, bir araştırma önerisini yazarken ya da değerlendirirken bir denetim listesi olarak kullanılabilir. Aşağıdaki kurgusal örnek bu kullanımı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“İmam hatip ortaokulu öğrencilerinin hafızlık tecrübesi” başlıklı bir önerinin denetimi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Semere sorusu: Öneri, “hafızlık eğitiminin öğrencilerin dinî kimliğini güçlendirdiğini ortaya koymayı” amaçladığını yazmaktadır. Bu ifade, ikinci kayıtta bir etki iddiası taşımakta ve sonucu baştan belirlemektedir. Denetimden sonra amaç şöyle yeniden yazılmıştır: “Hafızlık eğitimine devam eden öğrencilerin bu süreci nasıl tecrübe ettiklerini ve ona hangi anlamları yüklediklerini anlamak.” Yeni ifade birinci kayıttadır ve sonucu katılımcıların anlatımına bırakmaktadır.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Müsmir sorusu: Öneri yalnızca hafızlığını başarıyla sürdüren öğrencilerle görüşmeyi planlamaktadır. Şâtıbî’nin amaçları farklı deliller kaydı hatırlanarak örnekleme hafızlığı yarıda bırakan öğrenciler, öğrencilerin hocaları ve velileri de eklenmiştir.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İstismâr sorusu: Öneride analiz “içerik analizi yapılacaktır” cümlesinden ibarettir. Denetimden sonra kodlama kararlarının gerekçesiyle bir analiz günlüğüne kaydedileceği, kategorilerin kuşatıcılık ve karışmama şartlarıyla sınanacağı ve öğrencilerin hafızlığı bırakmasına dair her açıklamada rakip açıklamaların da ayrıca değerlendirileceği yazılmıştır.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Müstesmir sorusu: Araştırmacı kendisinin de hafız olduğunu ve hafızlık sürecini kendi hayatının en anlamlı dönemi olarak gördüğünü öneride beyan etmektedir. Bu beyan bir eksiklik olarak değil, yorumun nasıl etkilenebileceğini gösteren bir bilgi olarak raporda yer alacaktır. Temaların, hafızlık tecrübesi bulunmayan ve nitel yöntemlerde deneyimli bir meslektaşla birlikte gözden geçirilmesi planlanmıştır.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 dört kutbun bir araştırmanın farklı aşamalarını birbirine bağladığını göstermektedir. Semere sorusundaki değişiklik müsmir sorusunu, müsmir sorusundaki değişiklik istismâr sorusunu, araştırmacının konumu ise bütün aşamaları etkilemektedir. Kitabın geri kalan bölümleri bu dört kutbun her birini nitel araştırmanın somut işlemleri üzerinden ayrıntılandırmaktadır.</w:t>
      </w:r>
    </w:p>
    <w:p>
      <w:pPr>
        <w:pageBreakBefore/>
        <w:spacing w:after="120" w:before="600"/>
        <w:jc w:val="center"/>
      </w:pPr>
      <w:r>
        <w:rPr>
          <w:rFonts w:ascii="Times New Roman" w:cs="Traditional Arabic" w:eastAsia="Times New Roman" w:hAnsi="Times New Roman"/>
          <w:b/>
          <w:bCs/>
          <w:i w:val="false"/>
          <w:color w:val="595959"/>
          <w:sz w:val="22"/>
          <w:szCs w:val="22"/>
        </w:rPr>
        <w:t xml:space="preserve">DÖRDÜNCÜ BÖLÜM</w:t>
      </w:r>
    </w:p>
    <w:p>
      <w:pPr>
        <w:pStyle w:val="Heading1"/>
        <w:spacing w:after="360"/>
        <w:jc w:val="center"/>
      </w:pPr>
      <w:r>
        <w:rPr>
          <w:rFonts w:ascii="Times New Roman" w:cs="Traditional Arabic" w:eastAsia="Times New Roman" w:hAnsi="Times New Roman"/>
          <w:b/>
          <w:bCs/>
          <w:i w:val="false"/>
          <w:color w:val="1F3864"/>
          <w:sz w:val="28"/>
          <w:szCs w:val="28"/>
        </w:rPr>
        <w:t xml:space="preserve">4. Nitel Araştırmanın Temel Özellikleri ve Din Eğitimi</w:t>
      </w:r>
    </w:p>
    <w:p>
      <w:pPr>
        <w:spacing w:after="120" w:line="360"/>
        <w:ind w:firstLine="567"/>
        <w:jc w:val="both"/>
      </w:pPr>
      <w:r>
        <w:rPr>
          <w:rFonts w:ascii="Times New Roman" w:cs="Traditional Arabic" w:eastAsia="Times New Roman" w:hAnsi="Times New Roman"/>
          <w:i w:val="false"/>
          <w:sz w:val="24"/>
          <w:szCs w:val="24"/>
        </w:rPr>
        <w:t xml:space="preserve">Nitel araştırmanın bütün yönlerini kapsayan bir tanım yapmak güç olduğundan,</w:t>
      </w:r>
      <w:r>
        <w:rPr>
          <w:rStyle w:val="FootnoteReference"/>
        </w:rPr>
        <w:footnoteReference w:id="11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bölümde onun temel özellikleri din eğitimi ortamları üzerinden ele alınmakta ve her birinin klasik usul birikiminde hangi kavramlarla konuşabileceği sorulmaktadır. Bölümün iki dayanağı, nitel araştırmanın bağlama ve katılımcının bakış açısına verdiği önem ile klasik gelenekte metnin bağlamına ve insanların kendi örfüne verilen değerdir.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75.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4.1. Nitel Araştırmanın Yedi Özelliği</w:t>
      </w:r>
    </w:p>
    <w:p>
      <w:pPr>
        <w:spacing w:after="120" w:line="360"/>
        <w:ind w:firstLine="567"/>
        <w:jc w:val="both"/>
      </w:pPr>
      <w:r>
        <w:rPr>
          <w:rFonts w:ascii="Times New Roman" w:cs="Traditional Arabic" w:eastAsia="Times New Roman" w:hAnsi="Times New Roman"/>
          <w:i w:val="false"/>
          <w:sz w:val="24"/>
          <w:szCs w:val="24"/>
        </w:rPr>
        <w:t xml:space="preserve">Yıldırım ve Şimşek, alan yazında bu özelliklerin bazen farklı başlıklar altında ele alındığını belirtmekle birlikte nitel araştırmalarda en çok karşılaşılan yedi özelliği şöyle sıralamaktadır: “doğal ortama duyarlık”, “araştırmacının katılımcı rolü”, “bütüncül yaklaşım”, “algıların ortaya konması”, “araştırma deseninde esneklik”, “tümevarımcı analiz” ve “nitel veri”.</w:t>
      </w:r>
      <w:r>
        <w:rPr>
          <w:rStyle w:val="FootnoteReference"/>
        </w:rPr>
        <w:footnoteReference w:id="11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sıralama, nitel araştırmanın bir teknikten çok bir tutum olduğunu göstermektedir. Görüşme yapmak tek başına bir araştırmayı nitel kılmamaktadır. Görüşmenin doğal bağlamına, katılımcının kendi algısına ve verinin kendisinden çıkan anlamlara duyarlı bir biçimde yürütülmesi gerekmektedir.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“Alanyazında bu özellikler bazen farklı başlıklar altında ele alınmakla birlikte (Bogdan ve Biklen, 1992; Goetz ve LeCompte, 1984; Patton, 1987; 1990), nitel araştırmaların en çok karşımıza çıkan yedi özelliği vardır: (1) doğal ortama duyarlık, (2) araştırmacının katılımcı rolü, (3) bütüncül yaklaşım, (4) algıların ortaya konması, (5) araştırma deseninde esneklik, (6) tümevarımcı analiz ve (7) nitel veri.”</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41, PDF s. 39] Not: Cümlenin ilk kısmındaki parantez içi atıflar Yıldırım ve Şimşek'e aittir ve baskıdaki gibi korunmuştur.</w:t>
      </w:r>
    </w:p>
    <w:p>
      <w:pPr>
        <w:spacing w:after="120" w:line="360"/>
        <w:ind w:firstLine="567"/>
        <w:jc w:val="both"/>
      </w:pPr>
      <w:r>
        <w:rPr>
          <w:rFonts w:ascii="Times New Roman" w:cs="Traditional Arabic" w:eastAsia="Times New Roman" w:hAnsi="Times New Roman"/>
          <w:i w:val="false"/>
          <w:sz w:val="24"/>
          <w:szCs w:val="24"/>
        </w:rPr>
        <w:t xml:space="preserve">Creswell de nitel araştırmayı sosyal ya da beşerî bir probleme bireylerin veya grupların atfettiği anlamları keşfetmeye ve anlamaya yönelik bir yaklaşım olarak tanımlamaktadır.</w:t>
      </w:r>
      <w:r>
        <w:rPr>
          <w:rStyle w:val="FootnoteReference"/>
        </w:rPr>
        <w:footnoteReference w:id="11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nitel araştırma süreçlerinin hepsinde araştırmacı, yazarların literatürde söyledikleri ya da araştırmacının araştırmaya yüklediği anlam yerine katılımcıların problem ya da soruna yüklediği anlamı öğrenmeye odaklanmaktadır.</w:t>
      </w:r>
      <w:r>
        <w:rPr>
          <w:rStyle w:val="FootnoteReference"/>
        </w:rPr>
        <w:footnoteReference w:id="11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vurgu, üçüncü bölümde ortaya konan iki kayıt ilkesinin birinci kaydına tam olarak karşılık gelmektedir.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 sosyal ya da beşeri bir probleme bireylerin veya grupların atfettiği anlamları keşfetme ve anlamaya yönelik bir yaklaşımdır.”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4, PDF s. 35. Not: Metin çıkarımında harf aralıkları bozulmuş görünen kelimeler (“b e ş eri b ir probl e m e”) birleştirilerek verilmiştir; basılı nüshadan kontrol edilmelidir.]</w:t>
      </w:r>
    </w:p>
    <w:p>
      <w:pPr>
        <w:pStyle w:val="Dogrulama"/>
        <w:spacing w:after="20" w:line="276"/>
        <w:ind w:left="567"/>
        <w:jc w:val="both"/>
      </w:pPr>
      <w:r>
        <w:rPr>
          <w:rFonts w:ascii="Times New Roman" w:cs="Traditional Arabic" w:eastAsia="Times New Roman" w:hAnsi="Times New Roman"/>
          <w:i/>
          <w:iCs/>
          <w:sz w:val="22"/>
          <w:szCs w:val="22"/>
        </w:rPr>
        <w:t xml:space="preserve">“Nitel araştırma süreçlerinin hepsinde; araştırmacı, yazarların literatürde söyledikleri veya araştırmacıların araştırmaya yükledikleri anlam yerine katılımcıların problem veya soruna yükledikleri anlamı öğrenmeye odaklanır.”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186, PDF s. 217. Not: Özellikler listesinin girişinde bu özelliklerin birkaç başlangıç kitabında ifade edildiği belirtilmektedir; maddenin kendisinde atıf yoktur.]</w:t>
      </w:r>
    </w:p>
    <w:p>
      <w:pPr>
        <w:spacing w:after="120" w:line="360"/>
        <w:ind w:firstLine="567"/>
        <w:jc w:val="both"/>
      </w:pPr>
      <w:r>
        <w:rPr>
          <w:rFonts w:ascii="Times New Roman" w:cs="Traditional Arabic" w:eastAsia="Times New Roman" w:hAnsi="Times New Roman"/>
          <w:i w:val="false"/>
          <w:sz w:val="24"/>
          <w:szCs w:val="24"/>
        </w:rPr>
        <w:t xml:space="preserve">Bu bölümde yedi özelliğin tamamı ayrı ayrı ele alınmamaktadır. Araştırmacının katılımcı rolü ikinci bölümde, nitel verinin toplanması ikinci kısımda, analiz ise üçüncü kısımda ayrıntılı olarak işlenmektedir. Burada din eğitimi açısından özellikle önem taşıyan dört özellik üzerinde durulmaktadır: doğal ortam ve bağlam, katılımcının bakış açısı, esneklik ve tümevarım.</w:t>
      </w:r>
    </w:p>
    <w:p>
      <w:pPr>
        <w:pStyle w:val="Heading2"/>
        <w:keepNext/>
        <w:spacing w:after="120" w:before="240"/>
      </w:pPr>
      <w:r>
        <w:rPr>
          <w:rFonts w:ascii="Times New Roman" w:cs="Traditional Arabic" w:eastAsia="Times New Roman" w:hAnsi="Times New Roman"/>
          <w:b/>
          <w:bCs/>
          <w:i w:val="false"/>
          <w:sz w:val="24"/>
          <w:szCs w:val="24"/>
        </w:rPr>
        <w:t xml:space="preserve">4.2. Doğal Ortama Duyarlık ve Bağlam</w:t>
      </w:r>
    </w:p>
    <w:p>
      <w:pPr>
        <w:spacing w:after="120" w:line="360"/>
        <w:ind w:firstLine="567"/>
        <w:jc w:val="both"/>
      </w:pPr>
      <w:r>
        <w:rPr>
          <w:rFonts w:ascii="Times New Roman" w:cs="Traditional Arabic" w:eastAsia="Times New Roman" w:hAnsi="Times New Roman"/>
          <w:i w:val="false"/>
          <w:sz w:val="24"/>
          <w:szCs w:val="24"/>
        </w:rPr>
        <w:t xml:space="preserve">Nitel araştırmada incelenen olay, içinde gerçekleştiği ortamda incelenmektedir. Yıldırım ve Şimşek bu özelliğin bir sonucunu açıkça ifade etmektedir. Onlara göre sosyal olgular bağlı oldukları ortama göre biçimlendiği için araştırma sonuçları ancak bu ortam içinde anlam kazanmakta ve başka ortamlara doğrudan genelleme yapmak mümkün olmamaktadır.</w:t>
      </w:r>
      <w:r>
        <w:rPr>
          <w:rStyle w:val="FootnoteReference"/>
        </w:rPr>
        <w:footnoteReference w:id="11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Aynı sebeple bir nitel araştırmanın aynen tekrar edilmesi de mümkün değildir, çünkü araştırmanın gerçekleştiği doğal ortamı başka bir araştırmada aynen bulmak ya da oluşturmak imkânsızdır.</w:t>
      </w:r>
      <w:r>
        <w:rPr>
          <w:rStyle w:val="FootnoteReference"/>
        </w:rPr>
        <w:footnoteReference w:id="12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“Ayrıca sosyal olgular bağlı oldukları ortama göre biçimlendikleri için, araştırma sonuçları ancak bu ortam içerisinde anlam kazanır ve başka ortamlara doğrudan genelleme yapmak mümkün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42, PDF s. 40]</w:t>
      </w:r>
    </w:p>
    <w:p>
      <w:pPr>
        <w:pStyle w:val="Dogrulama"/>
        <w:spacing w:after="20" w:line="276"/>
        <w:ind w:left="567"/>
        <w:jc w:val="both"/>
      </w:pPr>
      <w:r>
        <w:rPr>
          <w:rFonts w:ascii="Times New Roman" w:cs="Traditional Arabic" w:eastAsia="Times New Roman" w:hAnsi="Times New Roman"/>
          <w:i/>
          <w:iCs/>
          <w:sz w:val="22"/>
          <w:szCs w:val="22"/>
        </w:rPr>
        <w:t xml:space="preserve">“Araştırmanın gerçekleştiği doğal ortamı başka bir araştırma kapsamında aynen bulmak ya da yaratmak olanaksız olduğu için, bir nitel araştırmanın aynen tekrarı mümkün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43, PDF s. 41]</w:t>
      </w:r>
    </w:p>
    <w:p>
      <w:pPr>
        <w:spacing w:after="120" w:line="360"/>
        <w:ind w:firstLine="567"/>
        <w:jc w:val="both"/>
      </w:pPr>
      <w:r>
        <w:rPr>
          <w:rFonts w:ascii="Times New Roman" w:cs="Traditional Arabic" w:eastAsia="Times New Roman" w:hAnsi="Times New Roman"/>
          <w:i w:val="false"/>
          <w:sz w:val="24"/>
          <w:szCs w:val="24"/>
        </w:rPr>
        <w:t xml:space="preserve">Bu durum nitel araştırmanın değerini azaltmamakta, yalnızca bu değerin nerede aranacağını göstermektedir. Yazarlara göre nitel araştırma ancak birtakım deneyimler ya da örnekler ortaya koyabilir ve bunlar alanda çalışan bir bireye, örneğin bir öğretmene, bazı bakış açıları kazandırabilir.</w:t>
      </w:r>
      <w:r>
        <w:rPr>
          <w:rStyle w:val="FootnoteReference"/>
        </w:rPr>
        <w:footnoteReference w:id="12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eğitimcisi açısından bu ifade önemlidir. Bir Kur'an kursunda yapılan araştırma bütün Kur'an kurslarına genellenemez. Fakat başka bir kursta çalışan bir öğretici, o araştırmayı okuyarak kendi kursundaki bir durumu daha iyi görebilir.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“Bu anlamda, nitel araştırma ancak birtakım deneyimler ya da örnekler ortaya koyabilir ve bunlar alanda çalışan bir bireye (öğretmen gibi) bazı bakış açıları kazandırabilir.”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43, PDF s. 41]</w:t>
      </w:r>
    </w:p>
    <w:p>
      <w:pPr>
        <w:spacing w:after="120" w:line="360"/>
        <w:ind w:firstLine="567"/>
        <w:jc w:val="both"/>
      </w:pPr>
      <w:r>
        <w:rPr>
          <w:rFonts w:ascii="Times New Roman" w:cs="Traditional Arabic" w:eastAsia="Times New Roman" w:hAnsi="Times New Roman"/>
          <w:i w:val="false"/>
          <w:sz w:val="24"/>
          <w:szCs w:val="24"/>
        </w:rPr>
        <w:t xml:space="preserve">Bağlama verilen bu önemin klasik usulde yakın bir karşılığı, Kur'an ilimlerinde nüzul sebeplerine gösterilen ilgidir. Zerkeşî </w:t>
      </w:r>
      <w:r>
        <w:rPr>
          <w:rFonts w:ascii="Times New Roman" w:cs="Traditional Arabic" w:eastAsia="Times New Roman" w:hAnsi="Times New Roman"/>
          <w:i/>
          <w:iCs/>
          <w:sz w:val="24"/>
          <w:szCs w:val="24"/>
        </w:rPr>
        <w:t xml:space="preserve">el-Burhân</w:t>
      </w:r>
      <w:r>
        <w:rPr>
          <w:rFonts w:ascii="Times New Roman" w:cs="Traditional Arabic" w:eastAsia="Times New Roman" w:hAnsi="Times New Roman"/>
          <w:i w:val="false"/>
          <w:sz w:val="24"/>
          <w:szCs w:val="24"/>
        </w:rPr>
        <w:t xml:space="preserve">'da nüzul sebeplerini bilmenin tarih kabilinden bir bilgi olduğu için faydasız olduğunu ileri sürenlerin hata ettiğini söylemektedir. Ona göre bu bilginin faydaları vardır ve bunlardan biri, hükmün konulmasına yol açan hikmetin yönünü bilmektir.</w:t>
      </w:r>
      <w:r>
        <w:rPr>
          <w:rStyle w:val="FootnoteReference"/>
        </w:rPr>
        <w:footnoteReference w:id="12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Zerkeşî'nin saydığı faydalardan bir diğeri de manaya vâkıf olmaktır.</w:t>
      </w:r>
      <w:r>
        <w:rPr>
          <w:rStyle w:val="FootnoteReference"/>
        </w:rPr>
        <w:footnoteReference w:id="12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“وَأَخْطَأَ مَنْ زَعَمَ أَنَّهُ لَا طَائِلَ تَحْتَهُ لِجَرَيَانِهِ مَجْرَى التَّارِيخِ وَلَيْسَ كَذَلِكَ بَلْ لَهُ فَوَائِدُ مِنْهَا وَجْهُ الْحِكْمَةِ الْبَاعِثَةِ عَلَى تَشْرِيعِ الْحُكْمِ”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11436, page_id 39, basılı cilt/sayfa 1/22] Not: Alıntıdaki “أنه” zamiri, eserin bu kısmında konu edilen nüzul sebeplerini bilmeye racidir. Kısmın başlığı alıntıya dahil edilmemiştir.</w:t>
      </w:r>
    </w:p>
    <w:p>
      <w:pPr>
        <w:pStyle w:val="DogrulamaAR"/>
        <w:bidi/>
        <w:spacing w:after="20" w:line="300"/>
        <w:ind w:end="567"/>
        <w:jc w:val="both"/>
      </w:pPr>
      <w:r>
        <w:rPr>
          <w:rFonts w:ascii="Times New Roman" w:cs="Traditional Arabic" w:eastAsia="Times New Roman" w:hAnsi="Times New Roman"/>
          <w:i/>
          <w:iCs/>
          <w:sz w:val="24"/>
          <w:szCs w:val="30"/>
          <w:rtl/>
        </w:rPr>
        <w:t xml:space="preserve">“وَمِنْهَا الْوُقُوفُ عَلَى الْمَعْنَى”</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11436, page_id 39, basılı cilt/sayfa 1/22]</w:t>
      </w:r>
    </w:p>
    <w:p>
      <w:pPr>
        <w:spacing w:after="120" w:line="360"/>
        <w:ind w:firstLine="567"/>
        <w:jc w:val="both"/>
      </w:pPr>
      <w:r>
        <w:rPr>
          <w:rFonts w:ascii="Times New Roman" w:cs="Traditional Arabic" w:eastAsia="Times New Roman" w:hAnsi="Times New Roman"/>
          <w:i w:val="false"/>
          <w:sz w:val="24"/>
          <w:szCs w:val="24"/>
        </w:rPr>
        <w:t xml:space="preserve">Bu iki cümleye göre nüzul sebebini bilmenin faydaları arasında hükmün konulmasına yol açan hikmetin yönünü bilmek ve manaya vâkıf olmak da bulunmaktadır. Kanaatimizce bu, bir sözün anlamının söylendiği durum bilindiğinde daha iyi kavranabileceği düşüncesine yakındır. Nitel araştırmacının doğal ortama gösterdiği duyarlılık da benzer bir kabule dayanmaktadır. Bir öğrencinin “din dersi bana iyi geliyor” sözü, sınav haftasında, bir yakınını kaybettiği günlerde ya da sınıfta yaşanan bir tartışmanın ardından söylendiğinde farklı anlamlar taşıyabilir. Sözün bağlamını bilmeyen araştırmacı onun anlamını da eksik kavrayacaktır.</w:t>
      </w:r>
    </w:p>
    <w:p>
      <w:pPr>
        <w:spacing w:after="120" w:line="360"/>
        <w:ind w:firstLine="567"/>
        <w:jc w:val="both"/>
      </w:pPr>
      <w:r>
        <w:rPr>
          <w:rFonts w:ascii="Times New Roman" w:cs="Traditional Arabic" w:eastAsia="Times New Roman" w:hAnsi="Times New Roman"/>
          <w:i w:val="false"/>
          <w:sz w:val="24"/>
          <w:szCs w:val="24"/>
        </w:rPr>
        <w:t xml:space="preserve">Ne var ki iki durum aynı değildir. Zerkeşî'nin söz ettiği bağlam,</w:t>
      </w:r>
      <w:r>
        <w:rPr>
          <w:rStyle w:val="FootnoteReference"/>
        </w:rPr>
        <w:footnoteReference w:id="12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geçmişte yaşanmış ve nakledilen bir olaydır. Bu bağlam ilahî bir metnin anlaşılmasına hizmet etmektedir. Nitel araştırmanın bağlamı ise yaşayan ve değişen bir sosyal ortamdır. Araştırmacı bu ortamı bizzat gözleyebilmekte ve onu anlatan insanlarla konuşabilmektedir. Ayrıca katılımcının sözü, vahyin sahip olduğu türden bir bağlayıcılık taşımamaktadır. Benzerlik bu nedenle bir yöntem tutumunda, yani sözü bağlamından koparmadan anlama çabasında aranmalıdır.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122.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4.3. Katılımcının Bakış Açısı ve Örfün İtibara Alınması</w:t>
      </w:r>
    </w:p>
    <w:p>
      <w:pPr>
        <w:spacing w:after="120" w:line="360"/>
        <w:ind w:firstLine="567"/>
        <w:jc w:val="both"/>
      </w:pPr>
      <w:r>
        <w:rPr>
          <w:rFonts w:ascii="Times New Roman" w:cs="Traditional Arabic" w:eastAsia="Times New Roman" w:hAnsi="Times New Roman"/>
          <w:i w:val="false"/>
          <w:sz w:val="24"/>
          <w:szCs w:val="24"/>
        </w:rPr>
        <w:t xml:space="preserve">Nitel araştırmanın en belirgin özelliklerinden biri katılımcının kendi algısına ve diline verdiği önemdir. Yıldırım ve Şimşek'e göre araştırmacılar, bireylerin dış dünyayı nasıl algıladıklarını ve nasıl yorumladıklarını anlamak amacıyla onlarla konuşmakta ve onları gözlemektedir.</w:t>
      </w:r>
      <w:r>
        <w:rPr>
          <w:rStyle w:val="FootnoteReference"/>
        </w:rPr>
        <w:footnoteReference w:id="12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bu, araştırmacının kendi kategorilerini katılımcıya dayatmak yerine katılımcının kendi kategorilerini öğrenmesini gerektirmektedir.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“Araştırmacılar, bu bireylerin dış dünyayı nasıl algıladıklarını ve nasıl yorumladıklarını anlamak amacıyla onlarla konuşur, onları gözler.”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45, PDF s. 43]</w:t>
      </w:r>
    </w:p>
    <w:p>
      <w:pPr>
        <w:spacing w:after="120" w:line="360"/>
        <w:ind w:firstLine="567"/>
        <w:jc w:val="both"/>
      </w:pPr>
      <w:r>
        <w:rPr>
          <w:rFonts w:ascii="Times New Roman" w:cs="Traditional Arabic" w:eastAsia="Times New Roman" w:hAnsi="Times New Roman"/>
          <w:i w:val="false"/>
          <w:sz w:val="24"/>
          <w:szCs w:val="24"/>
        </w:rPr>
        <w:t xml:space="preserve">Klasik fıkıh düşüncesinde bu tutumu hatırlatan bir alan, örf ve âdetin hükümlerde dikkate alınmasıdır. İbn Nüceym'in </w:t>
      </w:r>
      <w:r>
        <w:rPr>
          <w:rFonts w:ascii="Times New Roman" w:cs="Traditional Arabic" w:eastAsia="Times New Roman" w:hAnsi="Times New Roman"/>
          <w:i/>
          <w:iCs/>
          <w:sz w:val="24"/>
          <w:szCs w:val="24"/>
        </w:rPr>
        <w:t xml:space="preserve">el-Eşbâh ve'n-nezâir</w:t>
      </w:r>
      <w:r>
        <w:rPr>
          <w:rFonts w:ascii="Times New Roman" w:cs="Traditional Arabic" w:eastAsia="Times New Roman" w:hAnsi="Times New Roman"/>
          <w:i w:val="false"/>
          <w:sz w:val="24"/>
          <w:szCs w:val="24"/>
        </w:rPr>
        <w:t xml:space="preserve">'de âdetle ilgili bir kaideden çıkan meseleleri sıralarken verdiği örnekler, konumuz açısından özellikle öğreticidir. İbn Nüceym'e göre en sahih görüşte akan su, insanların akan su saydığı sudur.</w:t>
      </w:r>
      <w:r>
        <w:rPr>
          <w:rStyle w:val="FootnoteReference"/>
        </w:rPr>
        <w:footnoteReference w:id="12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Kuyuya çok miktarda hayvan tersi (baʿr) düşmesi meselesinde de en sahih görüş, çokluğun ona bakan kişinin çok saydığı miktar olmasıdır.</w:t>
      </w:r>
      <w:r>
        <w:rPr>
          <w:rStyle w:val="FootnoteReference"/>
        </w:rPr>
        <w:footnoteReference w:id="12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Akan suya ilhak edilen çok suyun sınırı ise en sahih görüşe göre onluk ölçü ve benzeri bir takdire göre değil, bu durumla karşılaşan kişinin görüşüne bırakılmaktadır.</w:t>
      </w:r>
      <w:r>
        <w:rPr>
          <w:rStyle w:val="FootnoteReference"/>
        </w:rPr>
        <w:footnoteReference w:id="12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“فَمَا فُرِّعَ عَلَى هَذِهِ الْقَاعِدَةِ: حَدُّ الْمَاءِ الْجَارِي، الْأَصَحُّ أَنَّهُ مَا يَعُدُّهُ النَّاسُ جَارِيًا،”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1666, page_id 67, basılı s. 79]</w:t>
      </w:r>
    </w:p>
    <w:p>
      <w:pPr>
        <w:pStyle w:val="DogrulamaAR"/>
        <w:bidi/>
        <w:spacing w:after="20" w:line="300"/>
        <w:ind w:end="567"/>
        <w:jc w:val="both"/>
      </w:pPr>
      <w:r>
        <w:rPr>
          <w:rFonts w:ascii="Times New Roman" w:cs="Traditional Arabic" w:eastAsia="Times New Roman" w:hAnsi="Times New Roman"/>
          <w:i/>
          <w:iCs/>
          <w:sz w:val="24"/>
          <w:szCs w:val="30"/>
          <w:rtl/>
        </w:rPr>
        <w:t xml:space="preserve">“وَمِنْهَا وُقُوعُ الْبَعْرِ الْكَثِيرِ فِي الْبِئْرِ؛ الْأَصَحُّ أَنَّ الْكَثِيرَ مَا يَسْتَكْثِرُهُ النَّاظِرُ.”</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1666, page_id 67, basılı s. 79]</w:t>
      </w:r>
    </w:p>
    <w:p>
      <w:pPr>
        <w:pStyle w:val="DogrulamaAR"/>
        <w:bidi/>
        <w:spacing w:after="20" w:line="300"/>
        <w:ind w:end="567"/>
        <w:jc w:val="both"/>
      </w:pPr>
      <w:r>
        <w:rPr>
          <w:rFonts w:ascii="Times New Roman" w:cs="Traditional Arabic" w:eastAsia="Times New Roman" w:hAnsi="Times New Roman"/>
          <w:i/>
          <w:iCs/>
          <w:sz w:val="24"/>
          <w:szCs w:val="30"/>
          <w:rtl/>
        </w:rPr>
        <w:t xml:space="preserve">“وَمِنْهَا حَدُّ الْمَاءِ الْكَثِيرِ الْمُلْحَقِ بِالْجَارِي، الْأَصَحُّ تَفْوِيضُهُ إلَى رَأْيِ الْمُبْتَلَى بِهِ لَا التَّقْدِيرُ بِشَيْءٍ مِنْ الْعُشْرِ وَنَحْوِهِ،”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1666, page_id 67, basılı s. 79]</w:t>
      </w:r>
    </w:p>
    <w:p>
      <w:pPr>
        <w:spacing w:after="120" w:line="360"/>
        <w:ind w:firstLine="567"/>
        <w:jc w:val="both"/>
      </w:pPr>
      <w:r>
        <w:rPr>
          <w:rFonts w:ascii="Times New Roman" w:cs="Traditional Arabic" w:eastAsia="Times New Roman" w:hAnsi="Times New Roman"/>
          <w:i w:val="false"/>
          <w:sz w:val="24"/>
          <w:szCs w:val="24"/>
        </w:rPr>
        <w:t xml:space="preserve">Bu örneklerde dikkat çeken husus, hukuki bir tanımın insanların kendi algısına ve durumu bizzat yaşayan kişinin değerlendirmesine bağlanmasıdır. Bir kavramın sınırı dışarıdan konulan bir ölçüyle değil, o kavramı kullanan topluluğun ve onunla karşılaşan kişinin anlayışıyla belirlenmektedir. Nitel araştırmacının katılımcının kendi kavramlarına yönelmesi de benzer bir tutumdur. Bir Kur'an kursu öğrencisi için “ders vermek”in, bir din kültürü öğretmeni için “değer kazandırmak”ın ne anlama geldiğini araştırmacı kendi tanımıyla değil, onların kullanımıyla öğrenmelidir.</w:t>
      </w:r>
    </w:p>
    <w:p>
      <w:pPr>
        <w:spacing w:after="120" w:line="360"/>
        <w:ind w:firstLine="567"/>
        <w:jc w:val="both"/>
      </w:pPr>
      <w:r>
        <w:rPr>
          <w:rFonts w:ascii="Times New Roman" w:cs="Traditional Arabic" w:eastAsia="Times New Roman" w:hAnsi="Times New Roman"/>
          <w:i w:val="false"/>
          <w:sz w:val="24"/>
          <w:szCs w:val="24"/>
        </w:rPr>
        <w:t xml:space="preserve">Benzerliğin sınırı da belirtilmelidir. İbn Nüceym'in örneklerinde</w:t>
      </w:r>
      <w:r>
        <w:rPr>
          <w:rStyle w:val="FootnoteReference"/>
        </w:rPr>
        <w:footnoteReference w:id="12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insanların saydığı ölçü, fıkhî bir hükmün verilmesinde başvurulan bir ölçüdür. Nitel araştırmada ise katılımcının algısı bir hüküm gerekçesi değil, anlaşılmak istenen şeyin kendisidir. İbn Nüceym'in kaideyi açıklayan cümlesinin hemen ardından “</w:t>
      </w:r>
      <w:r>
        <w:rPr>
          <w:rFonts w:ascii="Times New Roman" w:cs="Traditional Arabic" w:eastAsia="Times New Roman" w:hAnsi="Times New Roman"/>
          <w:i w:val="false"/>
          <w:sz w:val="24"/>
          <w:szCs w:val="30"/>
          <w:rtl/>
        </w:rPr>
        <w:t xml:space="preserve">كَذَا ذَكَرَ فَخْرُ الْإِسْلَامِ</w:t>
      </w:r>
      <w:r>
        <w:rPr>
          <w:rFonts w:ascii="Times New Roman" w:cs="Traditional Arabic" w:eastAsia="Times New Roman" w:hAnsi="Times New Roman"/>
          <w:i w:val="false"/>
          <w:sz w:val="24"/>
          <w:szCs w:val="24"/>
        </w:rPr>
        <w:t xml:space="preserve">” kaydı geldiği için bu cümle bir aktarım olarak değerlendirilmiş ve kullanılmamıştır. Bu çalışmada yalnızca onun kaideden çıkan meseleleri sıraladığı cümlelere dayanılmıştır.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126.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Yıldırım ve Şimşek'in, nitel araştırmanın en önemli amaçlarından biri olarak katılımcıların algılarının ve deneyimlerinin ortaya konmasını göstermeleri de bu bağlamda hatırlanmalıdır.</w:t>
      </w:r>
      <w:r>
        <w:rPr>
          <w:rStyle w:val="FootnoteReference"/>
        </w:rPr>
        <w:footnoteReference w:id="13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 araştırmalarında katılımcının algısı, kurumsal dilden ve öğretim programının dilinden farklı olabilir. Programda genel bir değer başlığı altında geçen bir konu, öğrencinin dilinde “büyüklere saygı” ya da “yalan söylememek” gibi somut davranışlarla anılabilir. Araştırmacının görevi bu iki dil arasındaki mesafeyi görünür kılmaktır.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77.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4.4. Esneklik</w:t>
      </w:r>
    </w:p>
    <w:p>
      <w:pPr>
        <w:spacing w:after="120" w:line="360"/>
        <w:ind w:firstLine="567"/>
        <w:jc w:val="both"/>
      </w:pPr>
      <w:r>
        <w:rPr>
          <w:rFonts w:ascii="Times New Roman" w:cs="Traditional Arabic" w:eastAsia="Times New Roman" w:hAnsi="Times New Roman"/>
          <w:i w:val="false"/>
          <w:sz w:val="24"/>
          <w:szCs w:val="24"/>
        </w:rPr>
        <w:t xml:space="preserve">Yıldırım ve Şimşek, sosyal olguların karmaşık yapısını dikkate alan nitel araştırmanın esnek bir araştırma süreci anlayışını benimsediğini belirtmektedir.</w:t>
      </w:r>
      <w:r>
        <w:rPr>
          <w:rStyle w:val="FootnoteReference"/>
        </w:rPr>
        <w:footnoteReference w:id="13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esnek yaklaşım, araştırma sürecinde ortaya çıkan yeni verilere ve durumlara bağlı olarak araştırmanın çeşitli boyutlarının yeniden biçimlenebilmesi demektir. Araştırmanın yönü gerektiğinde değişebilmekte, yeni veri toplama araçları geliştirilebilmekte, var olan araçlar yeni durumlara göre yeniden biçimlendirilebilmekte, örneklem daraltılabilmekte ya da genişletilebilmektedir.</w:t>
      </w:r>
      <w:r>
        <w:rPr>
          <w:rStyle w:val="FootnoteReference"/>
        </w:rPr>
        <w:footnoteReference w:id="13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Sosyal olguları inceleyen bir araştırmacının karşısına çıkabilecek bütün ihtimalleri önceden bilmesi mümkün olmadığından, araştırma desenini baştan en ince ayrıntısına kadar planlaması da mümkün değildir.</w:t>
      </w:r>
      <w:r>
        <w:rPr>
          <w:rStyle w:val="FootnoteReference"/>
        </w:rPr>
        <w:footnoteReference w:id="13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bu esnekliğin bir şartını da hatırlatmaktadır. Araştırma deseninde yapılan değişikliklerin okura ayrıntılı biçimde bildirilmesi ve gerekçeleriyle açıklanması gerekmektedir.</w:t>
      </w:r>
      <w:r>
        <w:rPr>
          <w:rStyle w:val="FootnoteReference"/>
        </w:rPr>
        <w:footnoteReference w:id="13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 sosyal olguların bu özelliğini dikkate alarak esnek bir araştırma süreci anlayışını benimser.”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46, PDF s. 44]</w:t>
      </w:r>
    </w:p>
    <w:p>
      <w:pPr>
        <w:pStyle w:val="Dogrulama"/>
        <w:spacing w:after="20" w:line="276"/>
        <w:ind w:left="567"/>
        <w:jc w:val="both"/>
      </w:pPr>
      <w:r>
        <w:rPr>
          <w:rFonts w:ascii="Times New Roman" w:cs="Traditional Arabic" w:eastAsia="Times New Roman" w:hAnsi="Times New Roman"/>
          <w:i/>
          <w:iCs/>
          <w:sz w:val="22"/>
          <w:szCs w:val="22"/>
        </w:rPr>
        <w:t xml:space="preserve">“Esnek yaklaşım, nitel araştırma sürecinde ortaya çıkan yeni verilere ve durumlara bağlı olarak, araştırmanın çeşitli boyutlarının yeniden biçimlenebileceğine ilişkindir. Yani araştırmanın yönü gerektiği zaman değişebilir, yeni veri toplama araçları geliştirilebilir, varolan veri toplama araçları ortaya çıkan yeni durumlara göre yeniden biçimlendirilebilir, araştırma örneklemi daraltılabilir veya genişletilebilir.”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46, PDF s. 44]</w:t>
      </w:r>
    </w:p>
    <w:p>
      <w:pPr>
        <w:pStyle w:val="Dogrulama"/>
        <w:spacing w:after="20" w:line="276"/>
        <w:ind w:left="567"/>
        <w:jc w:val="both"/>
      </w:pPr>
      <w:r>
        <w:rPr>
          <w:rFonts w:ascii="Times New Roman" w:cs="Traditional Arabic" w:eastAsia="Times New Roman" w:hAnsi="Times New Roman"/>
          <w:i/>
          <w:iCs/>
          <w:sz w:val="22"/>
          <w:szCs w:val="22"/>
        </w:rPr>
        <w:t xml:space="preserve">“Sosyal olguları ya da olayları inceleyen bir araştırmacının, önceden karşısına çıkabilecek tüm olasılıkları bilmesi olanaksızdır ve bu nedenle araştırma desenini baştan en ince ayrıntılarına kadar plânlaması mümkün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46, PDF s. 44]</w:t>
      </w:r>
    </w:p>
    <w:p>
      <w:pPr>
        <w:pStyle w:val="Dogrulama"/>
        <w:spacing w:after="20" w:line="276"/>
        <w:ind w:left="567"/>
        <w:jc w:val="both"/>
      </w:pPr>
      <w:r>
        <w:rPr>
          <w:rFonts w:ascii="Times New Roman" w:cs="Traditional Arabic" w:eastAsia="Times New Roman" w:hAnsi="Times New Roman"/>
          <w:i/>
          <w:iCs/>
          <w:sz w:val="22"/>
          <w:szCs w:val="22"/>
        </w:rPr>
        <w:t xml:space="preserve">“Burada dikkate alınması gereken diğer önemli bir nokta ise, araştırma deseninde ya da çeşitli boyutlarında yapılan değişikliklerin, okuyucuya ayrıntılı bir biçimde rapor edilmesinin ve nedenleriyle açıklanmasının gerekli olduğudur.”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47, PDF s. 45]</w:t>
      </w:r>
    </w:p>
    <w:p>
      <w:pPr>
        <w:spacing w:after="120" w:line="360"/>
        <w:ind w:firstLine="567"/>
        <w:jc w:val="both"/>
      </w:pPr>
      <w:r>
        <w:rPr>
          <w:rFonts w:ascii="Times New Roman" w:cs="Traditional Arabic" w:eastAsia="Times New Roman" w:hAnsi="Times New Roman"/>
          <w:i w:val="false"/>
          <w:sz w:val="24"/>
          <w:szCs w:val="24"/>
        </w:rPr>
        <w:t xml:space="preserve">Esneklik ile keyfîlik arasındaki fark, bu açıklama yükümlülüğünde yatmaktadır. Klasik gelenekte kanaat değişikliğinin gerekçesiyle kaydına dair en etkileyici metinlerden biri Gazzâlî’nin </w:t>
      </w:r>
      <w:r>
        <w:rPr>
          <w:rFonts w:ascii="Times New Roman" w:cs="Traditional Arabic" w:eastAsia="Times New Roman" w:hAnsi="Times New Roman"/>
          <w:i/>
          <w:iCs/>
          <w:sz w:val="24"/>
          <w:szCs w:val="24"/>
        </w:rPr>
        <w:t xml:space="preserve">el-Munkız</w:t>
      </w:r>
      <w:r>
        <w:rPr>
          <w:rFonts w:ascii="Times New Roman" w:cs="Traditional Arabic" w:eastAsia="Times New Roman" w:hAnsi="Times New Roman"/>
          <w:i w:val="false"/>
          <w:sz w:val="24"/>
          <w:szCs w:val="24"/>
        </w:rPr>
        <w:t xml:space="preserve">’ıdır. İkinci bölümde görüldüğü üzere Gazzâlî, taklit bağının kendisinde nasıl çözüldüğünü ve hangi gözlemlerin onu ana-babanın ve hocaların taklidiyle edinilen akîdelerin hakikatini araştırmaya yönelttiğini kendi kaleminden anlatmaktadır.</w:t>
      </w:r>
      <w:r>
        <w:rPr>
          <w:rStyle w:val="FootnoteReference"/>
        </w:rPr>
        <w:footnoteReference w:id="13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Gazzâlî’nin metni bir araştırma raporu değil, bir zihnî serüvenin hikâyesidir. Fakat bir kanaatin neden ve nasıl değiştiğini okura açıkça göstermesi bakımından şeffaflık ahlakının güçlü bir örneğidir. Kanaatimizce nitel araştırmacının desen değişikliklerini kayda geçirmesi, ilim geleneğinin şeffaflık ahlakının modern bir uygulamasıdır. Bu konu on dördüncü bölümde raporlaştırma bağlamında yeniden ele alınacaktır.</w:t>
      </w:r>
    </w:p>
    <w:p>
      <w:pPr>
        <w:pStyle w:val="Heading2"/>
        <w:keepNext/>
        <w:spacing w:after="120" w:before="240"/>
      </w:pPr>
      <w:r>
        <w:rPr>
          <w:rFonts w:ascii="Times New Roman" w:cs="Traditional Arabic" w:eastAsia="Times New Roman" w:hAnsi="Times New Roman"/>
          <w:b/>
          <w:bCs/>
          <w:i w:val="false"/>
          <w:sz w:val="24"/>
          <w:szCs w:val="24"/>
        </w:rPr>
        <w:t xml:space="preserve">4.5. Tümevarımcı Analiz</w:t>
      </w:r>
    </w:p>
    <w:p>
      <w:pPr>
        <w:spacing w:after="120" w:line="360"/>
        <w:ind w:firstLine="567"/>
        <w:jc w:val="both"/>
      </w:pPr>
      <w:r>
        <w:rPr>
          <w:rFonts w:ascii="Times New Roman" w:cs="Traditional Arabic" w:eastAsia="Times New Roman" w:hAnsi="Times New Roman"/>
          <w:i w:val="false"/>
          <w:sz w:val="24"/>
          <w:szCs w:val="24"/>
        </w:rPr>
        <w:t xml:space="preserve">Yıldırım ve Şimşek, nitel araştırmada tümevarım ilkesinin hâkim olduğunu belirtmektedir.</w:t>
      </w:r>
      <w:r>
        <w:rPr>
          <w:rStyle w:val="FootnoteReference"/>
        </w:rPr>
        <w:footnoteReference w:id="13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nitel araştırmada söz konusu edilen “kuram oluşturma” kavramının, araştırmacının topladığı verilerden yola çıkarak araştırdığı konuyu açıklama, yorumlama ve anlam kazandırma süreci olarak açıklanabileceğini belirtmektedir.</w:t>
      </w:r>
      <w:r>
        <w:rPr>
          <w:rStyle w:val="FootnoteReference"/>
        </w:rPr>
        <w:footnoteReference w:id="13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araştırmada tümevarım ilkesi hakimdir.”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47, PDF s. 45]</w:t>
      </w:r>
    </w:p>
    <w:p>
      <w:pPr>
        <w:pStyle w:val="Dogrulama"/>
        <w:spacing w:after="20" w:line="276"/>
        <w:ind w:left="567"/>
        <w:jc w:val="both"/>
      </w:pPr>
      <w:r>
        <w:rPr>
          <w:rFonts w:ascii="Times New Roman" w:cs="Traditional Arabic" w:eastAsia="Times New Roman" w:hAnsi="Times New Roman"/>
          <w:i/>
          <w:iCs/>
          <w:sz w:val="22"/>
          <w:szCs w:val="22"/>
        </w:rPr>
        <w:t xml:space="preserve">“Burada sözü edilen”kuram oluşturma” kavramını araştırmacının, topladığı verilerden yola çıkarak araştırdığı konuyu açıklama, yorumlama ve anlam kazandırma süreci olarak açıklamak mümkündür.”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47, PDF s. 45]</w:t>
      </w:r>
    </w:p>
    <w:p>
      <w:pPr>
        <w:spacing w:after="120" w:line="360"/>
        <w:ind w:firstLine="567"/>
        <w:jc w:val="both"/>
      </w:pPr>
      <w:r>
        <w:rPr>
          <w:rFonts w:ascii="Times New Roman" w:cs="Traditional Arabic" w:eastAsia="Times New Roman" w:hAnsi="Times New Roman"/>
          <w:i w:val="false"/>
          <w:sz w:val="24"/>
          <w:szCs w:val="24"/>
        </w:rPr>
        <w:t xml:space="preserve">Klasik usulde tümevarımın en dikkat çekici kullanımlarından biri Şâtıbî'nin maʿnevî istikrâ dediği yoldur. Şâtıbî bazı genel ilkelerin delilinin şeriatın istikrâsı, yani onun küllî ve cüzî delillerinin gözden geçirilmesi olduğunu söylemektedir. Ona göre bu istikrâ, tek bir özel delille sabit olmayan, birbirine eklenen ve farklı amaçlara sahip delillerle sabit olan, bu delillerin toplamından da hepsinin üzerinde birleştiği tek bir hususun ortaya çıktığı maʿnevî bir istikrâdır.</w:t>
      </w:r>
      <w:r>
        <w:rPr>
          <w:rStyle w:val="FootnoteReference"/>
        </w:rPr>
        <w:footnoteReference w:id="13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“وَدَلِيلُ ذَلِكَ اسْتِقْرَاءُ الشَّرِيعَةِ، وَالنَّظَرُ فِي أَدِلَّتِهَا الْكُلِّيَّةِ وَالْجُزْئِيَّةِ، وَمَا انْطَوَتْ عَلَيْهِ مِنْ هَذِهِ الْأُمُورِ الْعَامَّةِ عَلَى حَدِّ الِاسْتِقْرَاءِ الْمَعْنَوِيِّ الَّذِي لَا يُثْبَتُ بِدَلِيلٍ خَاصٍّ، بَلْ بِأَدِلَّةٍ مُنْضَافٍ بَعْضُهَا إِلَى بَعْضٍ، مُخْتَلِفَةِ الْأَغْرَاضِ، بِحَيْثُ يَنْتَظِمُ مِنْ مَجْمُوعِهَا أَمْرٌ وَاحِدٌ تَجْتَمِعُ عَلَيْهِ تِلْكَ الْأَدِلَّةُ،”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11435, page_id 739, basılı cilt/sayfa 2/81]</w:t>
      </w:r>
    </w:p>
    <w:p>
      <w:pPr>
        <w:spacing w:after="120" w:line="360"/>
        <w:ind w:firstLine="567"/>
        <w:jc w:val="both"/>
      </w:pPr>
      <w:r>
        <w:rPr>
          <w:rFonts w:ascii="Times New Roman" w:cs="Traditional Arabic" w:eastAsia="Times New Roman" w:hAnsi="Times New Roman"/>
          <w:i w:val="false"/>
          <w:sz w:val="24"/>
          <w:szCs w:val="24"/>
        </w:rPr>
        <w:t xml:space="preserve">Bu tarif, nitel analizde bir temanın nasıl oluştuğunu anlatmak için kullanılabilecek güçlü bir benzetme sunmaktadır. Bir tema, tek bir katılımcının tek bir cümlesine dayanmamaktadır. Farklı katılımcıların farklı bağlamlarda ve farklı amaçlarla söylediği sözler bir araya geldiğinde, hepsinin işaret ettiği ortak bir anlam belirmektedir. Şâtıbî'nin “farklı amaçlara sahip deliller” ifadesi, bu sözlerin aynı soruya verilmiş cevaplar olmak zorunda olmadığını da hatırlatmaktadır. Benzerliğin sınırı ise Şâtıbî'nin istikrâ ettiği şeyin bağlayıcı nasların toplamı, nitel araştırmacının istikrâ ettiği şeyin ise insanların anlatımları olmasıdır. Şâtıbî'nin ulaştığı küllî ilke bağlayıcı bir ilkedir. Nitel araştırmacının ulaştığı tema ise belli bir bağlamdaki tecrübeye dair bir yorumdur. Bu karşılaştırma on birinci bölümde analiz süreci üzerinden ayrıntılandırılacaktır.</w:t>
      </w:r>
    </w:p>
    <w:p>
      <w:pPr>
        <w:pStyle w:val="Heading2"/>
        <w:keepNext/>
        <w:spacing w:after="120" w:before="240"/>
      </w:pPr>
      <w:r>
        <w:rPr>
          <w:rFonts w:ascii="Times New Roman" w:cs="Traditional Arabic" w:eastAsia="Times New Roman" w:hAnsi="Times New Roman"/>
          <w:b/>
          <w:bCs/>
          <w:i w:val="false"/>
          <w:sz w:val="24"/>
          <w:szCs w:val="24"/>
        </w:rPr>
        <w:t xml:space="preserve">4.6. Nitel Verinin Zenginliği ve Yükü</w:t>
      </w:r>
    </w:p>
    <w:p>
      <w:pPr>
        <w:spacing w:after="120" w:line="360"/>
        <w:ind w:firstLine="567"/>
        <w:jc w:val="both"/>
      </w:pPr>
      <w:r>
        <w:rPr>
          <w:rFonts w:ascii="Times New Roman" w:cs="Traditional Arabic" w:eastAsia="Times New Roman" w:hAnsi="Times New Roman"/>
          <w:i w:val="false"/>
          <w:sz w:val="24"/>
          <w:szCs w:val="24"/>
        </w:rPr>
        <w:t xml:space="preserve">Yıldırım ve Şimşek'in saydığı yedi özelliğin sonuncusu nitel veridir. Yazarlara göre nitel araştırmada toplanan veriler nicel araştırmada olduğu gibi sayılara indirgenemez. Bu veriler üzerinde bazı sayısal analizler yapmak mümkün olsa da temel amaç sayılar yoluyla sonuçlara ulaşmak değil, okura araştırılan konu hakkında betimsel ve gerçekçi bir resim sunmaktır.</w:t>
      </w:r>
      <w:r>
        <w:rPr>
          <w:rStyle w:val="FootnoteReference"/>
        </w:rPr>
        <w:footnoteReference w:id="13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algıların ortaya konmasını ele aldıkları kısımda nitel verinin miktarına da dikkat çekmektedir. Onlara göre araştırmaya katılan kişilerin sayısı az olmakla birlikte elde edilen verinin miktarı ve ayrıntısı oldukça fazladır, analiz bu nedenle uzun zaman alabilmektedir ve ortaya çıkan araştırma raporunun uzun olması da doğaldır, çünkü nitel verilerin sunulması ve yorumlanması bunu gerektirmektedir.</w:t>
      </w:r>
      <w:r>
        <w:rPr>
          <w:rStyle w:val="FootnoteReference"/>
        </w:rPr>
        <w:footnoteReference w:id="14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araştırmada toplanan veriler nicel araştırmada olduğu gibi sayılara indirgenemez. Her ne kadar nitel yöntemlerle toplanan veriler üzerinde bazı sayısal analizler yapmak mümkün ise de, nitel araştırmada temel amaç sayılar yoluyla sonuçlara ulaşmak değildir. Asıl amaç, araştırılan konu ile ilgili okuyucuya betimsel ve gerçekçi bir resim sunmaktır.”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48, PDF s. 46]</w:t>
      </w:r>
    </w:p>
    <w:p>
      <w:pPr>
        <w:pStyle w:val="Dogrulama"/>
        <w:spacing w:after="20" w:line="276"/>
        <w:ind w:left="567"/>
        <w:jc w:val="both"/>
      </w:pPr>
      <w:r>
        <w:rPr>
          <w:rFonts w:ascii="Times New Roman" w:cs="Traditional Arabic" w:eastAsia="Times New Roman" w:hAnsi="Times New Roman"/>
          <w:i/>
          <w:iCs/>
          <w:sz w:val="22"/>
          <w:szCs w:val="22"/>
        </w:rPr>
        <w:t xml:space="preserve">“Araştırmaya katılan kişilerin sayısı az olmakla birlikte sonuçta elde edilen verinin miktarı ve ayrıntısı oldukça fazladır ve analiz de bu nedenle uzun zaman alabilmektedir. Sonuçta ortaya çıkan araştırma raporunun uzun olması da doğaldır, çünkü elde edilen nitel verilerin sunulması ve yorumlanması bunu gerektirir.”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45, PDF s. 43]</w:t>
      </w:r>
    </w:p>
    <w:p>
      <w:pPr>
        <w:spacing w:after="120" w:line="360"/>
        <w:ind w:firstLine="567"/>
        <w:jc w:val="both"/>
      </w:pPr>
      <w:r>
        <w:rPr>
          <w:rFonts w:ascii="Times New Roman" w:cs="Traditional Arabic" w:eastAsia="Times New Roman" w:hAnsi="Times New Roman"/>
          <w:i w:val="false"/>
          <w:sz w:val="24"/>
          <w:szCs w:val="24"/>
        </w:rPr>
        <w:t xml:space="preserve">Din eğitimi ortamlarında nitel veri çok çeşitli biçimlerde karşımıza çıkmaktadır. Görüşme dökümleri ve gözlem notları bu verinin en yaygın türleridir. Bunların yanında öğretmenlerin ders planları, öğrencilerin yazdıkları dualar ve kompozisyonlar, çocukların çizdikleri resimler, Kur'an kursu kayıt defterleri, hutbe metinleri ve izin alınarak çekilmiş fotoğraflar da nitel veri olarak kullanılabilmektedir. Her veri türü kendi sorularını beraberinde getirmektedir. Bir çocuğun çizdiği cami resmi, onuncu bölümde görüleceği gibi, ancak çocuğun onu nasıl açıkladığıyla birlikte anlam kazanmaktadır.</w:t>
      </w:r>
    </w:p>
    <w:p>
      <w:pPr>
        <w:spacing w:after="120" w:line="360"/>
        <w:ind w:firstLine="567"/>
        <w:jc w:val="both"/>
      </w:pPr>
      <w:r>
        <w:rPr>
          <w:rFonts w:ascii="Times New Roman" w:cs="Traditional Arabic" w:eastAsia="Times New Roman" w:hAnsi="Times New Roman"/>
          <w:i w:val="false"/>
          <w:sz w:val="24"/>
          <w:szCs w:val="24"/>
        </w:rPr>
        <w:t xml:space="preserve">Verinin zenginliği aynı zamanda bir yüktür. Bir saatlik bir görüşmenin dökümü onlarca sayfa tutabilmektedir. On beş görüşme, birkaç haftalık gözlem notu ve bir dizi belge bir araya geldiğinde araştırmacı, okunması ve düzenlenmesi aylar sürebilecek bir metin yığınıyla karşı karşıya kalmaktadır. Bu nedenle nitel araştırmacı, veri toplamaya başlamadan önce bu verileri nasıl saklayacağını, nasıl adlandıracağını ve nasıl gözden geçireceğini planlamalıdır. Klasik gelenekte talebelerin işittiklerini yazıya geçirirken ve kitaplarını korurken gösterdikleri özen, yedinci ve dokuzuncu bölümlerde ayrıntılı olarak ele alınmaktadır. Bu özenin modern karşılığı, verilerin düzenli bir arşivde, tarih ve kaynak bilgisiyle birlikte saklanmasıdır.</w:t>
      </w:r>
    </w:p>
    <w:p>
      <w:pPr>
        <w:pStyle w:val="Heading2"/>
        <w:keepNext/>
        <w:spacing w:after="120" w:before="240"/>
      </w:pPr>
      <w:r>
        <w:rPr>
          <w:rFonts w:ascii="Times New Roman" w:cs="Traditional Arabic" w:eastAsia="Times New Roman" w:hAnsi="Times New Roman"/>
          <w:b/>
          <w:bCs/>
          <w:i w:val="false"/>
          <w:sz w:val="24"/>
          <w:szCs w:val="24"/>
        </w:rPr>
        <w:t xml:space="preserve">4.7. Din Eğitimi Uygulaması: Doğal Ortam ve Katılımcının Dili</w:t>
      </w:r>
    </w:p>
    <w:p>
      <w:pPr>
        <w:spacing w:after="120" w:line="360"/>
        <w:ind w:firstLine="567"/>
        <w:jc w:val="both"/>
      </w:pPr>
      <w:r>
        <w:rPr>
          <w:rFonts w:ascii="Times New Roman" w:cs="Traditional Arabic" w:eastAsia="Times New Roman" w:hAnsi="Times New Roman"/>
          <w:i w:val="false"/>
          <w:sz w:val="24"/>
          <w:szCs w:val="24"/>
        </w:rPr>
        <w:t xml:space="preserve">Din eğitiminin gerçekleştiği ortamlar nitel araştırmanın doğal ortam ilkesi için zengin bir saha sunmaktadır. Cami, Kur'an kursu, din kültürü ve ahlak bilgisi dersinin işlendiği sınıf, imam hatip okulunun mescidi, ailenin sofra başı sohbeti ve ilahiyat fakültesinin seminer odası, her biri kendi dili, kendi alışkanlıkları ve kendi anlam dünyası olan ortamlardır. Bu ortamlarda yapılacak bir araştırma, onları araştırmacının kurduğu yapay bir düzene taşımak yerine, oldukları gibi incelemeye çalışmalıdır.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Yaz Kur'an kursunda “ders vermek”</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Bir araştırmacı, yaz döneminde açılan bir Kur'an kursunda çocukların ezber tecrübesini incelemek istemektedir. İlk gözlemlerinde çocukların sık sık “ders vermek” ifadesini kullandığını fark etmektedir. Görüşmelerde bu ifadenin, ezberlenen bölümün hocaya okunması anlamına geldiğini öğrenmektedir. Bir çocuk bu anı “hocam dinlerken kalbim hızlı atıyor ama bitince çok seviniyorum” sözleriyle anlatmaktadır. Başka bir çocuk ise ders verdikten sonra hocasının söylediği bir cümleyi günlerce hatırladığını söylemektedir.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Araştırmacı, analizinde “sınav kaygısı” gibi kendi alanından getirdiği bir kavramı doğrudan kullanmak yerine, önce çocukların kendi ifadesi olan “ders vermek” kavramının etrafında bir tema oluşturmaktadır. Daha sonra bu temayı kaygı, başarı duygusu ve hoca ile kurulan ilişki gibi alt temalara ayırmaktadır. Böylece çocukların tecrübesi, araştırmacının diliyle değil kendi diliyle görünür hale gelmektedir.</w:t>
      </w:r>
    </w:p>
    <w:p>
      <w:pPr>
        <w:shd w:fill="F2F2F2" w:color="auto" w:val="clear"/>
        <w:spacing w:after="60" w:line="300"/>
        <w:ind w:left="227" w:right="227"/>
        <w:jc w:val="both"/>
      </w:pPr>
      <w:r>
        <w:rPr>
          <w:rFonts w:ascii="Times New Roman" w:cs="Traditional Arabic" w:eastAsia="Times New Roman" w:hAnsi="Times New Roman"/>
          <w:b/>
          <w:bCs/>
          <w:i w:val="false"/>
          <w:sz w:val="22"/>
          <w:szCs w:val="22"/>
        </w:rPr>
        <w:t xml:space="preserve">Kurgusal örnek: Din kültürü sınıfında “hoca” ve “öğretmen”</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Bir ortaokulda yürütülen araştırmada öğrencilerin din kültürü ve ahlak bilgisi öğretmenine bazen “hocam”, bazen “öğretmenim” diye hitap ettiği gözlenmektedir. Araştırmacı bu farkı not etmekte ve odak grup görüşmesinde öğrencilere iki hitap arasında bir fark görüp görmediklerini sormaktadır. Öğrencilerden biri “hocam dediğimizde sanki camideki gibi oluyor, öğretmenim dediğimizde ders gibi oluyor” demektedir.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Bu ifade, öğrencilerin dersi okul ile dinî hayat arasında bir yerde konumlandırdığını düşündüren bir ipucudur. Araştırmacı bu ipucunu tek başına bir sonuç olarak değil, başka veri kaynaklarıyla sınanacak bir yorum olarak kaydetmektedir.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örneklerde ortak olan nokta, araştırmacının katılımcıların kendi kavramlarını, İbn Nüceym'in örneklerinde olduğu gibi, “insanların saydığı” şekliyle öğrenmeye çalışmasıdır. Din eğitimi araştırmacısı alanın içinden gelebilmektedir ve bu kavramların birçoğunu zaten bildiğini düşünebilmektedir. Oysa “ders vermek” gibi tanıdık bir ifadenin bir çocuk için taşıdığı duygusal yük, ancak çocuğun kendi anlatımıyla öğrenilebilir. Tanıdık olanı yeniden öğrenmeye hazır olmak, bu alanda çalışan araştırmacının en önemli erdemlerinden biridir.</w:t>
      </w:r>
    </w:p>
    <w:p>
      <w:pPr>
        <w:keepNext/>
        <w:spacing w:after="80" w:before="200"/>
      </w:pPr>
      <w:r>
        <w:rPr>
          <w:rFonts w:ascii="Times New Roman" w:cs="Traditional Arabic" w:eastAsia="Times New Roman" w:hAnsi="Times New Roman"/>
          <w:b/>
          <w:bCs/>
          <w:i w:val="false"/>
          <w:sz w:val="22"/>
          <w:szCs w:val="22"/>
        </w:rPr>
        <w:t xml:space="preserve">Tablo 4.1. Dördüncü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993"/>
        <w:gridCol w:w="993"/>
        <w:gridCol w:w="1366"/>
        <w:gridCol w:w="1987"/>
        <w:gridCol w:w="2112"/>
        <w:gridCol w:w="1615"/>
      </w:tblGrid>
      <w:tr>
        <w:trPr>
          <w:cantSplit/>
          <w:tblHeader/>
        </w:trPr>
        <w:tc>
          <w:tcPr>
            <w:tcW w:type="dxa" w:w="99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99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366"/>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987"/>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2112"/>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61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Bağlama duyarlık</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Nüzul sebeplerini bilme</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Zerkeşî, el-Burhân, 1/22 (Şamile 11436)</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Sözün anlamının söylendiği durumla birlikte kavranması</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Nüzul sebebi tarihî ve nakledilen bir olaydır, nitel araştırmanın bağlamı yaşayan bir ortamdır</w:t>
            </w:r>
          </w:p>
        </w:tc>
        <w:tc>
          <w:tcPr>
            <w:tcW w:type="dxa" w:w="16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Öğrenci ve öğretmen ifadelerinin söylendiği durumla birlikte yorumlanması</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Katılımcının bakış açısı (içeriden tanım)</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Örf ve âdetin itibara alınması</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Nüceym, el-Eşbâh ve'n-nezâir, 79 (Şamile 1666)</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Kavramın sınırının insanların algısına ve durumu yaşayanın değerlendirmesine bırakılması</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Örf hüküm gerekçesidir, katılımcının algısı anlaşılmak istenen şeyin kendisidir</w:t>
            </w:r>
          </w:p>
        </w:tc>
        <w:tc>
          <w:tcPr>
            <w:tcW w:type="dxa" w:w="16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Kur'an kursu ve sınıf ortamındaki yerel kavramların öğrenilmesi</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Tümevarımcı tema oluşturma</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Maʿnevî istikrâ</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Şâtıbî, el-Muvâfakât, 2/81 (Şamile 11435)</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Farklı amaçlı çok sayıda verinin ortak bir anlamda buluşması</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Şâtıbî bağlayıcı naslardan ilke çıkarır, nitel araştırmacı anlatımlardan yorum çıkarır</w:t>
            </w:r>
          </w:p>
        </w:tc>
        <w:tc>
          <w:tcPr>
            <w:tcW w:type="dxa" w:w="16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verilerinden tema oluşturma</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Desen değişikliğinin raporlanması</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Kanaat değişikliğinin gerekçesiyle anlatılması</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el-Munkız, 110 (Şamile 9246)</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Değişikliğin gerekçesiyle okura gösterilmesi</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bir zihnî serüveni anlatır, desen değişikliği planlı bir araştırma kararıdır</w:t>
            </w:r>
          </w:p>
        </w:tc>
        <w:tc>
          <w:tcPr>
            <w:tcW w:type="dxa" w:w="16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 günlüğü tutma alışkanlığı</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BEŞİNCİ BÖLÜM</w:t>
      </w:r>
    </w:p>
    <w:p>
      <w:pPr>
        <w:pStyle w:val="Heading1"/>
        <w:spacing w:after="360"/>
        <w:jc w:val="center"/>
      </w:pPr>
      <w:r>
        <w:rPr>
          <w:rFonts w:ascii="Times New Roman" w:cs="Traditional Arabic" w:eastAsia="Times New Roman" w:hAnsi="Times New Roman"/>
          <w:b/>
          <w:bCs/>
          <w:i w:val="false"/>
          <w:color w:val="1F3864"/>
          <w:sz w:val="28"/>
          <w:szCs w:val="28"/>
        </w:rPr>
        <w:t xml:space="preserve">5. Nitel Araştırma Desenleri ve Klasik Gelenekte Benzer Çalışma Tarzları</w:t>
      </w:r>
    </w:p>
    <w:p>
      <w:pPr>
        <w:spacing w:after="120" w:line="360"/>
        <w:ind w:firstLine="567"/>
        <w:jc w:val="both"/>
      </w:pPr>
      <w:r>
        <w:rPr>
          <w:rFonts w:ascii="Times New Roman" w:cs="Traditional Arabic" w:eastAsia="Times New Roman" w:hAnsi="Times New Roman"/>
          <w:i w:val="false"/>
          <w:sz w:val="24"/>
          <w:szCs w:val="24"/>
        </w:rPr>
        <w:t xml:space="preserve">Nitel araştırma tek bir yoldan ibaret değildir. Araştırmacı, sorusunun niteliğine göre bir kültürü tasvir etmeyi, bir tecrübenin özünü anlamayı, verilerden bir açıklama modeli kurmayı, tek bir durumu derinliğine incelemeyi ya da kendi uygulamasını geliştirmeyi amaçlayabilir. Bu bölümde bu amaçlara karşılık gelen başlıca desenler olarak kültür analizi, olgubilim, kuram oluşturma, durum çalışması ve eylem araştırması ele alınmaktadır. Her desen kısaca tanıtılmakta, ardından klasik gelenekte ona benzeyen bir çalışma tarzı olup olmadığı sorulmaktadır. Bazı desenler için anlamlı bir karşılaştırma bulunmuş, bazıları için ise incelenen metinlerde bir karşılık tespit edilememiştir. Bu durum da açıkça kaydedilmiştir.</w:t>
      </w:r>
    </w:p>
    <w:p>
      <w:pPr>
        <w:pStyle w:val="Heading2"/>
        <w:keepNext/>
        <w:spacing w:after="120" w:before="240"/>
      </w:pPr>
      <w:r>
        <w:rPr>
          <w:rFonts w:ascii="Times New Roman" w:cs="Traditional Arabic" w:eastAsia="Times New Roman" w:hAnsi="Times New Roman"/>
          <w:b/>
          <w:bCs/>
          <w:i w:val="false"/>
          <w:sz w:val="24"/>
          <w:szCs w:val="24"/>
        </w:rPr>
        <w:t xml:space="preserve">5.1. Kültür Analizi ve Bîrûnî'nin Hint Tasviri</w:t>
      </w:r>
    </w:p>
    <w:p>
      <w:pPr>
        <w:spacing w:after="120" w:line="360"/>
        <w:ind w:firstLine="567"/>
        <w:jc w:val="both"/>
      </w:pPr>
      <w:r>
        <w:rPr>
          <w:rFonts w:ascii="Times New Roman" w:cs="Traditional Arabic" w:eastAsia="Times New Roman" w:hAnsi="Times New Roman"/>
          <w:i w:val="false"/>
          <w:sz w:val="24"/>
          <w:szCs w:val="24"/>
        </w:rPr>
        <w:t xml:space="preserve">Kültür analizi (etnografya), belli bir grubun kültürünü tanımlamayı ve yorumlamayı amaçlayan bir desendir. Yıldırım ve Şimşek, kültürün doğası gereği muğlak olduğunu ve standart veri toplama araçlarıyla ölçülemeyeceğini belirtmektedir. Onların ifadesiyle kültür gözlenir, yaşanır ve hissedilir. Bu sebeple kültürü ve onun bireyler üzerindeki etkilerini anlamak isteyen araştırmacının alanda uzun süre kalması ve yoğun bir veri toplama sürecine girmesi gerekmektedir.</w:t>
      </w:r>
      <w:r>
        <w:rPr>
          <w:rStyle w:val="FootnoteReference"/>
        </w:rPr>
        <w:footnoteReference w:id="14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bu desende karşılaşılan önemli sorunlardan birinin, çalışılan kültürün yeterli düzeyde anlaşılamaması olduğunu belirtmektedir. Bu durumda ortaya çıkan bulgular kültüre özgü anlamları ve deneyimleri yansıtmada yetersiz kalacaktır. Araştırmacının alanda yeterli düzeyde zaman ve çaba harcamaması, kültürü kendi varsayımları ve inançları doğrultusunda anlamaya çalışması ya da kültüre ilişkin olguları kavrayamaması bu tür sorunların ortaya çıkmasına yol açabilir.</w:t>
      </w:r>
      <w:r>
        <w:rPr>
          <w:rStyle w:val="FootnoteReference"/>
        </w:rPr>
        <w:footnoteReference w:id="14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“Doğası gereği kültür muğlaktır ve standardize edilmiş veri toplama araçları ile ölçülemez. Gözlenir, yaşanır, hissedilir. Bu nedenle, kültür analizi yaklaşımı ile araştırma yapan bir araştırmacının çalıştığı kültürü ve bu kültürün birey ya da gruplar üzerindeki etkilerini ayrıntılı ve derinlemesine anlayabilmesi için alanda uzun zaman kalması ve yoğun bir veri toplama süreci içine girmesi gerekir.”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71, PDF s. 69]</w:t>
      </w:r>
    </w:p>
    <w:p>
      <w:pPr>
        <w:pStyle w:val="Dogrulama"/>
        <w:spacing w:after="20" w:line="276"/>
        <w:ind w:left="567"/>
        <w:jc w:val="both"/>
      </w:pPr>
      <w:r>
        <w:rPr>
          <w:rFonts w:ascii="Times New Roman" w:cs="Traditional Arabic" w:eastAsia="Times New Roman" w:hAnsi="Times New Roman"/>
          <w:i/>
          <w:iCs/>
          <w:sz w:val="22"/>
          <w:szCs w:val="22"/>
        </w:rPr>
        <w:t xml:space="preserve">“Kültür analizi araştırmalarında çalışılan kültürün yeterli düzeyde anlaşılamaması karşımıza çıkan önemli sorunlardan bir tanesidir. Bu durumda ortaya çıkan bulgular kültüre özgü anlamları ve deneyimleri yansıtmada yetersiz kalacaktır. Araştırmacının alanda yeterli düzeyde zaman ve çaba harcamaması, kültürü kendi varsayımları ve inançları doğrultusunda anlamaya çalışması ya da kültüre ilişkin olguları kavrayamaması bu tür sorunların ortaya çıkmasına neden olabilir.”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72, PDF s. 70]</w:t>
      </w:r>
    </w:p>
    <w:p>
      <w:pPr>
        <w:spacing w:after="120" w:line="360"/>
        <w:ind w:firstLine="567"/>
        <w:jc w:val="both"/>
      </w:pPr>
      <w:r>
        <w:rPr>
          <w:rFonts w:ascii="Times New Roman" w:cs="Traditional Arabic" w:eastAsia="Times New Roman" w:hAnsi="Times New Roman"/>
          <w:i w:val="false"/>
          <w:sz w:val="24"/>
          <w:szCs w:val="24"/>
        </w:rPr>
        <w:t xml:space="preserve">Klasik gelenekte başka bir topluluğun inanç ve âdetlerini tasvir etmeye çalışan eserler arasında Bîrûnî'nin </w:t>
      </w:r>
      <w:r>
        <w:rPr>
          <w:rFonts w:ascii="Times New Roman" w:cs="Traditional Arabic" w:eastAsia="Times New Roman" w:hAnsi="Times New Roman"/>
          <w:i/>
          <w:iCs/>
          <w:sz w:val="24"/>
          <w:szCs w:val="24"/>
        </w:rPr>
        <w:t xml:space="preserve">Tahkîku mâ li'l-Hind</w:t>
      </w:r>
      <w:r>
        <w:rPr>
          <w:rFonts w:ascii="Times New Roman" w:cs="Traditional Arabic" w:eastAsia="Times New Roman" w:hAnsi="Times New Roman"/>
          <w:i w:val="false"/>
          <w:sz w:val="24"/>
          <w:szCs w:val="24"/>
        </w:rPr>
        <w:t xml:space="preserve">'i ayrı bir yere sahiptir. Bîrûnî eserin başında, muhaliflerin ve hasımların görüşlerini aktarmayı amaçlayanların pek azının uzak kalabildiği bir tutumdan söz etmektedir.</w:t>
      </w:r>
      <w:r>
        <w:rPr>
          <w:rStyle w:val="FootnoteReference"/>
        </w:rPr>
        <w:footnoteReference w:id="14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Metnin akışından anlaşıldığı kadarıyla bu tutum, karşı tarafın görüşünü bir meyille ya da bir yaranma kaygısıyla aktarmaktır. Nitekim Bîrûnî, makalât kitaplarının yazarları arasında meyil ve müdahene olmaksızın salt nakli amaçlayan kimse olarak yalnızca Ebü'l-Abbâs el-Îrânşehrî'yi bulabildiğini söylemektedir.</w:t>
      </w:r>
      <w:r>
        <w:rPr>
          <w:rStyle w:val="FootnoteReference"/>
        </w:rPr>
        <w:footnoteReference w:id="14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“فأعلمته أنّ هذه طريقة قلّ ما يخلوا منها من يقصد الحكاية عن المخالفين والخصوم،”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11655, page_id 12, basılı s. 15]</w:t>
      </w:r>
    </w:p>
    <w:p>
      <w:pPr>
        <w:pStyle w:val="DogrulamaAR"/>
        <w:bidi/>
        <w:spacing w:after="20" w:line="300"/>
        <w:ind w:end="567"/>
        <w:jc w:val="both"/>
      </w:pPr>
      <w:r>
        <w:rPr>
          <w:rFonts w:ascii="Times New Roman" w:cs="Traditional Arabic" w:eastAsia="Times New Roman" w:hAnsi="Times New Roman"/>
          <w:i/>
          <w:iCs/>
          <w:sz w:val="24"/>
          <w:szCs w:val="30"/>
          <w:rtl/>
        </w:rPr>
        <w:t xml:space="preserve">“فما وجدت من أصحاب كتب المقالات أحدا قصد الحكاية المجرّدة من غير ميل ولا مداهنة سوى أبي العبّاس الإيرانشهريّ،”</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11655, page_id 12, basılı s. 15]</w:t>
      </w:r>
    </w:p>
    <w:p>
      <w:pPr>
        <w:spacing w:after="120" w:line="360"/>
        <w:ind w:firstLine="567"/>
        <w:jc w:val="both"/>
      </w:pPr>
      <w:r>
        <w:rPr>
          <w:rFonts w:ascii="Times New Roman" w:cs="Traditional Arabic" w:eastAsia="Times New Roman" w:hAnsi="Times New Roman"/>
          <w:i w:val="false"/>
          <w:sz w:val="24"/>
          <w:szCs w:val="24"/>
        </w:rPr>
        <w:t xml:space="preserve">Bîrûnî kendi tutumunu da açıkça ilan etmektedir. Eserini hasma iftira etmeden ve onun sözünü, hakka aykırı düşse ve hak ehlinin işitmesi ağır gelse bile nakletmekten çekinmeden yazdığını belirtmektedir. Gerekçesi kısa ve açıktır: Bu onun inancıdır ve onu en iyi bilen kendisidir.</w:t>
      </w:r>
      <w:r>
        <w:rPr>
          <w:rStyle w:val="FootnoteReference"/>
        </w:rPr>
        <w:footnoteReference w:id="14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Bîrûnî eserini bir nakil kitabı olarak tanımlamakta, Hintlilerin sözünü olduğu gibi aktardığını ve aralarındaki yakınlığı göstermek için Yunanlıların benzer görüşlerini de eklediğini söylemektedir.</w:t>
      </w:r>
      <w:r>
        <w:rPr>
          <w:rStyle w:val="FootnoteReference"/>
        </w:rPr>
        <w:footnoteReference w:id="14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“ففعلته غير باهت على الخصم ولا متحرّج عن حكاية كلامه وإن باين الحقّ واستفظع سماعه عند أهله فهو اعتقاده وهو أبصر به.”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11655, page_id 12, basılı s. 15]</w:t>
      </w:r>
    </w:p>
    <w:p>
      <w:pPr>
        <w:pStyle w:val="DogrulamaAR"/>
        <w:bidi/>
        <w:spacing w:after="20" w:line="300"/>
        <w:ind w:end="567"/>
        <w:jc w:val="both"/>
      </w:pPr>
      <w:r>
        <w:rPr>
          <w:rFonts w:ascii="Times New Roman" w:cs="Traditional Arabic" w:eastAsia="Times New Roman" w:hAnsi="Times New Roman"/>
          <w:i/>
          <w:iCs/>
          <w:sz w:val="24"/>
          <w:szCs w:val="30"/>
          <w:rtl/>
        </w:rPr>
        <w:t xml:space="preserve">“وإنّما هو كتاب حكاية فأورد كلام الهند على وجهه وأضيف إليه ما لليونانيّين من مثله لتعريف المقاربة بينهم،”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11655, page_id 13, basılı s. 16]</w:t>
      </w:r>
    </w:p>
    <w:p>
      <w:pPr>
        <w:spacing w:after="120" w:line="360"/>
        <w:ind w:firstLine="567"/>
        <w:jc w:val="both"/>
      </w:pPr>
      <w:r>
        <w:rPr>
          <w:rFonts w:ascii="Times New Roman" w:cs="Traditional Arabic" w:eastAsia="Times New Roman" w:hAnsi="Times New Roman"/>
          <w:i w:val="false"/>
          <w:sz w:val="24"/>
          <w:szCs w:val="24"/>
        </w:rPr>
        <w:t xml:space="preserve">Bu ifadelerde kültür analizi açısından üç önemli tutum görülmektedir. Birincisi, başkasının inancını onun kendi anlayışıyla aktarma çabasıdır. “Onu en iyi bilen kendisidir” ifadesi, modern araştırmanın içeriden bakış dediği tutumun klasik bir ifadesi olarak okunabilir. İkincisi, aktarımın meyil ve müdaheneden arındırılmasıdır. Bu, Yıldırım ve Şimşek'in kültürü kendi varsayımları doğrultusunda anlama tehlikesine dair uyarısıyla örtüşmektedir.</w:t>
      </w:r>
      <w:r>
        <w:rPr>
          <w:rStyle w:val="FootnoteReference"/>
        </w:rPr>
        <w:footnoteReference w:id="14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Üçüncüsü, bir karşılaştırma çerçevesi kullanılmasıdır. Bîrûnî, Hintlilerin sözüne Yunanlıların benzer görüşlerini ekleyerek ikisi arasındaki yakınlığı tanıtmayı amaçlamaktadır.</w:t>
      </w:r>
      <w:r>
        <w:rPr>
          <w:rStyle w:val="FootnoteReference"/>
        </w:rPr>
        <w:footnoteReference w:id="14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142.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146.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Bîrûnî, başka bir kültürü anlamanın önündeki engelleri de tasvir etmektedir. Ona göre Hint meselelerinin iç yüzünü görmeyi imkânsız kılan durumlar baştan göz önüne getirilmelidir. Böylece bunları bilmekle ya iş kolaylaşır ya da [eksikliğe] mazeret hazırlanmış olur. Mesele şudur ki kopukluk, bağlantının açığa çıkardığını gizler. Bu kopukluğun sebeplerinden biri, Hintlilerin milletlerin ortak olduğu her şeyde bizden ayrılmasıdır ve bunların ilki dildir.</w:t>
      </w:r>
      <w:r>
        <w:rPr>
          <w:rStyle w:val="FootnoteReference"/>
        </w:rPr>
        <w:footnoteReference w:id="14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diğeri de dindir. Bîrûnî, Hintlilerin din bakımından kendilerinden tamamen ayrıldığını ve iki tarafın da diğerinin inancından hiçbir şeyi kabul etmediğini belirtmektedir.</w:t>
      </w:r>
      <w:r>
        <w:rPr>
          <w:rStyle w:val="FootnoteReference"/>
        </w:rPr>
        <w:footnoteReference w:id="15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Dil engelinin ne kadar derin olduğunu gösteren bir örnek de vermektedir. Bazen onların ağzından bir isim alıp onu sağlam biçimde kaydetmeye çalıştıklarını, fakat aynı ismi kendilerine geri söylediklerinde onların bunu ancak güçlükle tanıyabildiğini anlatmaktadır.</w:t>
      </w:r>
      <w:r>
        <w:rPr>
          <w:rStyle w:val="FootnoteReference"/>
        </w:rPr>
        <w:footnoteReference w:id="15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“يجب أن نتصوّر أمام مقصودنا الأحوال التي لها يتعذّر استشفاف أمور الهند، فإما أن يسهل بمعرفتها الأمر وإمّا أن يتمهّد له العذر، وهو أنّ القطيعة تخفي ما تبديه الوصلة، ولها فيما بيننا أسباب: منها أنّ القوم يباينوننا بجميع ما يشترك فيه الأمم، وأوّلها اللغة”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11655, page_id 14, basılı s. 17]</w:t>
      </w:r>
    </w:p>
    <w:p>
      <w:pPr>
        <w:pStyle w:val="DogrulamaAR"/>
        <w:bidi/>
        <w:spacing w:after="20" w:line="300"/>
        <w:ind w:end="567"/>
        <w:jc w:val="both"/>
      </w:pPr>
      <w:r>
        <w:rPr>
          <w:rFonts w:ascii="Times New Roman" w:cs="Traditional Arabic" w:eastAsia="Times New Roman" w:hAnsi="Times New Roman"/>
          <w:i/>
          <w:iCs/>
          <w:sz w:val="24"/>
          <w:szCs w:val="30"/>
          <w:rtl/>
        </w:rPr>
        <w:t xml:space="preserve">“ومنها أنهم يباينوننا بالديانة مباينة كلّيّة لا يقع منّا شيء من الإقرار بما عندهم ولا منهم بشيء مما عندنا،”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11655, page_id 15, basılı s. 18]</w:t>
      </w:r>
    </w:p>
    <w:p>
      <w:pPr>
        <w:pStyle w:val="DogrulamaAR"/>
        <w:bidi/>
        <w:spacing w:after="20" w:line="300"/>
        <w:ind w:end="567"/>
        <w:jc w:val="both"/>
      </w:pPr>
      <w:r>
        <w:rPr>
          <w:rFonts w:ascii="Times New Roman" w:cs="Traditional Arabic" w:eastAsia="Times New Roman" w:hAnsi="Times New Roman"/>
          <w:i/>
          <w:iCs/>
          <w:sz w:val="24"/>
          <w:szCs w:val="30"/>
          <w:rtl/>
        </w:rPr>
        <w:t xml:space="preserve">“ويكفيك معرّفا أنّا ربّما تلقفنا من أفواههم. اسما واجتهدنا في التوثقة منه فاذا أعدناه عليهم لم يكادوا يعرفونه إلا بجهد”</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11655, page_id 15, basılı s. 18]</w:t>
      </w:r>
    </w:p>
    <w:p>
      <w:pPr>
        <w:spacing w:after="120" w:line="360"/>
        <w:ind w:firstLine="567"/>
        <w:jc w:val="both"/>
      </w:pPr>
      <w:r>
        <w:rPr>
          <w:rFonts w:ascii="Times New Roman" w:cs="Traditional Arabic" w:eastAsia="Times New Roman" w:hAnsi="Times New Roman"/>
          <w:i w:val="false"/>
          <w:sz w:val="24"/>
          <w:szCs w:val="24"/>
        </w:rPr>
        <w:t xml:space="preserve">Bu son örnek, modern araştırmacının katılımcı teyidi dediği işleme benzeyen bir hareketi göstermektedir. Kaydedilen şey kaynağına geri söylenmekte ve kaynağın onu tanıyıp tanımadığı görülmektedir. Bîrûnî bu durumu bir isim düzeyinde anlatmaktadır.</w:t>
      </w:r>
      <w:r>
        <w:rPr>
          <w:rStyle w:val="FootnoteReference"/>
        </w:rPr>
        <w:footnoteReference w:id="15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araştırmada ise katılımcıya araştırmacının ulaştığı sonuçlar da götürülebilmektedir. Yine de kaydedilen bir ismin kaynağına geri söylendiğinde ancak güçlükle tanındığını anlatan bu satırlar, kanaatimizce on ikinci bölümde ele alınacak katılımcı teyidi için anlamlı bir klasik örnektir.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151.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Bîrûnî ile modern kültür analizi arasındaki farklar da göz ardı edilmemelidir. Bîrûnî kendi tanımıyla Hintlilerin sözünü olduğu gibi aktaran bir nakil kitabı yazmaktadır.</w:t>
      </w:r>
      <w:r>
        <w:rPr>
          <w:rStyle w:val="FootnoteReference"/>
        </w:rPr>
        <w:footnoteReference w:id="15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Bîrûnî'nin kendi tanımında öne çıkan, Hintlilerin sözlerinin olduğu gibi aktarılmasıdır. Modern kültür analizi ise, Yıldırım ve Şimşek'in tarifinde görüldüğü gibi, kültürün alanda gözlenmesini ve yaşanmasını gerektirmektedir.</w:t>
      </w:r>
      <w:r>
        <w:rPr>
          <w:rStyle w:val="FootnoteReference"/>
        </w:rPr>
        <w:footnoteReference w:id="15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Ayrıca Bîrûnî kendi inancını gizlememekte, aktardığı görüşün hakka aykırı olabileceğini açıkça söylemektedir.</w:t>
      </w:r>
      <w:r>
        <w:rPr>
          <w:rStyle w:val="FootnoteReference"/>
        </w:rPr>
        <w:footnoteReference w:id="15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din eğitimi araştırmacısı için asıl ders buradadır. Bîrûnî, bir inanç sahibi olarak başka bir inancı onun kendi diliyle aktarmanın mümkün olduğunu göstermektedir. Araştırmacının kendi dinî kanaatine sahip olması, başkasının tecrübesini dürüstçe tasvir etmesine engel değildir. Engel olan, bu kanaatin tasvire karışmasıdır.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146.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141.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145.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Benzer bir tutum Şehristânî'de de görülmektedir. Şehristânî </w:t>
      </w:r>
      <w:r>
        <w:rPr>
          <w:rFonts w:ascii="Times New Roman" w:cs="Traditional Arabic" w:eastAsia="Times New Roman" w:hAnsi="Times New Roman"/>
          <w:i/>
          <w:iCs/>
          <w:sz w:val="24"/>
          <w:szCs w:val="24"/>
        </w:rPr>
        <w:t xml:space="preserve">el-Milel ve'n-nihal</w:t>
      </w:r>
      <w:r>
        <w:rPr>
          <w:rFonts w:ascii="Times New Roman" w:cs="Traditional Arabic" w:eastAsia="Times New Roman" w:hAnsi="Times New Roman"/>
          <w:i w:val="false"/>
          <w:sz w:val="24"/>
          <w:szCs w:val="24"/>
        </w:rPr>
        <w:t xml:space="preserve">'de kendisine şart koştuğu ilkeyi her fırkanın mezhebini onların kitaplarında bulduğu şekilde, onlar lehine taassup göstermeden ve aleyhlerine ağır sözler sarf etmeden, doğrusunu yanlışından ayırmaksızın aktarmak olarak ifade etmektedir.</w:t>
      </w:r>
      <w:r>
        <w:rPr>
          <w:rStyle w:val="FootnoteReference"/>
        </w:rPr>
        <w:footnoteReference w:id="15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Şehristânî'nin bu ilkesi, betimleme ile değerlendirmenin birbirinden ayrılması gerektiği yönündeki modern uyarıyı hatırlatmaktadır. Ancak Şehristânî'nin dayanağı, kendi ifadesiyle fırkaların kitaplarıdır. Modern kültür analizi ise yazılı metinlerin yanında yaşayan insanların söz ve davranışlarını da incelemektedir.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“وشرطي على نفسي أن أورد مذهب كل فرقة على ما وجدته في كتبهم؛ من غير تعصب١ لهم، ولا كسر عليهم٢؛ دون أن أبين صحيحه من فاسده، وأعين حقه من باطله،”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11812, page_id 12, basılı cilt/sayfa 1/14] Not: Metindeki ١ ve ٢ rakamları muhakkik dipnot işaretleridir.</w:t>
      </w:r>
    </w:p>
    <w:p>
      <w:pPr>
        <w:pStyle w:val="Heading2"/>
        <w:keepNext/>
        <w:spacing w:after="120" w:before="240"/>
      </w:pPr>
      <w:r>
        <w:rPr>
          <w:rFonts w:ascii="Times New Roman" w:cs="Traditional Arabic" w:eastAsia="Times New Roman" w:hAnsi="Times New Roman"/>
          <w:b/>
          <w:bCs/>
          <w:i w:val="false"/>
          <w:sz w:val="24"/>
          <w:szCs w:val="24"/>
        </w:rPr>
        <w:t xml:space="preserve">5.2. Olgubilim ve Tasavvufî Hâl Tasvirleri</w:t>
      </w:r>
    </w:p>
    <w:p>
      <w:pPr>
        <w:spacing w:after="120" w:line="360"/>
        <w:ind w:firstLine="567"/>
        <w:jc w:val="both"/>
      </w:pPr>
      <w:r>
        <w:rPr>
          <w:rFonts w:ascii="Times New Roman" w:cs="Traditional Arabic" w:eastAsia="Times New Roman" w:hAnsi="Times New Roman"/>
          <w:i w:val="false"/>
          <w:sz w:val="24"/>
          <w:szCs w:val="24"/>
        </w:rPr>
        <w:t xml:space="preserve">Olgubilim (fenomenoloji) deseni, Yıldırım ve Şimşek'in ifadesiyle farkında olduğumuz ancak derinlemesine ve ayrıntılı bir anlayışa sahip olmadığımız olgulara odaklanmaktadır.</w:t>
      </w:r>
      <w:r>
        <w:rPr>
          <w:rStyle w:val="FootnoteReference"/>
        </w:rPr>
        <w:footnoteReference w:id="15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bize tamamen yabancı olmayan, fakat tam anlamını da kavrayamadığımız olguları araştırmak isteyen çalışmalar için olgubilim uygun bir zemin oluşturmaktadır.</w:t>
      </w:r>
      <w:r>
        <w:rPr>
          <w:rStyle w:val="FootnoteReference"/>
        </w:rPr>
        <w:footnoteReference w:id="15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eğitiminde ibadet, dua, tövbe, şükür ve huşû gibi kavramlar tam da bu türden olgulardır. Herkes bunları bilmekte, fakat her biri farklı insanlarda farklı biçimlerde yaşanmaktadır.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“Olgubilim (fenomenoloji/phenomenology) deseni farkında olduğumuz ancak derinlemesine ve ayrıntılı bir anlayışa sahip olmadığımız olgulara odaklanmaktadır.”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72, PDF s. 70]</w:t>
      </w:r>
    </w:p>
    <w:p>
      <w:pPr>
        <w:pStyle w:val="Dogrulama"/>
        <w:spacing w:after="20" w:line="276"/>
        <w:ind w:left="567"/>
        <w:jc w:val="both"/>
      </w:pPr>
      <w:r>
        <w:rPr>
          <w:rFonts w:ascii="Times New Roman" w:cs="Traditional Arabic" w:eastAsia="Times New Roman" w:hAnsi="Times New Roman"/>
          <w:i/>
          <w:iCs/>
          <w:sz w:val="22"/>
          <w:szCs w:val="22"/>
        </w:rPr>
        <w:t xml:space="preserve">“Bize tümüyle yabancı olmayan aynı zamanda da tam anlamını kavrayamadığımız olguları araştırmayı amaçlayan çalışmalar için olgubilim (fenomenoloji) uygun bir araştırma zemini oluşturur.”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72, PDF s. 70]</w:t>
      </w:r>
    </w:p>
    <w:p>
      <w:pPr>
        <w:spacing w:after="120" w:line="360"/>
        <w:ind w:firstLine="567"/>
        <w:jc w:val="both"/>
      </w:pPr>
      <w:r>
        <w:rPr>
          <w:rFonts w:ascii="Times New Roman" w:cs="Traditional Arabic" w:eastAsia="Times New Roman" w:hAnsi="Times New Roman"/>
          <w:i w:val="false"/>
          <w:sz w:val="24"/>
          <w:szCs w:val="24"/>
        </w:rPr>
        <w:t xml:space="preserve">Klasik gelenekte yaşanan tecrübeyi kendine özgü bir dille tasvir etmeye çalışan en zengin alan tasavvuftur. Kuşeyrî </w:t>
      </w:r>
      <w:r>
        <w:rPr>
          <w:rFonts w:ascii="Times New Roman" w:cs="Traditional Arabic" w:eastAsia="Times New Roman" w:hAnsi="Times New Roman"/>
          <w:i/>
          <w:iCs/>
          <w:sz w:val="24"/>
          <w:szCs w:val="24"/>
        </w:rPr>
        <w:t xml:space="preserve">er-Risâle</w:t>
      </w:r>
      <w:r>
        <w:rPr>
          <w:rFonts w:ascii="Times New Roman" w:cs="Traditional Arabic" w:eastAsia="Times New Roman" w:hAnsi="Times New Roman"/>
          <w:i w:val="false"/>
          <w:sz w:val="24"/>
          <w:szCs w:val="24"/>
        </w:rPr>
        <w:t xml:space="preserve">'de hâli, sûfîlere göre kalbe kişinin kastı, çabası ve kazancı olmaksızın gelen bir mana olarak tanımlamakta ve bunun örnekleri olarak sevinç ve hüznü, ferahlama ve daralmayı, özlem ve huzursuzluğu, heybet ve ihtiyacı saymaktadır. Ona göre hâller bağış, makamlar ise kazanımdır.</w:t>
      </w:r>
      <w:r>
        <w:rPr>
          <w:rStyle w:val="FootnoteReference"/>
        </w:rPr>
        <w:footnoteReference w:id="15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tanım, dinî tecrübenin bir boyutunun kişinin iradesiyle üretilemeyen, ona gelen bir şey olarak yaşandığını ifade etmektedir.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“والحال عِنْدَ الْقَوْم: معنى يرد عَلَى القلب من غَيْر تعمد مِنْهُم ولا اجتلاب ولا اكتساب لَهُمْ من طرب أَوْ حزن أَوْ بسط أَوْ قبض أَوْ شوق أَوِ انزعاج أَوْ هيبة أَوِ احتياج، فالأحوال مواهب والمقامات مكاسب، والأحوال تأتي من غَيْر الوجود والمقامات تحصل ببذل المجهود”</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9953, page_id 140, basılı cilt/sayfa 1/154]</w:t>
      </w:r>
    </w:p>
    <w:p>
      <w:pPr>
        <w:spacing w:after="120" w:line="360"/>
        <w:ind w:firstLine="567"/>
        <w:jc w:val="both"/>
      </w:pPr>
      <w:r>
        <w:rPr>
          <w:rFonts w:ascii="Times New Roman" w:cs="Traditional Arabic" w:eastAsia="Times New Roman" w:hAnsi="Times New Roman"/>
          <w:i w:val="false"/>
          <w:sz w:val="24"/>
          <w:szCs w:val="24"/>
        </w:rPr>
        <w:t xml:space="preserve">Gazzâlî ise </w:t>
      </w:r>
      <w:r>
        <w:rPr>
          <w:rFonts w:ascii="Times New Roman" w:cs="Traditional Arabic" w:eastAsia="Times New Roman" w:hAnsi="Times New Roman"/>
          <w:i/>
          <w:iCs/>
          <w:sz w:val="24"/>
          <w:szCs w:val="24"/>
        </w:rPr>
        <w:t xml:space="preserve">el-Munkız</w:t>
      </w:r>
      <w:r>
        <w:rPr>
          <w:rFonts w:ascii="Times New Roman" w:cs="Traditional Arabic" w:eastAsia="Times New Roman" w:hAnsi="Times New Roman"/>
          <w:i w:val="false"/>
          <w:sz w:val="24"/>
          <w:szCs w:val="24"/>
        </w:rPr>
        <w:t xml:space="preserve">'da sûfîlerin en has özelliğinin öğrenmekle değil, zevk, hâl ve sıfatların değişmesiyle ulaşılabilen bir şey olduğunu söylemektedir. Bunu bir örnekle açıklamaktadır: Sağlığın ve tokluğun tanımını, sebeplerini ve şartlarını bilmek ile sağlıklı ve tok olmak arasında büyük bir fark vardır.</w:t>
      </w:r>
      <w:r>
        <w:rPr>
          <w:rStyle w:val="FootnoteReference"/>
        </w:rPr>
        <w:footnoteReference w:id="16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Gazzâlî bu tespitten sonra sûfîlerin söz sahipleri değil hâl sahipleri olduğunu kesin olarak bildiğini, ilim yoluyla elde edilebilecek olanı elde ettiğini, geriye işitme ve öğrenme yoluyla değil ancak zevk ve sülûk yoluyla ulaşılabilecek olanın kaldığını anlatmaktadır.</w:t>
      </w:r>
      <w:r>
        <w:rPr>
          <w:rStyle w:val="FootnoteReference"/>
        </w:rPr>
        <w:footnoteReference w:id="16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“أخص خواصهم، ما لا يمكن الوصول إليه بالتعلم بل بالذوق والحال وتبدل الصفات. وكم من الفرق أن تعلم حد الصحة وحد الشبع وأسبابهما وشروطهما، وبين أن تكون صحيحاً وشبعان؟”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58, basılı s. 172]</w:t>
      </w:r>
    </w:p>
    <w:p>
      <w:pPr>
        <w:pStyle w:val="DogrulamaAR"/>
        <w:bidi/>
        <w:spacing w:after="20" w:line="300"/>
        <w:ind w:end="567"/>
        <w:jc w:val="both"/>
      </w:pPr>
      <w:r>
        <w:rPr>
          <w:rFonts w:ascii="Times New Roman" w:cs="Traditional Arabic" w:eastAsia="Times New Roman" w:hAnsi="Times New Roman"/>
          <w:i/>
          <w:iCs/>
          <w:sz w:val="24"/>
          <w:szCs w:val="30"/>
          <w:rtl/>
        </w:rPr>
        <w:t xml:space="preserve">“فعلمت يقيناً أنهم أرباب الأحوال، لا أصحاب الأقوال. وأن ما يمكن تحصيله بطريق العلم فقد حصلته، ولم يبق إلا ما لا سبيل إليه بالسماع والتعلم، بل بالذوق والسلوك.”</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58, basılı s. 172]</w:t>
      </w:r>
    </w:p>
    <w:p>
      <w:pPr>
        <w:spacing w:after="120" w:line="360"/>
        <w:ind w:firstLine="567"/>
        <w:jc w:val="both"/>
      </w:pPr>
      <w:r>
        <w:rPr>
          <w:rFonts w:ascii="Times New Roman" w:cs="Traditional Arabic" w:eastAsia="Times New Roman" w:hAnsi="Times New Roman"/>
          <w:i w:val="false"/>
          <w:sz w:val="24"/>
          <w:szCs w:val="24"/>
        </w:rPr>
        <w:t xml:space="preserve">Gazzâlî'nin bilmek ile olmak arasında yaptığı ayrım, olgubilimin temel sorusuyla yakından ilişkilidir. Bir tecrübenin tanımını bilmek, o tecrübenin yaşanma biçimini anlamak demek değildir. Olgubilimsel bir araştırma, tecrübeyi yaşayanların anlatımları üzerinden bu yaşanma biçimine yaklaşmaya çalışmaktadır. Kuşeyrî'nin hâl kavramları ise araştırmacıya dinî tecrübenin kendi geleneği içinde nasıl adlandırıldığını gösteren zengin bir kavram hazinesi sunmaktadır.</w:t>
      </w:r>
    </w:p>
    <w:p>
      <w:pPr>
        <w:spacing w:after="120" w:line="360"/>
        <w:ind w:firstLine="567"/>
        <w:jc w:val="both"/>
      </w:pPr>
      <w:r>
        <w:rPr>
          <w:rFonts w:ascii="Times New Roman" w:cs="Traditional Arabic" w:eastAsia="Times New Roman" w:hAnsi="Times New Roman"/>
          <w:i w:val="false"/>
          <w:sz w:val="24"/>
          <w:szCs w:val="24"/>
        </w:rPr>
        <w:t xml:space="preserve">İki tarz arasındaki ayrılık noktaları da açıktır. Gazzâlî'ye göre geriye kalan, işitme ve öğrenme yoluyla değil, ancak zevk ve sülûk yoluyla ulaşılabilecek olandır.</w:t>
      </w:r>
      <w:r>
        <w:rPr>
          <w:rStyle w:val="FootnoteReference"/>
        </w:rPr>
        <w:footnoteReference w:id="16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bilgi, yolun bizzat yürünmesini gerektirmektedir. Olgubilimsel araştırmacı ise tecrübeyi kendisi yaşamak zorunda değildir ve onun amacı tecrübenin yapısını anlamak ve tasvir etmektir. Kuşeyrî'nin kavramları da tasavvuf yolunun kendi içindeki bir rehberliğe hizmet etmektedir. Kanaatimizce bu kavramlar, araştırmacının katılımcıların anlatımlarını önceden hazırlanmış bir kalıba sokması için değil, anlatımlarda belirebilecek ince ayrımları fark etmesi için bir duyarlılık kaynağı olarak kullanılmalıdır.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161.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5.3. Kuram Oluşturma ve Kaidelerin İnşası</w:t>
      </w:r>
    </w:p>
    <w:p>
      <w:pPr>
        <w:spacing w:after="120" w:line="360"/>
        <w:ind w:firstLine="567"/>
        <w:jc w:val="both"/>
      </w:pPr>
      <w:r>
        <w:rPr>
          <w:rFonts w:ascii="Times New Roman" w:cs="Traditional Arabic" w:eastAsia="Times New Roman" w:hAnsi="Times New Roman"/>
          <w:i w:val="false"/>
          <w:sz w:val="24"/>
          <w:szCs w:val="24"/>
        </w:rPr>
        <w:t xml:space="preserve">Kuram oluşturma deseni, araştırmacının önceden belirlenmiş bir kuramı sınamak yerine verilerden hareketle bir açıklama modeli geliştirmesine dayanmaktadır. Yıldırım ve Şimşek, yorumlayıcı gelenekte kuramın araştırma sonucunda elde edildiğini ya da var olan bir kurama yeni boyutlar ve açıklamalar eklendiğini belirtmektedir.</w:t>
      </w:r>
      <w:r>
        <w:rPr>
          <w:rStyle w:val="FootnoteReference"/>
        </w:rPr>
        <w:footnoteReference w:id="16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“Oysa, yorumlamacı gelenekte bunun tam tersi gerçekleşir. Kuram, araştırma sonucu elde edilir ya da var olan bir kurama ilişkin yeni boyutlar ve açıklamalar ortaya konur.”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[309]-310, PDF s. 307-308] Not: 309 numaralı sayfada basılı sayfa numarası görünmemektedir (bölüm açılış sayfası). Köşeli ayraç içindeki numara, önceki ve sonraki sayfaların basılı numaralarından çıkarılmıştır.</w:t>
      </w:r>
    </w:p>
    <w:p>
      <w:pPr>
        <w:spacing w:after="120" w:line="360"/>
        <w:ind w:firstLine="567"/>
        <w:jc w:val="both"/>
      </w:pPr>
      <w:r>
        <w:rPr>
          <w:rFonts w:ascii="Times New Roman" w:cs="Traditional Arabic" w:eastAsia="Times New Roman" w:hAnsi="Times New Roman"/>
          <w:i w:val="false"/>
          <w:sz w:val="24"/>
          <w:szCs w:val="24"/>
        </w:rPr>
        <w:t xml:space="preserve">Klasik fıkıh düşüncesinde cüzî meselelerden küllî kaidelere yükselme çabası, bu desenle karşılaştırılmaya değer bir faaliyettir. Karâfî </w:t>
      </w:r>
      <w:r>
        <w:rPr>
          <w:rFonts w:ascii="Times New Roman" w:cs="Traditional Arabic" w:eastAsia="Times New Roman" w:hAnsi="Times New Roman"/>
          <w:i/>
          <w:iCs/>
          <w:sz w:val="24"/>
          <w:szCs w:val="24"/>
        </w:rPr>
        <w:t xml:space="preserve">el-Furûk</w:t>
      </w:r>
      <w:r>
        <w:rPr>
          <w:rFonts w:ascii="Times New Roman" w:cs="Traditional Arabic" w:eastAsia="Times New Roman" w:hAnsi="Times New Roman"/>
          <w:i w:val="false"/>
          <w:sz w:val="24"/>
          <w:szCs w:val="24"/>
        </w:rPr>
        <w:t xml:space="preserve">'un girişinde fer'î meseleleri küllî kaideler yerine cüzî münasebetlerle çıkarmaya kalkışan kimsenin fer'lerinin birbiriyle çeliştiğini, farklılaştığını ve zihninin bunlar arasında sarsıldığını söylemektedir.</w:t>
      </w:r>
      <w:r>
        <w:rPr>
          <w:rStyle w:val="FootnoteReference"/>
        </w:rPr>
        <w:footnoteReference w:id="16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Buna karşılık fıkhı kaideleriyle zabteden kimse, cüzler küllîlerin altına girdiği için cüzlerin çoğunu ezberlemekten müstağni olmakta, başkasına çelişik görünen şeyler onun nezdinde birleşmekte ve birbirine uyum kazanmaktadır.</w:t>
      </w:r>
      <w:r>
        <w:rPr>
          <w:rStyle w:val="FootnoteReference"/>
        </w:rPr>
        <w:footnoteReference w:id="165"/>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“وَمَنْ جَعَلَ يُخْرِجُ الْفُرُوعَ بِالْمُنَاسَبَاتِ الْجُزْئِيَّةِ دُونَ الْقَوَاعِدِ الْكُلِّيَّةِ تَنَاقَضَتْ عَلَيْهِ الْفُرُوعُ وَاخْتَلَفَتْ وَتَزَلْزَلَتْ خَوَاطِرُهُ فِيهَا وَاضْطَرَبَتْ،”</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2215, page_id 2, basılı cilt/sayfa 1/3]</w:t>
      </w:r>
    </w:p>
    <w:p>
      <w:pPr>
        <w:pStyle w:val="DogrulamaAR"/>
        <w:bidi/>
        <w:spacing w:after="20" w:line="300"/>
        <w:ind w:end="567"/>
        <w:jc w:val="both"/>
      </w:pPr>
      <w:r>
        <w:rPr>
          <w:rFonts w:ascii="Times New Roman" w:cs="Traditional Arabic" w:eastAsia="Times New Roman" w:hAnsi="Times New Roman"/>
          <w:i/>
          <w:iCs/>
          <w:sz w:val="24"/>
          <w:szCs w:val="30"/>
          <w:rtl/>
        </w:rPr>
        <w:t xml:space="preserve">“وَمَنْ ضَبَطَ الْفِقْهَ بِقَوَاعِدِهِ اسْتَغْنَى عَنْ حِفْظِ أَكْثَرِ الْجُزْئِيَّاتِ لِانْدِرَاجِهَا فِي الْكُلِّيَّاتِ، وَاتَّحَدَ عِنْدَهُ مَا تَنَاقَضَ عِنْدَ غَيْرِهِ وَتَنَاسَبَ.”</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2215, page_id 2, basılı cilt/sayfa 1/3]</w:t>
      </w:r>
    </w:p>
    <w:p>
      <w:pPr>
        <w:spacing w:after="120" w:line="360"/>
        <w:ind w:firstLine="567"/>
        <w:jc w:val="both"/>
      </w:pPr>
      <w:r>
        <w:rPr>
          <w:rFonts w:ascii="Times New Roman" w:cs="Traditional Arabic" w:eastAsia="Times New Roman" w:hAnsi="Times New Roman"/>
          <w:i w:val="false"/>
          <w:sz w:val="24"/>
          <w:szCs w:val="24"/>
        </w:rPr>
        <w:t xml:space="preserve">Karâfî'nin anlattığı süreç, çok sayıda dağınık ayrıntıyı onları açıklayan daha üst düzeydeki kavramlar altında toplama çabasıdır. Kuram oluşturma deseninde de araştırmacı, birbirinden kopuk görünen kodları kategoriler altında toplamakta ve bu kategoriler arasındaki ilişkileri kurarak bir açıklama geliştirmektedir. Karâfî'nin ifadesiyle başkasına çelişik görünen şeylerin birleşmesi, iyi kurulmuş bir kategori sisteminin verdiği kavrayışı da tarif etmektedir.</w:t>
      </w:r>
    </w:p>
    <w:p>
      <w:pPr>
        <w:spacing w:after="120" w:line="360"/>
        <w:ind w:firstLine="567"/>
        <w:jc w:val="both"/>
      </w:pPr>
      <w:r>
        <w:rPr>
          <w:rFonts w:ascii="Times New Roman" w:cs="Traditional Arabic" w:eastAsia="Times New Roman" w:hAnsi="Times New Roman"/>
          <w:i w:val="false"/>
          <w:sz w:val="24"/>
          <w:szCs w:val="24"/>
        </w:rPr>
        <w:t xml:space="preserve">Bununla birlikte Karâfî'nin kaideleri,</w:t>
      </w:r>
      <w:r>
        <w:rPr>
          <w:rStyle w:val="FootnoteReference"/>
        </w:rPr>
        <w:footnoteReference w:id="16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fıkhî hükümlere dair normatif ilkelerdir. Kuram oluşturma deseninin ulaştığı kuram ise belli bir bağlamdaki insan tecrübesini açıklayan, yeni verilerle değişmeye açık bir modeldir. Bu sebeple benzerlik, ayrıntıdan genele yükselme işleminde aranmalı, ulaşılan genelin niteliğinde aranmamalıdır. Karâfî'nin karşılaştırma ve ayırma usulü on birinci bölümde sürekli karşılaştırma yöntemiyle birlikte yeniden ele alınacaktır.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165.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5.4. Durum Çalışması</w:t>
      </w:r>
    </w:p>
    <w:p>
      <w:pPr>
        <w:spacing w:after="120" w:line="360"/>
        <w:ind w:firstLine="567"/>
        <w:jc w:val="both"/>
      </w:pPr>
      <w:r>
        <w:rPr>
          <w:rFonts w:ascii="Times New Roman" w:cs="Traditional Arabic" w:eastAsia="Times New Roman" w:hAnsi="Times New Roman"/>
          <w:i w:val="false"/>
          <w:sz w:val="24"/>
          <w:szCs w:val="24"/>
        </w:rPr>
        <w:t xml:space="preserve">Yıldırım ve Şimşek'e göre nitel durum çalışmasının en temel özelliği bir ya da birkaç durumun derinliğine araştırılmasıdır.</w:t>
      </w:r>
      <w:r>
        <w:rPr>
          <w:rStyle w:val="FootnoteReference"/>
        </w:rPr>
        <w:footnoteReference w:id="16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durumlar birbirinden farklı olduğu için sonuçların genellenmesinin söz konusu olmadığını, fakat bir duruma ilişkin sonuçların benzer durumların anlaşılmasına örnek ve deneyim oluşturmasının beklendiğini belirtmektedir.</w:t>
      </w:r>
      <w:r>
        <w:rPr>
          <w:rStyle w:val="FootnoteReference"/>
        </w:rPr>
        <w:footnoteReference w:id="16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okul, bir Kur'an kursu, bir cami cemaati ya da tek bir öğretmen, din eğitimi araştırmalarında durum olarak seçilebilecek birimlere örnektir.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durum çalışmasının en temel özelliği bir ya da birkaç durumun derinliğine araştırılmasıdır.”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77, PDF s. 75]</w:t>
      </w:r>
    </w:p>
    <w:p>
      <w:pPr>
        <w:pStyle w:val="Dogrulama"/>
        <w:spacing w:after="20" w:line="276"/>
        <w:ind w:left="567"/>
        <w:jc w:val="both"/>
      </w:pPr>
      <w:r>
        <w:rPr>
          <w:rFonts w:ascii="Times New Roman" w:cs="Traditional Arabic" w:eastAsia="Times New Roman" w:hAnsi="Times New Roman"/>
          <w:i/>
          <w:iCs/>
          <w:sz w:val="22"/>
          <w:szCs w:val="22"/>
        </w:rPr>
        <w:t xml:space="preserve">“Durumlar birbirinden farklı olduğu için sonuçların genellenmesi söz konusu değildir. Ancak bir duruma ilişkin olarak elde edilen sonuçların benzer durumların anlaşılmasına yönelik örnekler ve deneyimler oluşturması beklenir.”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77, PDF s. 75]</w:t>
      </w:r>
    </w:p>
    <w:p>
      <w:pPr>
        <w:spacing w:after="120" w:line="360"/>
        <w:ind w:firstLine="567"/>
        <w:jc w:val="both"/>
      </w:pPr>
      <w:r>
        <w:rPr>
          <w:rFonts w:ascii="Times New Roman" w:cs="Traditional Arabic" w:eastAsia="Times New Roman" w:hAnsi="Times New Roman"/>
          <w:i w:val="false"/>
          <w:sz w:val="24"/>
          <w:szCs w:val="24"/>
        </w:rPr>
        <w:t xml:space="preserve">Bu çalışmada incelenen klasik metinlerde durum çalışmasına doğrudan karşılık olarak gösterilebilecek bir çalışma tarzı tespit edilememiştir. Fetva ve nevâzil eserlerinde tek bir olayın ayrıntılı biçimde ele alınması bu açıdan incelenmeye değer görünmektedir, ancak bu eserler bu çalışmada taranmamıştır [SAĞLANAN BELGELERDE KAYNAK BULUNAMADI]. Bu nedenle durum çalışması için zorlama bir klasik karşılık önerilmemiştir.</w:t>
      </w:r>
    </w:p>
    <w:p>
      <w:pPr>
        <w:pStyle w:val="Heading2"/>
        <w:keepNext/>
        <w:spacing w:after="120" w:before="240"/>
      </w:pPr>
      <w:r>
        <w:rPr>
          <w:rFonts w:ascii="Times New Roman" w:cs="Traditional Arabic" w:eastAsia="Times New Roman" w:hAnsi="Times New Roman"/>
          <w:b/>
          <w:bCs/>
          <w:i w:val="false"/>
          <w:sz w:val="24"/>
          <w:szCs w:val="24"/>
        </w:rPr>
        <w:t xml:space="preserve">5.5. Eylem Araştırması ve Öğretimin Sorgulanması</w:t>
      </w:r>
    </w:p>
    <w:p>
      <w:pPr>
        <w:spacing w:after="120" w:line="360"/>
        <w:ind w:firstLine="567"/>
        <w:jc w:val="both"/>
      </w:pPr>
      <w:r>
        <w:rPr>
          <w:rFonts w:ascii="Times New Roman" w:cs="Traditional Arabic" w:eastAsia="Times New Roman" w:hAnsi="Times New Roman"/>
          <w:i w:val="false"/>
          <w:sz w:val="24"/>
          <w:szCs w:val="24"/>
        </w:rPr>
        <w:t xml:space="preserve">Eylem araştırması, Yıldırım ve Şimşek'in tanımıyla uygulamada ortaya çıkan sorunların anlaşılmasına ve çözülmesine yönelik olarak uygulayıcıların tek başlarına ya da bir araştırmacıyla birlikte kendi uygulama süreçlerini incelemelerini içermektedir. Araştırma ile uygulamayı bir araya getiren ve araştırma sonuçlarının uygulamaya aktarılmasını kolaylaştıran bir yaklaşımdır.</w:t>
      </w:r>
      <w:r>
        <w:rPr>
          <w:rStyle w:val="FootnoteReference"/>
        </w:rPr>
        <w:footnoteReference w:id="16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bu yaklaşımı katılma, yansıtma ve geliştirme süreçlerinin birlikte işlediği bir araştırma tarzı olarak nitelemektedir.</w:t>
      </w:r>
      <w:r>
        <w:rPr>
          <w:rStyle w:val="FootnoteReference"/>
        </w:rPr>
        <w:footnoteReference w:id="17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desende uygulayıcının kendisi de bir veri toplama aracıdır ve önyargılardan ve kişisel varsayımlardan arındırılmış olması kaydıyla kendi algıları ve yorumları da veri olarak kullanılabilmektedir.</w:t>
      </w:r>
      <w:r>
        <w:rPr>
          <w:rStyle w:val="FootnoteReference"/>
        </w:rPr>
        <w:footnoteReference w:id="17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“Eylem araştırması uygulamada ortaya çıkan sorunların anlaşılmasına ve çözülmesine yönelik olarak uygulayıcıların tek başlarına ya da bir araştırmacı ile birlikte uygulama sürecini çalışmalarını içerir. Araştırma ile uygulamayı bir araya getiren ve araştırma sonuçlarının uygulamaya aktarılmasını kolaylaştıran bir araştırma yaklaşımıdır.”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78, PDF s. 76]</w:t>
      </w:r>
    </w:p>
    <w:p>
      <w:pPr>
        <w:pStyle w:val="Dogrulama"/>
        <w:spacing w:after="20" w:line="276"/>
        <w:ind w:left="567"/>
        <w:jc w:val="both"/>
      </w:pPr>
      <w:r>
        <w:rPr>
          <w:rFonts w:ascii="Times New Roman" w:cs="Traditional Arabic" w:eastAsia="Times New Roman" w:hAnsi="Times New Roman"/>
          <w:i/>
          <w:iCs/>
          <w:sz w:val="22"/>
          <w:szCs w:val="22"/>
        </w:rPr>
        <w:t xml:space="preserve">“Bu yönüyle eylem araştırması süreklilik gösteren bir araştırma girişimi olarak da algılanabilir. Son yıllarda eğitim alanında yaygın olarak kullanılmaya başlanan ve diğer tür kurum ve kuruluşlara da olası katkılar getirebilecek eylem araştırmaları uygulayıcılara uygulama süreç ve sonuçları hakkında araştırma yapma olanağı sunar. Örneğin bir okul ortamında öğretmenlere, yöneticilere ve çocukların eğitiminden sorumlu diğer uzmanlara, oluşturdukları eğitim süreçleri ve uygulamalarını daha iyi anlamaları, yine süreç, uygulama ve sonuçları iyileştirmeleri konularında yardımcı olur. Bu süreçte araştırma ve uygulama iç içedir. Yani araştırma sonuçları uygulamaya hemen aktarılabilir ve uygulamadaki sonuçlar doğrudan araştırılarak yeni sonuçlara ulaşılabilir. Bu yönüyle eylem araştırması”katılma,” “yansıtma” ve “geliştirme” süreçlerinin üretken bir biçimde işe koşulduğu bir araştırma yaklaşımıdır.”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78, PDF s. 76] Not: Alıntı, baskıda iki ayrı paragrafta yer alan cümleleri kapsamaktadır. İkinci paragraf “Son yıllarda” ifadesiyle başlamaktadır.</w:t>
      </w:r>
    </w:p>
    <w:p>
      <w:pPr>
        <w:pStyle w:val="Dogrulama"/>
        <w:spacing w:after="20" w:line="276"/>
        <w:ind w:left="567"/>
        <w:jc w:val="both"/>
      </w:pPr>
      <w:r>
        <w:rPr>
          <w:rFonts w:ascii="Times New Roman" w:cs="Traditional Arabic" w:eastAsia="Times New Roman" w:hAnsi="Times New Roman"/>
          <w:i/>
          <w:iCs/>
          <w:sz w:val="22"/>
          <w:szCs w:val="22"/>
        </w:rPr>
        <w:t xml:space="preserve">“Uygulayıcının kendisi, aynı zamanda veri toplama aracı olarak işlev görür. Yani önyargılardan ve kişisel varsayımlardan arındırılmış olması kaydıyla kendi algıları ve yorumları da veri olarak araştırmada kullanılabilir.”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[295], PDF s. 293] Not: 295 numaralı sayfada basılı sayfa numarası görünmemektedir (bölüm açılış sayfası). Köşeli ayraç içindeki numara, önceki ve sonraki sayfaların basılı numaralarından çıkarılmıştır.</w:t>
      </w:r>
    </w:p>
    <w:p>
      <w:pPr>
        <w:spacing w:after="120" w:line="360"/>
        <w:ind w:firstLine="567"/>
        <w:jc w:val="both"/>
      </w:pPr>
      <w:r>
        <w:rPr>
          <w:rFonts w:ascii="Times New Roman" w:cs="Traditional Arabic" w:eastAsia="Times New Roman" w:hAnsi="Times New Roman"/>
          <w:i w:val="false"/>
          <w:sz w:val="24"/>
          <w:szCs w:val="24"/>
        </w:rPr>
        <w:t xml:space="preserve">Eylem araştırmasının öğretmenler için taşıdığı anlam da yazarlar tarafından ayrıca vurgulanmaktadır. Onlara göre geleneksel olarak öğretmenlerin büyük çoğunluğu kendilerini araştırmaya uzak görmekte ya da başkalarının yaptığı araştırmaların sonuçlarını kendi sınıflarında uygulamakta güçlük çekmektedir. Eylem araştırması ise öğretmenlere kendi öğretim süreçlerine eleştirel bir gözle bakma, bu süreçlerle ilgili sorular belirleme, veri toplama, sonuçları analiz etme ve iyileştirmeye yönelik önlemler alma imkânı vermektedir.</w:t>
      </w:r>
      <w:r>
        <w:rPr>
          <w:rStyle w:val="FootnoteReference"/>
        </w:rPr>
        <w:footnoteReference w:id="17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“Geleneksel olarak öğretmenlerin büyük çoğunluğu kendilerini araştırmaya uzak görmekte veya başkaları tarafından yapılmış araştırma sonuçlarını kendi sınıflarında uygulamakta güçlük çekmektedirler. Oysa eylem araştırmasının kendilerine sunduğu yaklaşım çerçevesinde öğretmenler, kendi öğretim süreçlerine eleştirel bir gözle bakma, bu süreçlerle ilgili araştırma soruları belirleme, veri toplama, sonuçları analiz etme ve buna göre iyileştirmeye yönelik önlemler alma olanağı bulabilmektedirler.”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306, PDF s. 304]</w:t>
      </w:r>
    </w:p>
    <w:p>
      <w:pPr>
        <w:spacing w:after="120" w:line="360"/>
        <w:ind w:firstLine="567"/>
        <w:jc w:val="both"/>
      </w:pPr>
      <w:r>
        <w:rPr>
          <w:rFonts w:ascii="Times New Roman" w:cs="Traditional Arabic" w:eastAsia="Times New Roman" w:hAnsi="Times New Roman"/>
          <w:i w:val="false"/>
          <w:sz w:val="24"/>
          <w:szCs w:val="24"/>
        </w:rPr>
        <w:t xml:space="preserve">Klasik gelenekte bir öğretmenin kendi öğretimini sorgulamasının en etkileyici örneklerinden biri yine Gazzâlî'dedir. Gazzâlî, hallerine ve amellerine baktığında en güzel amellerinin tedris ve talim olduğunu, fakat bunlarda önemli olmayan ve ahiret yolunda fayda vermeyen ilimlere yöneldiğini gördüğünü anlatmaktadır. Ardından tedristeki niyetini düşündüğünü ve onun Allah rızası için halis olmadığını, onu harekete geçirenin makam arzusu ve şöhret isteği olduğunu fark ettiğini söylemektedir.</w:t>
      </w:r>
      <w:r>
        <w:rPr>
          <w:rStyle w:val="FootnoteReference"/>
        </w:rPr>
        <w:footnoteReference w:id="17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“ثم لاحظت أحوالي، فإذا أنا منغمس في العلائق، وقد أحدقت بي من الجوانب، ولاحظت أعمالي - وأحسنها التدريس والتعليم - فإذا أنا فيها مقبل على علوم غير مهمة، ولا نافعة في طريق الآخرة. ثم تفكرت في نيتي في التدريس، فإذا هي غير خالصة لوجه الله تعالى، بل باعثها ومحركها طلب الجاه وانتشار الصيت،”</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59, basılı s. 173]</w:t>
      </w:r>
    </w:p>
    <w:p>
      <w:pPr>
        <w:spacing w:after="120" w:line="360"/>
        <w:ind w:firstLine="567"/>
        <w:jc w:val="both"/>
      </w:pPr>
      <w:r>
        <w:rPr>
          <w:rFonts w:ascii="Times New Roman" w:cs="Traditional Arabic" w:eastAsia="Times New Roman" w:hAnsi="Times New Roman"/>
          <w:i w:val="false"/>
          <w:sz w:val="24"/>
          <w:szCs w:val="24"/>
        </w:rPr>
        <w:t xml:space="preserve">Bu satırlar, eylem araştırmasının merkezindeki yansıtma, yani uygulayıcının kendi uygulamasına dışarıdan bakması için güçlü bir örnek sunmaktadır. Gazzâlî kendi öğretiminin içeriğini ve niyetini sorgulamaktadır.</w:t>
      </w:r>
      <w:r>
        <w:rPr>
          <w:rStyle w:val="FootnoteReference"/>
        </w:rPr>
        <w:footnoteReference w:id="17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Ancak iki faaliyet arasındaki fark da büyüktür. Gazzâlî'nin sorgulaması manevi bir iç muhasebedir ve düzenli bir veri toplama sürecine dayanmamaktadır. Eylem araştırması ise yansıtmayı planlı bir veri toplama ve analiz süreciyle bir araya getirmekte, uygulayıcı tarafından tek başına ya da bir araştırmacıyla birlikte yürütülebilmekte ve uygulamayı geliştirmeyi hedeflemektedir. Kanaatimizce din eğitimcisi için Gazzâlî'nin örneği, eylem araştırmasının teknik yönünden çok ahlaki yönünü hatırlatmaktadır. Kendi öğretimini sorgulamak, öğretmenin niyetini ve önceliklerini de sorgulamasını gerektirebilir.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173.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5.6. Din Eğitimi Uygulaması: Her Desen İçin Bir Araştırma Kurgusu</w:t>
      </w:r>
    </w:p>
    <w:p>
      <w:pPr>
        <w:spacing w:after="120" w:line="360"/>
        <w:ind w:firstLine="567"/>
        <w:jc w:val="both"/>
      </w:pPr>
      <w:r>
        <w:rPr>
          <w:rFonts w:ascii="Times New Roman" w:cs="Traditional Arabic" w:eastAsia="Times New Roman" w:hAnsi="Times New Roman"/>
          <w:i w:val="false"/>
          <w:sz w:val="24"/>
          <w:szCs w:val="24"/>
        </w:rPr>
        <w:t xml:space="preserve">Aşağıdaki tablo, bölümde ele alınan desenlerin din eğitimi alanında nasıl kullanılabileceğini kurgusal araştırma örnekleri üzerinden göstermektedir.</w:t>
      </w:r>
    </w:p>
    <w:p>
      <w:pPr>
        <w:keepNext/>
        <w:spacing w:after="80" w:before="200"/>
      </w:pPr>
      <w:r>
        <w:rPr>
          <w:rFonts w:ascii="Times New Roman" w:cs="Traditional Arabic" w:eastAsia="Times New Roman" w:hAnsi="Times New Roman"/>
          <w:b/>
          <w:bCs/>
          <w:i w:val="false"/>
          <w:sz w:val="22"/>
          <w:szCs w:val="22"/>
        </w:rPr>
        <w:t xml:space="preserve">Tablo 5.1. Desenlere göre kurgusal din eğitimi araştırmaları (kurgusal örnek)</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881"/>
        <w:gridCol w:w="4409"/>
        <w:gridCol w:w="1763"/>
        <w:gridCol w:w="2015"/>
      </w:tblGrid>
      <w:tr>
        <w:trPr>
          <w:cantSplit/>
          <w:tblHeader/>
        </w:trPr>
        <w:tc>
          <w:tcPr>
            <w:tcW w:type="dxa" w:w="88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Desen</w:t>
            </w:r>
          </w:p>
        </w:tc>
        <w:tc>
          <w:tcPr>
            <w:tcW w:type="dxa" w:w="4409"/>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Kurgusal araştırma sorusu</w:t>
            </w:r>
          </w:p>
        </w:tc>
        <w:tc>
          <w:tcPr>
            <w:tcW w:type="dxa" w:w="176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Ortam ve katılımcılar</w:t>
            </w:r>
          </w:p>
        </w:tc>
        <w:tc>
          <w:tcPr>
            <w:tcW w:type="dxa" w:w="201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Başlıca veri toplama yolu</w:t>
            </w:r>
          </w:p>
        </w:tc>
      </w:tr>
      <w:tr>
        <w:trPr>
          <w:cantSplit/>
        </w:trPr>
        <w:tc>
          <w:tcPr>
            <w:tcW w:type="dxa" w:w="88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Kültür analizi</w:t>
            </w:r>
          </w:p>
        </w:tc>
        <w:tc>
          <w:tcPr>
            <w:tcW w:type="dxa" w:w="440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Bir imam hatip ortaokulunda öğrenciler mescitte vakit namazlarına ilişkin hangi yazılı olmayan kuralları paylaşmaktadır?</w:t>
            </w:r>
          </w:p>
        </w:tc>
        <w:tc>
          <w:tcPr>
            <w:tcW w:type="dxa" w:w="17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Okul mescidi, öğrenciler, öğretmenler</w:t>
            </w:r>
          </w:p>
        </w:tc>
        <w:tc>
          <w:tcPr>
            <w:tcW w:type="dxa" w:w="20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Uzun süreli katılımcı gözlem, görüşme</w:t>
            </w:r>
          </w:p>
        </w:tc>
      </w:tr>
      <w:tr>
        <w:trPr>
          <w:cantSplit/>
        </w:trPr>
        <w:tc>
          <w:tcPr>
            <w:tcW w:type="dxa" w:w="88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Olgubilim</w:t>
            </w:r>
          </w:p>
        </w:tc>
        <w:tc>
          <w:tcPr>
            <w:tcW w:type="dxa" w:w="440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Hafızlığını tamamlayan gençler hafızlık sürecini nasıl tecrübe etmiştir?</w:t>
            </w:r>
          </w:p>
        </w:tc>
        <w:tc>
          <w:tcPr>
            <w:tcW w:type="dxa" w:w="17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Hafızlık eğitimini yeni tamamlamış gençler</w:t>
            </w:r>
          </w:p>
        </w:tc>
        <w:tc>
          <w:tcPr>
            <w:tcW w:type="dxa" w:w="20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Derinlemesine bireysel görüşme</w:t>
            </w:r>
          </w:p>
        </w:tc>
      </w:tr>
      <w:tr>
        <w:trPr>
          <w:cantSplit/>
        </w:trPr>
        <w:tc>
          <w:tcPr>
            <w:tcW w:type="dxa" w:w="88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Kuram oluşturma</w:t>
            </w:r>
          </w:p>
        </w:tc>
        <w:tc>
          <w:tcPr>
            <w:tcW w:type="dxa" w:w="440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Din kültürü öğretmenleri öğrencilerin inançla ilgili şüphe sorularına nasıl eşlik etmektedir?</w:t>
            </w:r>
          </w:p>
        </w:tc>
        <w:tc>
          <w:tcPr>
            <w:tcW w:type="dxa" w:w="17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Farklı okullardan öğretmenler</w:t>
            </w:r>
          </w:p>
        </w:tc>
        <w:tc>
          <w:tcPr>
            <w:tcW w:type="dxa" w:w="20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sürekli karşılaştırmalı analiz</w:t>
            </w:r>
          </w:p>
        </w:tc>
      </w:tr>
      <w:tr>
        <w:trPr>
          <w:cantSplit/>
        </w:trPr>
        <w:tc>
          <w:tcPr>
            <w:tcW w:type="dxa" w:w="88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Durum çalışması</w:t>
            </w:r>
          </w:p>
        </w:tc>
        <w:tc>
          <w:tcPr>
            <w:tcW w:type="dxa" w:w="440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Bir köy camiinde yürütülen yaz Kur'an kursu çocukların camiyle ilişkisini nasıl şekillendirmektedir?</w:t>
            </w:r>
          </w:p>
        </w:tc>
        <w:tc>
          <w:tcPr>
            <w:tcW w:type="dxa" w:w="17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Tek bir kurs, öğreticiler, çocuklar, veliler</w:t>
            </w:r>
          </w:p>
        </w:tc>
        <w:tc>
          <w:tcPr>
            <w:tcW w:type="dxa" w:w="20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Gözlem, görüşme, kurs kayıtları</w:t>
            </w:r>
          </w:p>
        </w:tc>
      </w:tr>
      <w:tr>
        <w:trPr>
          <w:cantSplit/>
        </w:trPr>
        <w:tc>
          <w:tcPr>
            <w:tcW w:type="dxa" w:w="88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Eylem araştırması</w:t>
            </w:r>
          </w:p>
        </w:tc>
        <w:tc>
          <w:tcPr>
            <w:tcW w:type="dxa" w:w="440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Bir din kültürü öğretmeni ahlak konularındaki sınıf tartışmalarını nasıl daha katılımcı hale getirebilir?</w:t>
            </w:r>
          </w:p>
        </w:tc>
        <w:tc>
          <w:tcPr>
            <w:tcW w:type="dxa" w:w="17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Öğretmenin kendi sınıfı</w:t>
            </w:r>
          </w:p>
        </w:tc>
        <w:tc>
          <w:tcPr>
            <w:tcW w:type="dxa" w:w="20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 günlüğü, ders kayıtları, öğrenci yazıları</w:t>
            </w:r>
          </w:p>
        </w:tc>
      </w:tr>
    </w:tbl>
    <w:p>
      <w:pPr>
        <w:spacing w:after="160"/>
      </w:pP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Bir eylem araştırmasının döngüleri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Bir din kültürü ve ahlak bilgisi öğretmeni, sekizinci sınıflarda ahlak konularını işlerken sınıf tartışmalarına yalnızca birkaç öğrencinin katıldığını fark etmektedir. Birinci döngüde üç hafta boyunca derslerinin sonunda kısa notlar tutmakta ve öğrencilere tartışmaya neden katılmadıklarını soran anonim bir kâğıt dağıtmaktadır. Öğrencilerin bir kısmı “yanlış bir şey söylersem din konusunda ayıp olur” diye yazmaktadır.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İkinci döngüde öğretmen tartışmaları dinî hüküm sorularından değil, gündelik hayattan seçilen ikilem öykülerinden başlatmaktadır. Notları ve öğrenci yazıları katılımın arttığını, fakat bazı öğrencilerin öyküdeki kişiyi hemen yargıladığını göstermektedir. Üçüncü döngüde öğretmen, yargıdan önce “bu kişi ne hissetmiş olabilir” sorusunu sormayı denemektedir.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Bu süreçte öğretmen hem araştırmacı hem uygulayıcıdır. Gazzâlî'nin örneğinde olduğu gibi, yalnızca yöntemini değil, sınıfta neyi neden önemsediğini de sorgulamaktadır. Araştırma raporunda bu sorgulama, öğretmenin kendi konumunu açıkladığı bir bölüm olarak yer almaktadır.</w:t>
      </w:r>
    </w:p>
    <w:p>
      <w:pPr>
        <w:spacing w:after="120"/>
      </w:pPr>
    </w:p>
    <w:p>
      <w:pPr>
        <w:keepNext/>
        <w:spacing w:after="80" w:before="200"/>
      </w:pPr>
      <w:r>
        <w:rPr>
          <w:rFonts w:ascii="Times New Roman" w:cs="Traditional Arabic" w:eastAsia="Times New Roman" w:hAnsi="Times New Roman"/>
          <w:b/>
          <w:bCs/>
          <w:i w:val="false"/>
          <w:sz w:val="22"/>
          <w:szCs w:val="22"/>
        </w:rPr>
        <w:t xml:space="preserve">Tablo 5.2. Beşinci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993"/>
        <w:gridCol w:w="993"/>
        <w:gridCol w:w="1739"/>
        <w:gridCol w:w="1490"/>
        <w:gridCol w:w="2360"/>
        <w:gridCol w:w="1490"/>
      </w:tblGrid>
      <w:tr>
        <w:trPr>
          <w:cantSplit/>
          <w:tblHeader/>
        </w:trPr>
        <w:tc>
          <w:tcPr>
            <w:tcW w:type="dxa" w:w="99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99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739"/>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49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236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49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Kültür analizi ve içeriden bakış</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Salt nakil (el-hikâyetü'l-mücerrede)</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Bîrûnî, Tahkîku mâ li'l-Hind, 15-16 (Şamile 11655)</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Başkasının inancını onun anlayışıyla, meyil olmaksızın aktarma</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Bîrûnî kendi tanımıyla bir nakil kitabı yazar, modern kültür analizi gündelik hayatı ve davranışları da inceler</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Farklı dindarlık biçimlerinin ve okul kültürlerinin tasviri</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 teyidi</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Kaydedilen ismi kaynağına geri söyleme</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Bîrûnî, Tahkîku mâ li'l-Hind, 18 (Şamile 11655)</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Kayıt ile kaynak arasındaki mesafeyi geri dönüşle fark etme</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Bîrûnî bir kelimeyi, nitel araştırmacı yorumunu teyit ettirir</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özetlerinin katılımcılara okunması</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Betimleme ile değerlendirmenin ayrılması</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Taassup ve aleyhte söz olmaksızın aktarma</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Şehristânî, el-Milel ve'n-nihal, 1/14 (Şamile 11812)</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Doğruyu yanlıştan ayırmayı aktarımın dışında tutma</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Şehristânî fırkaların kitaplarına dayanır</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Farklı görüşteki katılımcıların anlatımlarının tarafsız sunulması</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Olgubilim</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Hâl ve zevk</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Kuşeyrî, er-Risâle, 1/154 (Şamile 9953), Gazzâlî, el-Munkız, 172 (Şamile 9246)</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Yaşanan tecrübenin bilgiden ayrı bir alan olarak görülmesi</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Tasavvufun amacı manevi kemal, olgubilimin amacı tecrübenin tasviridir</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İbadet ve dua tecrübelerinin incelenmesi</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Kuram oluşturma</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Cüzlerin küllî kaidelere irca edilmesi</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Karâfî, el-Furûk, 1/3 (Şamile 2215)</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Dağınık ayrıntıların üst düzey kavramlar altında toplanması</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Kaideler normatif ve fıkhî hükümlere dairdir, kuram ampirik ve değişmeye açıktır</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Kodlardan kategorilere ve modele ulaşma</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Eylem araştırması ve yansıtma</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Öğretimdeki niyetin muhasebesi</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el-Munkız, 173 (Şamile 9246)</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Uygulayıcının kendi uygulamasına eleştirel bakması</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Gazzâlî'nin muhasebesi manevi bir iç sorgulamadır, eylem araştırması planlı veri toplamaya dayanır</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Öğretmenin kendi dersini geliştirmesi</w:t>
            </w:r>
          </w:p>
        </w:tc>
      </w:tr>
      <w:tr>
        <w:trPr>
          <w:cantSplit/>
        </w:trPr>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Durum çalışması</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Karşılık tespit edilemedi</w:t>
            </w:r>
          </w:p>
        </w:tc>
        <w:tc>
          <w:tcPr>
            <w:tcW w:type="dxa" w:w="1739"/>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SAĞLANAN BELGELERDE KAYNAK BULUNAMADI</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Yok</w:t>
            </w:r>
          </w:p>
        </w:tc>
        <w:tc>
          <w:tcPr>
            <w:tcW w:type="dxa" w:w="236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Yok</w:t>
            </w:r>
          </w:p>
        </w:tc>
        <w:tc>
          <w:tcPr>
            <w:tcW w:type="dxa" w:w="149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Fetva ve nevâzil eserleri ileride taranabilir</w:t>
            </w:r>
          </w:p>
        </w:tc>
      </w:tr>
    </w:tbl>
    <w:p>
      <w:pPr>
        <w:spacing w:after="160"/>
      </w:pPr>
    </w:p>
    <w:p>
      <w:pPr>
        <w:pageBreakBefore/>
        <w:spacing w:after="240" w:before="3600"/>
        <w:jc w:val="center"/>
      </w:pPr>
      <w:r>
        <w:rPr>
          <w:rFonts w:ascii="Times New Roman" w:cs="Traditional Arabic" w:eastAsia="Times New Roman" w:hAnsi="Times New Roman"/>
          <w:b/>
          <w:bCs/>
          <w:i w:val="false"/>
          <w:color w:val="1F3864"/>
          <w:sz w:val="32"/>
          <w:szCs w:val="32"/>
        </w:rPr>
        <w:t xml:space="preserve">İKİNCİ KISIM</w:t>
      </w:r>
    </w:p>
    <w:p>
      <w:pPr>
        <w:spacing w:after="240"/>
        <w:jc w:val="center"/>
      </w:pPr>
      <w:r>
        <w:rPr>
          <w:rFonts w:ascii="Times New Roman" w:cs="Traditional Arabic" w:eastAsia="Times New Roman" w:hAnsi="Times New Roman"/>
          <w:b/>
          <w:bCs/>
          <w:i w:val="false"/>
          <w:sz w:val="28"/>
          <w:szCs w:val="28"/>
        </w:rPr>
        <w:t xml:space="preserve">VERİYE ULAŞMA: ʿİYÂN VE AHBÂR</w:t>
      </w:r>
    </w:p>
    <w:p>
      <w:pPr>
        <w:pageBreakBefore/>
        <w:spacing w:after="120" w:before="600"/>
        <w:jc w:val="center"/>
      </w:pPr>
      <w:r>
        <w:rPr>
          <w:rFonts w:ascii="Times New Roman" w:cs="Traditional Arabic" w:eastAsia="Times New Roman" w:hAnsi="Times New Roman"/>
          <w:b/>
          <w:bCs/>
          <w:i w:val="false"/>
          <w:color w:val="595959"/>
          <w:sz w:val="22"/>
          <w:szCs w:val="22"/>
        </w:rPr>
        <w:t xml:space="preserve">ALTINCI BÖLÜM</w:t>
      </w:r>
    </w:p>
    <w:p>
      <w:pPr>
        <w:pStyle w:val="Heading1"/>
        <w:spacing w:after="360"/>
        <w:jc w:val="center"/>
      </w:pPr>
      <w:r>
        <w:rPr>
          <w:rFonts w:ascii="Times New Roman" w:cs="Traditional Arabic" w:eastAsia="Times New Roman" w:hAnsi="Times New Roman"/>
          <w:b/>
          <w:bCs/>
          <w:i w:val="false"/>
          <w:color w:val="1F3864"/>
          <w:sz w:val="28"/>
          <w:szCs w:val="28"/>
        </w:rPr>
        <w:t xml:space="preserve">6. Araştırma Süreci, Araştırma Sorusu ve Örneklem</w:t>
      </w:r>
    </w:p>
    <w:p>
      <w:pPr>
        <w:spacing w:after="120" w:line="360"/>
        <w:ind w:firstLine="567"/>
        <w:jc w:val="both"/>
      </w:pPr>
      <w:r>
        <w:rPr>
          <w:rFonts w:ascii="Times New Roman" w:cs="Traditional Arabic" w:eastAsia="Times New Roman" w:hAnsi="Times New Roman"/>
          <w:i w:val="false"/>
          <w:sz w:val="24"/>
          <w:szCs w:val="24"/>
        </w:rPr>
        <w:t xml:space="preserve">Bir nitel araştırma, araştırmacının sahaya çıkmasından çok önce, neyi neden merak ettiğini açıkça ifade etmesiyle başlamaktadır. Araştırma sorusu, araştırmanın bütün aşamalarını yönlendiren bir pusuladır. Kimlerle konuşulacağı, nerede gözlem yapılacağı ve hangi dokümanlara bakılacağı da bu sorudan doğmaktadır. Bu bölümde nitel araştırma sürecinin genel yapısı, araştırma sorusunun oluşturulması ve örneklem seçimi ele alınmaktadır. Klasik gelenekten ise ilmin amelden önce gelmesi, soru sormanın değeri ve sayı çokluğuna karşı duyulan ihtiyat üzerine metinler bu konularla karşılaştırılmaktadır.</w:t>
      </w:r>
    </w:p>
    <w:p>
      <w:pPr>
        <w:pStyle w:val="Heading2"/>
        <w:keepNext/>
        <w:spacing w:after="120" w:before="240"/>
      </w:pPr>
      <w:r>
        <w:rPr>
          <w:rFonts w:ascii="Times New Roman" w:cs="Traditional Arabic" w:eastAsia="Times New Roman" w:hAnsi="Times New Roman"/>
          <w:b/>
          <w:bCs/>
          <w:i w:val="false"/>
          <w:sz w:val="24"/>
          <w:szCs w:val="24"/>
        </w:rPr>
        <w:t xml:space="preserve">6.1. Araştırma Süreci: Plan ve Esneklik</w:t>
      </w:r>
    </w:p>
    <w:p>
      <w:pPr>
        <w:spacing w:after="120" w:line="360"/>
        <w:ind w:firstLine="567"/>
        <w:jc w:val="both"/>
      </w:pPr>
      <w:r>
        <w:rPr>
          <w:rFonts w:ascii="Times New Roman" w:cs="Traditional Arabic" w:eastAsia="Times New Roman" w:hAnsi="Times New Roman"/>
          <w:i w:val="false"/>
          <w:sz w:val="24"/>
          <w:szCs w:val="24"/>
        </w:rPr>
        <w:t xml:space="preserve">Yıldırım ve Şimşek, bilimsel araştırmada gerçeğin doğasına uygun, düzenli ve tutarlı bir sürecin izlenmesinin önemli olduğunu, nitel araştırmacının da araştırmasını planlaması, fakat bu plan içinde belli bir esnekliğe yer vermesi gerektiğini belirtmektedir.</w:t>
      </w:r>
      <w:r>
        <w:rPr>
          <w:rStyle w:val="FootnoteReference"/>
        </w:rPr>
        <w:footnoteReference w:id="17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nitel araştırmanın aşamalarının doğrusal bir süreç içinde değil, karşılıklı etkileşime dayanan bir süreç içinde gerçekleştiğini, araştırma probleminin bütün aşamaları etkilediğini ve aşamalar arasındaki etkileşimin de karşılıklı olduğunu vurgulamaktadır.</w:t>
      </w:r>
      <w:r>
        <w:rPr>
          <w:rStyle w:val="FootnoteReference"/>
        </w:rPr>
        <w:footnoteReference w:id="17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“Bilimsel araştırmada gerçeğin doğasına uygun, sistematik ve tutarlı bir sürecin takip edilmesi önemlidir. Nitel araştırmacının bu amaca yönelik olarak araştırmasını plânlaması, ancak bu plân içinde belirli bir esnekliğe de yer vermesi gerekir.”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[83], PDF s. 81] Not: 83 numaralı sayfada basılı sayfa numarası görünmemektedir (bölüm açılış sayfası). Köşeli ayraç içindeki numara, önceki ve sonraki sayfaların basılı numaralarından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“Bu modelde de görüldüğü gibi, nitel araştırmanın tüm aşamaları doğrusal bir süreç içinde değil, etkileşime dayalı bir süreç içinde gerçekleşmektedir. Yani araştırma problemi süreçte yer alan tüm aşamaları yakından etkilemekte ve diğer aşamalar arasındaki etkileşim de karşılıklı olmaktadır.”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84, PDF s. 82]</w:t>
      </w:r>
    </w:p>
    <w:p>
      <w:pPr>
        <w:spacing w:after="120" w:line="360"/>
        <w:ind w:firstLine="567"/>
        <w:jc w:val="both"/>
      </w:pPr>
      <w:r>
        <w:rPr>
          <w:rFonts w:ascii="Times New Roman" w:cs="Traditional Arabic" w:eastAsia="Times New Roman" w:hAnsi="Times New Roman"/>
          <w:i w:val="false"/>
          <w:sz w:val="24"/>
          <w:szCs w:val="24"/>
        </w:rPr>
        <w:t xml:space="preserve">Bu iki vurgu, nitel araştırmayı plansız bir keşif faaliyeti olarak görme yanılgısını düzeltmektedir. Nitel araştırmacı sahaya bir planla çıkmaktadır. Ancak bu plan, sahada karşılaşılacak yeni durumlar karşısında değişebilecek bir plandır. Plan ile esneklik arasındaki bu denge, araştırmacının sahaya girmeden önce konusunu ve sorusunu yeterince düşünmüş olmasını gerektirmektedir.</w:t>
      </w:r>
    </w:p>
    <w:p>
      <w:pPr>
        <w:spacing w:after="120" w:line="360"/>
        <w:ind w:firstLine="567"/>
        <w:jc w:val="both"/>
      </w:pPr>
      <w:r>
        <w:rPr>
          <w:rFonts w:ascii="Times New Roman" w:cs="Traditional Arabic" w:eastAsia="Times New Roman" w:hAnsi="Times New Roman"/>
          <w:i w:val="false"/>
          <w:sz w:val="24"/>
          <w:szCs w:val="24"/>
        </w:rPr>
        <w:t xml:space="preserve">Buhârî'nin </w:t>
      </w:r>
      <w:r>
        <w:rPr>
          <w:rFonts w:ascii="Times New Roman" w:cs="Traditional Arabic" w:eastAsia="Times New Roman" w:hAnsi="Times New Roman"/>
          <w:i/>
          <w:iCs/>
          <w:sz w:val="24"/>
          <w:szCs w:val="24"/>
        </w:rPr>
        <w:t xml:space="preserve">Sahîh</w:t>
      </w:r>
      <w:r>
        <w:rPr>
          <w:rFonts w:ascii="Times New Roman" w:cs="Traditional Arabic" w:eastAsia="Times New Roman" w:hAnsi="Times New Roman"/>
          <w:i w:val="false"/>
          <w:sz w:val="24"/>
          <w:szCs w:val="24"/>
        </w:rPr>
        <w:t xml:space="preserve">'inde ilim kitabının bir bab başlığı bu düşünceyi hatırlatmaktadır. Buhârî babı “Söz ve amelden önce ilim” diye adlandırmakta ve buna Allah Teâlâ'nın “Bil ki Allah'tan başka ilah yoktur” sözünü delil getirerek Allah'ın ilimle başladığını belirtmektedir.</w:t>
      </w:r>
      <w:r>
        <w:rPr>
          <w:rStyle w:val="FootnoteReference"/>
        </w:rPr>
        <w:footnoteReference w:id="17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Buhârî'nin bu başlığı dinî ilmin söz ve amelden önce gelmesine dairdir ve bir araştırma metodolojisi için konmamıştır. Kanaatimizce yine de başlığın ifade ettiği sıralama, araştırmacı için de bir ölçü sunmaktadır. Sahaya çıkmak, görüşme yapmak ve gözlem notu tutmak araştırmacının “ameli”dir. Bu amelden önce araştırmacının konusunu, alan yazınını ve kendi sorusunu bilmesi gerekmektedir. Buhârî'nin başlıklarının bir yorum ve sınıflama faaliyeti olarak taşıdığı anlam on birinci bölümde ayrıca ele alınacaktır.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“١٠ - بَابٌ (¬٥) الْعِلْمُ قَبْلَ الْقَوْلِ وَالْعَمَلِ لِقَوْلِ اللَّهِ تَعَالَى: (¬٦) ﴿فَاعْلَمْ أَنَّهُ لَا إِلَهَ إِلَّا اللَّهُ﴾ (¬٧)، فَبَدَأَ بِالْعِلْمِ،”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1284, page_id 216, basılı cilt/sayfa 1/243] Not: (¬…) işaretleri muhakkikin dipnot işaretleridir.</w:t>
      </w:r>
    </w:p>
    <w:p>
      <w:pPr>
        <w:pStyle w:val="Heading2"/>
        <w:keepNext/>
        <w:spacing w:after="120" w:before="240"/>
      </w:pPr>
      <w:r>
        <w:rPr>
          <w:rFonts w:ascii="Times New Roman" w:cs="Traditional Arabic" w:eastAsia="Times New Roman" w:hAnsi="Times New Roman"/>
          <w:b/>
          <w:bCs/>
          <w:i w:val="false"/>
          <w:sz w:val="24"/>
          <w:szCs w:val="24"/>
        </w:rPr>
        <w:t xml:space="preserve">6.2. Araştırma Sorusu</w:t>
      </w:r>
    </w:p>
    <w:p>
      <w:pPr>
        <w:spacing w:after="120" w:line="360"/>
        <w:ind w:firstLine="567"/>
        <w:jc w:val="both"/>
      </w:pPr>
      <w:r>
        <w:rPr>
          <w:rFonts w:ascii="Times New Roman" w:cs="Traditional Arabic" w:eastAsia="Times New Roman" w:hAnsi="Times New Roman"/>
          <w:i w:val="false"/>
          <w:sz w:val="24"/>
          <w:szCs w:val="24"/>
        </w:rPr>
        <w:t xml:space="preserve">Yıldırım ve Şimşek araştırma sorusunu, araştırmaya konu olan problemin soru olarak ifade edilmiş biçimi olarak tanımlamakta ve onun araştırmanın diğer bütün aşamalarını derinden etkileyen bir öge olduğunu belirtmektedir.</w:t>
      </w:r>
      <w:r>
        <w:rPr>
          <w:rStyle w:val="FootnoteReference"/>
        </w:rPr>
        <w:footnoteReference w:id="17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nitel araştırmada araştırma sorusunun son halinin bazen veri toplama sürecinin bir bölümü tamamlandıktan sonra kararlaştırılabildiğini ve bu durumun soruların yazılmasında esnek bir yaklaşım gerektirdiğini de eklemektedir.</w:t>
      </w:r>
      <w:r>
        <w:rPr>
          <w:rStyle w:val="FootnoteReference"/>
        </w:rPr>
        <w:footnoteReference w:id="179"/>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 sorusu, araştırmaya konu olan problemin soru olarak ifade edilmiş biçimidir. Yani araştırmanın yapılmasına temel oluşturur. Araştırma sorusu veya soruları, araştırmanın diğer tüm aşamalarını derinden etkileyen ögelerdir.”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86, PDF s. 84]</w:t>
      </w:r>
    </w:p>
    <w:p>
      <w:pPr>
        <w:pStyle w:val="Dogrulama"/>
        <w:spacing w:after="20" w:line="276"/>
        <w:ind w:left="567"/>
        <w:jc w:val="both"/>
      </w:pPr>
      <w:r>
        <w:rPr>
          <w:rFonts w:ascii="Times New Roman" w:cs="Traditional Arabic" w:eastAsia="Times New Roman" w:hAnsi="Times New Roman"/>
          <w:i/>
          <w:iCs/>
          <w:sz w:val="22"/>
          <w:szCs w:val="22"/>
        </w:rPr>
        <w:t xml:space="preserve">“Hatta bazı araştırmalarda araştırma sorularının son hali ancak veri toplama sürecinin bir bölümü tamamlandıktan sonra kararlaştırılabilir. Bu durum araştırma sorularının yazılmasında esnek bir yaklaşımı gerektirir.”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86-87, PDF s. 84-85]</w:t>
      </w:r>
    </w:p>
    <w:p>
      <w:pPr>
        <w:spacing w:after="120" w:line="360"/>
        <w:ind w:firstLine="567"/>
        <w:jc w:val="both"/>
      </w:pPr>
      <w:r>
        <w:rPr>
          <w:rFonts w:ascii="Times New Roman" w:cs="Traditional Arabic" w:eastAsia="Times New Roman" w:hAnsi="Times New Roman"/>
          <w:i w:val="false"/>
          <w:sz w:val="24"/>
          <w:szCs w:val="24"/>
        </w:rPr>
        <w:t xml:space="preserve">Nitel araştırma sorusu “nasıl” ve “ne” sorularıyla kurulabilmektedir. “Din kültürü dersi öğrencilerin ahlaki gelişimini etkiliyor mu?” sorusu bir etki ilişkisi aramaktadır ve daha çok nicel bir desene uygundur. “Öğrenciler din kültürü dersinde işlenen ahlak konularını kendi hayatlarıyla nasıl ilişkilendirmektedir?” sorusu ise öğrencilerin anlam kurma sürecine yönelmektedir ve nitel bir desene uygundur. İyi bir nitel araştırma sorusu cevabını önceden ima etmemekte, katılımcıya kendi tecrübesini anlatabileceği bir alan açmaktadır.</w:t>
      </w:r>
    </w:p>
    <w:p>
      <w:pPr>
        <w:spacing w:after="120" w:line="360"/>
        <w:ind w:firstLine="567"/>
        <w:jc w:val="both"/>
      </w:pPr>
      <w:r>
        <w:rPr>
          <w:rFonts w:ascii="Times New Roman" w:cs="Traditional Arabic" w:eastAsia="Times New Roman" w:hAnsi="Times New Roman"/>
          <w:i w:val="false"/>
          <w:sz w:val="24"/>
          <w:szCs w:val="24"/>
        </w:rPr>
        <w:t xml:space="preserve">Creswell bu noktada dikkat çekici bir ayrım yapmaktadır. Ona göre açık ve yeni ortaya çıkan bir deseni ifade etmek için araştırma soruları “ne” ve “nasıl” kelimeleriyle başlamalıdır. “Niçin” kelimesi ise genellikle araştırmacının bir şeyin meydana gelme nedenini açıklamaya çalıştığını ima etmekte ve nicel araştırmayla ilişkilendirilen neden-sonuç düşüncesini akla getirmektedir.</w:t>
      </w:r>
      <w:r>
        <w:rPr>
          <w:rStyle w:val="FootnoteReference"/>
        </w:rPr>
        <w:footnoteReference w:id="18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Creswell ana sorunun, katılımcıların görüşlerini kısıtlamamak için genel biçimde sorulması gerektiğini, alt soruların ise çalışmanın odağını daraltmakla birlikte soru sormanın önünü kapatmaması gerektiğini de belirtmektedir.</w:t>
      </w:r>
      <w:r>
        <w:rPr>
          <w:rStyle w:val="FootnoteReference"/>
        </w:rPr>
        <w:footnoteReference w:id="18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bu uyarı, üçüncü bölümde ele alınan iki kayıt ilkesiyle de ilgilidir. “Öğrenciler niçin din kültürü dersine ilgisiz?” sorusu, ilgisizliği baştan bir vâkıa olarak kabul etmekte ve onun sebebini aramaktadır. “Öğrenciler din kültürü dersini nasıl tecrübe ediyor?” sorusu ise öğrencilerin kendi anlatımlarını birinci kayıtta dinlemeye imkân vermektedir.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“Açık ve yeni ortaya çıkan bir deseni ifade etmek için ne ve nasıl kelimeleriyle araştırma sorularına başlayınız. Niçin kelimesi genellikle araştırmacının bir şeyin meydana gelme nedenini açıklamaya çalıştığını ima eder. Bu kelime, nicel araştırma ile ilişkilendirilen ve katılımcıların görüşlerini almak için onları açıklamak yerine bu açıklamalarla sınırlandıran, neden-sonuç düşüncesini akla getirmektedir.”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140-141, PDF s. 171-172]</w:t>
      </w:r>
    </w:p>
    <w:p>
      <w:pPr>
        <w:pStyle w:val="Dogrulama"/>
        <w:spacing w:after="20" w:line="276"/>
        <w:ind w:left="567"/>
        <w:jc w:val="both"/>
      </w:pPr>
      <w:r>
        <w:rPr>
          <w:rFonts w:ascii="Times New Roman" w:cs="Traditional Arabic" w:eastAsia="Times New Roman" w:hAnsi="Times New Roman"/>
          <w:i/>
          <w:iCs/>
          <w:sz w:val="22"/>
          <w:szCs w:val="22"/>
        </w:rPr>
        <w:t xml:space="preserve">“Temel soru bir çalışmadaki merkezi fenomenin veya kavramın incelenmesini talep eden geniş bir sorudur. Araştırmacı nitel araştırmanın yöntemine uygun olarak, katılımcıların görüşlerini kısıtlamamak için bu soruyu genel bir şekilde sorar.”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139, PDF s. 170]</w:t>
      </w:r>
    </w:p>
    <w:p>
      <w:pPr>
        <w:pStyle w:val="Dogrulama"/>
        <w:spacing w:after="20" w:line="276"/>
        <w:ind w:left="567"/>
        <w:jc w:val="both"/>
      </w:pPr>
      <w:r>
        <w:rPr>
          <w:rFonts w:ascii="Times New Roman" w:cs="Traditional Arabic" w:eastAsia="Times New Roman" w:hAnsi="Times New Roman"/>
          <w:i/>
          <w:iCs/>
          <w:sz w:val="22"/>
          <w:szCs w:val="22"/>
        </w:rPr>
        <w:t xml:space="preserve">“Her bir temel soruyu birkaç alt soru takip eder; bu alt sorular çalışmanın odağını daraltır ancak soru sormanın önünü kapatmaz.”</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140, PDF s. 171. Not: Sonraki cümle Miles ve Huberman’a dayanmaktadır ve kullanılmamıştır.]</w:t>
      </w:r>
    </w:p>
    <w:p>
      <w:pPr>
        <w:spacing w:after="120" w:line="360"/>
        <w:ind w:firstLine="567"/>
        <w:jc w:val="both"/>
      </w:pPr>
      <w:r>
        <w:rPr>
          <w:rFonts w:ascii="Times New Roman" w:cs="Traditional Arabic" w:eastAsia="Times New Roman" w:hAnsi="Times New Roman"/>
          <w:i w:val="false"/>
          <w:sz w:val="24"/>
          <w:szCs w:val="24"/>
        </w:rPr>
        <w:t xml:space="preserve">Klasik ilim geleneğinde soru sormak övülen bir tutum olarak görülmüştür. İbn Abdilber </w:t>
      </w:r>
      <w:r>
        <w:rPr>
          <w:rFonts w:ascii="Times New Roman" w:cs="Traditional Arabic" w:eastAsia="Times New Roman" w:hAnsi="Times New Roman"/>
          <w:i/>
          <w:iCs/>
          <w:sz w:val="24"/>
          <w:szCs w:val="24"/>
        </w:rPr>
        <w:t xml:space="preserve">Câmiʿu beyâni'l-ilm</w:t>
      </w:r>
      <w:r>
        <w:rPr>
          <w:rFonts w:ascii="Times New Roman" w:cs="Traditional Arabic" w:eastAsia="Times New Roman" w:hAnsi="Times New Roman"/>
          <w:i w:val="false"/>
          <w:sz w:val="24"/>
          <w:szCs w:val="24"/>
        </w:rPr>
        <w:t xml:space="preserve">'de bir babı soru sormanın ve ilim talebinde ısrar etmenin övülmesine ve bundan alıkoyan şeyin yerilmesine ayırmaktadır.</w:t>
      </w:r>
      <w:r>
        <w:rPr>
          <w:rStyle w:val="FootnoteReference"/>
        </w:rPr>
        <w:footnoteReference w:id="18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babda senediyle naklettiği bir rivayete göre Hz. Âişe, Ensar kadınlarını övmüş ve hayanın onları dini sormaktan ve dinde derin bir anlayış kazanmaktan alıkoymadığını söylemiştir.</w:t>
      </w:r>
      <w:r>
        <w:rPr>
          <w:rStyle w:val="FootnoteReference"/>
        </w:rPr>
        <w:footnoteReference w:id="18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“بَابُ حَمْدِ السُّؤَالِ وَالْإِلْحَاحِ فِي طَلَبِ الْعِلْمِ وَذَمِّ مَا مُنِعَ مِنْهُ”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22367, page_id 422, basılı cilt/sayfa 1/373]</w:t>
      </w:r>
    </w:p>
    <w:p>
      <w:pPr>
        <w:pStyle w:val="DogrulamaAR"/>
        <w:bidi/>
        <w:spacing w:after="20" w:line="300"/>
        <w:ind w:end="567"/>
        <w:jc w:val="both"/>
      </w:pPr>
      <w:r>
        <w:rPr>
          <w:rFonts w:ascii="Times New Roman" w:cs="Traditional Arabic" w:eastAsia="Times New Roman" w:hAnsi="Times New Roman"/>
          <w:i/>
          <w:iCs/>
          <w:sz w:val="24"/>
          <w:szCs w:val="30"/>
          <w:rtl/>
        </w:rPr>
        <w:t xml:space="preserve">“عَنْ عَائِشَةَ قَالَتْ: «نِعْمَ النِّسَاءُ نِسَاءُ الْأَنْصَارِ لَمْ يَكُنْ يَمْنَعُهُنَّ الْحَيَاءُ أَنْ يَسْأَلْنَ عَنِ الدِّينِ وَيَتَفَقَّهْنَ فِيهِ»”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22367, page_id 424, basılı cilt/sayfa 1/375] Not: Şamile sayfası 1/374 başlığını taşımaktadır. Sayfa içindeki ⦗٣٧٥⦘ işareti rivayetin isnadında yer aldığından alıntılanan metin basılı 1/375'tedir.</w:t>
      </w:r>
    </w:p>
    <w:p>
      <w:pPr>
        <w:spacing w:after="120" w:line="360"/>
        <w:ind w:firstLine="567"/>
        <w:jc w:val="both"/>
      </w:pPr>
      <w:r>
        <w:rPr>
          <w:rFonts w:ascii="Times New Roman" w:cs="Traditional Arabic" w:eastAsia="Times New Roman" w:hAnsi="Times New Roman"/>
          <w:i w:val="false"/>
          <w:sz w:val="24"/>
          <w:szCs w:val="24"/>
        </w:rPr>
        <w:t xml:space="preserve">Bu metinlerde soru, bilmeyenin bilene yönelttiği ve onu daha derin bir anlayışa götüren bir faaliyettir. Nitel araştırmada ise araştırmacının sorusu, kendisinin bilmediği bir tecrübeyi o tecrübeyi yaşayanlara yöneltmesidir. Bu açıdan klasik metinlerdeki soru sorma ahlakı ile nitel araştırmanın soru anlayışı arasında bir yakınlık bulunmaktadır. Her ikisinde de soru, bilmediğini kabul etmenin ve öğrenmeye açık olmanın ifadesidir. Fark ise sorunun yöneltildiği kişinin konumundadır. Klasik metinlerde soru âlime yöneltilmektedir. Nitel araştırmada ise soru, ilmî bir otoritesi bulunmayan, fakat kendi tecrübesi hakkında araştırmacıdan daha çok şey bilen bir katılımcıya yöneltilmektedir. Bir çocuk, ilk orucunu nasıl tuttuğunu anlatırken araştırmacıya kendi tecrübesinin âlimi olarak cevap vermektedir.</w:t>
      </w:r>
    </w:p>
    <w:p>
      <w:pPr>
        <w:pStyle w:val="Heading2"/>
        <w:keepNext/>
        <w:spacing w:after="120" w:before="240"/>
      </w:pPr>
      <w:r>
        <w:rPr>
          <w:rFonts w:ascii="Times New Roman" w:cs="Traditional Arabic" w:eastAsia="Times New Roman" w:hAnsi="Times New Roman"/>
          <w:b/>
          <w:bCs/>
          <w:i w:val="false"/>
          <w:sz w:val="24"/>
          <w:szCs w:val="24"/>
        </w:rPr>
        <w:t xml:space="preserve">6.3. Araştırma Sorusu ile Alan Yazın Arasındaki Etkileşim ve Sahaya Giriş</w:t>
      </w:r>
    </w:p>
    <w:p>
      <w:pPr>
        <w:spacing w:after="120" w:line="360"/>
        <w:ind w:firstLine="567"/>
        <w:jc w:val="both"/>
      </w:pPr>
      <w:r>
        <w:rPr>
          <w:rFonts w:ascii="Times New Roman" w:cs="Traditional Arabic" w:eastAsia="Times New Roman" w:hAnsi="Times New Roman"/>
          <w:i w:val="false"/>
          <w:sz w:val="24"/>
          <w:szCs w:val="24"/>
        </w:rPr>
        <w:t xml:space="preserve">Nitel araştırmada araştırma sorusu ile alan yazın arasındaki ilişki tek yönlü değildir. Yıldırım ve Şimşek'e göre nitel araştırmada araştırma sorusu, araştırma problemiyle ilgili kuram ve alan yazın arasındaki yakın etkileşim sonucunda ortaya çıkmaktadır. Problemle ilgili yeterli alan yazın desteği varsa araştırma soruları daha ayrıntılı ifade edilebilir. Aksi halde sorular genel düzeyde kalabilir ve araştırma süreci içinde ayrıntılı hale gelebilir.</w:t>
      </w:r>
      <w:r>
        <w:rPr>
          <w:rStyle w:val="FootnoteReference"/>
        </w:rPr>
        <w:footnoteReference w:id="18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daha önce hiç araştırılmamış konular için açık uçlu sorularla araştırma sürecine başlamanın ve toplanan verilere göre alt sorulara ve kullanılacak yöntemlere karar vermenin yerinde olacağını da belirtmektedir.</w:t>
      </w:r>
      <w:r>
        <w:rPr>
          <w:rStyle w:val="FootnoteReference"/>
        </w:rPr>
        <w:footnoteReference w:id="185"/>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“Yukarıdaki örnekte de görüldüğü gibi, nitel araştırmada, araştırma sorusu araştırma problemi ile ilgili kuram ve alanyazın arasındaki yakın etkileşim sonucu ortaya çıkmaktadır. Eğer araştırma problemine ilişkin yeterli alanyazın desteği var ise, araştırma sorularını daha ayrıntılı olarak ifade etmek mümkündür. Aksi takdirde, araştırma soruları genel düzeyde kalabilir ve araştırma sürecinde bu soruların daha ayrıntılı hale gelmesi mümkün olabilir.”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94, PDF s. 92]</w:t>
      </w:r>
    </w:p>
    <w:p>
      <w:pPr>
        <w:pStyle w:val="Dogrulama"/>
        <w:spacing w:after="20" w:line="276"/>
        <w:ind w:left="567"/>
        <w:jc w:val="both"/>
      </w:pPr>
      <w:r>
        <w:rPr>
          <w:rFonts w:ascii="Times New Roman" w:cs="Traditional Arabic" w:eastAsia="Times New Roman" w:hAnsi="Times New Roman"/>
          <w:i/>
          <w:iCs/>
          <w:sz w:val="22"/>
          <w:szCs w:val="22"/>
        </w:rPr>
        <w:t xml:space="preserve">“Görüldüğü gibi açık uçlu sorular araştırmacıya, araştırma sorularının daha ayrıntılı hale getirilmesi konusunda önemli bir esneklik sağlamaktadır. Daha önce hiç araştırılmamış ya da incelenmemiş konular için açık uçlu sorularla araştırma sürecine başlamak ve toplanan verilere göre gerek alt araştırma sorularına, gerekse araştırmada kullanılacak diğer yöntem ve tekniklere karar vermek yerinde olacaktır.”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93, PDF s. 91]</w:t>
      </w:r>
    </w:p>
    <w:p>
      <w:pPr>
        <w:spacing w:after="120" w:line="360"/>
        <w:ind w:firstLine="567"/>
        <w:jc w:val="both"/>
      </w:pPr>
      <w:r>
        <w:rPr>
          <w:rFonts w:ascii="Times New Roman" w:cs="Traditional Arabic" w:eastAsia="Times New Roman" w:hAnsi="Times New Roman"/>
          <w:i w:val="false"/>
          <w:sz w:val="24"/>
          <w:szCs w:val="24"/>
        </w:rPr>
        <w:t xml:space="preserve">Din eğitimi alanında bazı konular hakkında geniş bir alan yazın bulunurken bazı konular neredeyse hiç çalışılmamış olabilir. Bu ikinci durumda araştırmacı, çok ayrıntılı alt sorularla sahaya çıkmak yerine geniş bir soruyla başlamalı ve sorusunu sahada öğrendikleriyle olgunlaştırmalıdır. Aşağıdaki kurgusal örnek bu olgunlaşma sürecini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Bir araştırma sorusunun olgunlaşması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Başlangıç sorusu: Yaz Kur'an kursuna giden çocuklar kursu nasıl tecrübe etmektedir?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İlk gözlemlerden sonra: Araştırmacı, çocukların konuşmalarında “ders vermek” ifadesinin sık geçtiğini ve bu anın kurs gününün en yoğun duygusal anı olduğunu fark etmektedir.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Olgunlaşmış soru: Yaz Kur'an kursuna giden çocuklar ezberlerini öğreticiye okudukları anı nasıl tecrübe etmekte ve bu anda öğreticiyle kurdukları ilişki nasıl biçimlenmektedir?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Gerekçe kaydı: Araştırmacı, sorusunu neden daralttığını araştırma günlüğüne yazmakta ve bu değişikliği raporunda okura bildirmektedir.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Araştırma sorusunun olgunlaşması kadar sahaya girişin kendisi de bir planlama gerektirmektedir. Okul, Kur'an kursu ya da cami gibi ortamlarda araştırma yapmak, resmî izinlerin yanı sıra kurum yöneticilerinin ve görevlilerin onayını da gerektirebilir. Bu izinleri veren kişiler, araştırmacının sahaya girişini kolaylaştırabildiği gibi, araştırmanın hangi ortamlarla ve hangi kişilerle yürütüleceğini de etkileyebilir. Bir okul müdürünün araştırmacıyı yalnızca “en iyi” sınıflara yönlendirmesi, örneklemin farkında olunmadan biçimlenmesine yol açabilir. Kanaatimizce araştırmacı, sahaya girişte kimlerin kendisine hangi kapıları açtığını ve hangi kapıların kapalı kaldığını da kaydetmeli, bu bilgiyi analizde ve raporda dikkate almalıdır.</w:t>
      </w:r>
    </w:p>
    <w:p>
      <w:pPr>
        <w:pStyle w:val="Heading2"/>
        <w:keepNext/>
        <w:spacing w:after="120" w:before="240"/>
      </w:pPr>
      <w:r>
        <w:rPr>
          <w:rFonts w:ascii="Times New Roman" w:cs="Traditional Arabic" w:eastAsia="Times New Roman" w:hAnsi="Times New Roman"/>
          <w:b/>
          <w:bCs/>
          <w:i w:val="false"/>
          <w:sz w:val="24"/>
          <w:szCs w:val="24"/>
        </w:rPr>
        <w:t xml:space="preserve">6.4. Örneklem: Kimlere Sorulacak?</w:t>
      </w:r>
    </w:p>
    <w:p>
      <w:pPr>
        <w:spacing w:after="120" w:line="360"/>
        <w:ind w:firstLine="567"/>
        <w:jc w:val="both"/>
      </w:pPr>
      <w:r>
        <w:rPr>
          <w:rFonts w:ascii="Times New Roman" w:cs="Traditional Arabic" w:eastAsia="Times New Roman" w:hAnsi="Times New Roman"/>
          <w:i w:val="false"/>
          <w:sz w:val="24"/>
          <w:szCs w:val="24"/>
        </w:rPr>
        <w:t xml:space="preserve">Nitel araştırmada örneklem seçimi nicel araştırmadan farklı bir mantığa dayanmaktadır. Yıldırım ve Şimşek'e göre nitel araştırmada örneklem seçimi araştırma probleminin niteliği ve araştırmacının sahip olduğu kaynaklarla yakından ilgilidir ve bazen tek bir birey bir araştırmanın örneklemini oluşturabilir.</w:t>
      </w:r>
      <w:r>
        <w:rPr>
          <w:rStyle w:val="FootnoteReference"/>
        </w:rPr>
        <w:footnoteReference w:id="18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nitel araştırmada çok sayıda bireyi kapsama almanın güç olduğunu, çünkü toplanan verilerin ayrıntılı ve derinlemesine olması gerektiğini de belirtmektedir.</w:t>
      </w:r>
      <w:r>
        <w:rPr>
          <w:rStyle w:val="FootnoteReference"/>
        </w:rPr>
        <w:footnoteReference w:id="18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araştırmada örneklem seçimi araştırma probleminin özelliği ve araştırmacının sahip olduğu kaynaklarla yakından ilgilidir. Bazen bir birey tek başına bir araştırmanın örneklemini oluşturabilir.”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87, PDF s. 85]</w:t>
      </w:r>
    </w:p>
    <w:p>
      <w:pPr>
        <w:pStyle w:val="Dogrulama"/>
        <w:spacing w:after="20" w:line="276"/>
        <w:ind w:left="567"/>
        <w:jc w:val="both"/>
      </w:pPr>
      <w:r>
        <w:rPr>
          <w:rFonts w:ascii="Times New Roman" w:cs="Traditional Arabic" w:eastAsia="Times New Roman" w:hAnsi="Times New Roman"/>
          <w:i/>
          <w:iCs/>
          <w:sz w:val="22"/>
          <w:szCs w:val="22"/>
        </w:rPr>
        <w:t xml:space="preserve">“Nitel araştırmada çok sayıda bireyin araştırma kapsamına dahil edilmesi güçtür; çünkü toplanan verilerin ayrıntılı ve derinlemesine olması gerekmektedir.”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45, PDF s. 43]</w:t>
      </w:r>
    </w:p>
    <w:p>
      <w:pPr>
        <w:spacing w:after="120" w:line="360"/>
        <w:ind w:firstLine="567"/>
        <w:jc w:val="both"/>
      </w:pPr>
      <w:r>
        <w:rPr>
          <w:rFonts w:ascii="Times New Roman" w:cs="Traditional Arabic" w:eastAsia="Times New Roman" w:hAnsi="Times New Roman"/>
          <w:i w:val="false"/>
          <w:sz w:val="24"/>
          <w:szCs w:val="24"/>
        </w:rPr>
        <w:t xml:space="preserve">Nitel araştırmada katılımcılar, temsil gücü için değil, araştırma sorusuna ışık tutabilecek bilgiye sahip oldukları için seçilmektedir. Yıldırım ve Şimşek, amaçlı örnekleme yöntemlerinin tam anlamıyla nitel araştırma geleneği içinde ortaya çıktığını vurgulamaktadır.</w:t>
      </w:r>
      <w:r>
        <w:rPr>
          <w:rStyle w:val="FootnoteReference"/>
        </w:rPr>
        <w:footnoteReference w:id="18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yöntemlerden biri olan maksimum çeşitlilik örneklemesinin amacını açıklarken de amacın genelleme yapmak için çeşitlilik sağlamak olmadığını, tersine çeşitlilik gösteren durumlar arasında ortak ya da paylaşılan olguların bulunup bulunmadığını araştırmak ve problemin farklı boyutlarını ortaya koymak olduğunu belirtmektedir.</w:t>
      </w:r>
      <w:r>
        <w:rPr>
          <w:rStyle w:val="FootnoteReference"/>
        </w:rPr>
        <w:footnoteReference w:id="18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bu yöntemi kullanan araştırmacı, çeşitlilik alanlarını belirledikten sonra hangilerinin kendisi için önemli olduğuna karar vermeli ve örneklemini bu çeşitliliği yansıtacak şekilde oluşturmalıdır.</w:t>
      </w:r>
      <w:r>
        <w:rPr>
          <w:rStyle w:val="FootnoteReference"/>
        </w:rPr>
        <w:footnoteReference w:id="19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10. dipnottaki doğrulama bloğunda verilmiştir.]</w:t>
      </w:r>
    </w:p>
    <w:p>
      <w:pPr>
        <w:pStyle w:val="Dogrulama"/>
        <w:spacing w:after="20" w:line="276"/>
        <w:ind w:left="567"/>
        <w:jc w:val="both"/>
      </w:pPr>
      <w:r>
        <w:rPr>
          <w:rFonts w:ascii="Times New Roman" w:cs="Traditional Arabic" w:eastAsia="Times New Roman" w:hAnsi="Times New Roman"/>
          <w:i/>
          <w:iCs/>
          <w:sz w:val="22"/>
          <w:szCs w:val="22"/>
        </w:rPr>
        <w:t xml:space="preserve">“Maksimum çeşitliliğe dayalı bir örneklem oluşturmada amaç, genelleme yapmak için bu çeşitliliği sağlamak değildir, tam tersine çeşitlilik gösteren durumlar arasında herhangi ortak ya da paylaşılan olguların olup olmadığını bulmaya çalışmak ve bu çeşitliliğe göre problemin farklı boyutlarını ortaya koymaktır.”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109, PDF s. 107]</w:t>
      </w:r>
    </w:p>
    <w:p>
      <w:pPr>
        <w:pStyle w:val="Dogrulama"/>
        <w:spacing w:after="20" w:line="276"/>
        <w:ind w:left="567"/>
        <w:jc w:val="both"/>
      </w:pPr>
      <w:r>
        <w:rPr>
          <w:rFonts w:ascii="Times New Roman" w:cs="Traditional Arabic" w:eastAsia="Times New Roman" w:hAnsi="Times New Roman"/>
          <w:i/>
          <w:iCs/>
          <w:sz w:val="22"/>
          <w:szCs w:val="22"/>
        </w:rPr>
        <w:t xml:space="preserve">“Bu çeşitlilik alanlarını saptadıktan sonra, araştırmacı hangi çeşitliliklerin kendisi için önemli olduğuna karar vermeli ve bu çeşitlilikleri örneklemine yansıtacak şekilde hareket etmelidir.”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109, PDF s. 107]</w:t>
      </w:r>
    </w:p>
    <w:p>
      <w:pPr>
        <w:spacing w:after="120" w:line="360"/>
        <w:ind w:firstLine="567"/>
        <w:jc w:val="both"/>
      </w:pPr>
      <w:r>
        <w:rPr>
          <w:rFonts w:ascii="Times New Roman" w:cs="Traditional Arabic" w:eastAsia="Times New Roman" w:hAnsi="Times New Roman"/>
          <w:i w:val="false"/>
          <w:sz w:val="24"/>
          <w:szCs w:val="24"/>
        </w:rPr>
        <w:t xml:space="preserve">Kur'an-ı Kerîm'deki bir âyette yer alan “Eğer bilmiyorsanız zikir ehline sorun” (en-Nahl 16/43) ifadesi, bilginin onu taşıyanlardan öğrenilmesi gerektiğini hatırlatmaktadır. Âyetin kendi bağlamı ve zikir ehlinin kimler olduğu sorusu bu çalışmada tefsir kaynaklarıyla incelenmemiştir. Kanaatimizce âyetteki ehline sorma düşüncesi, amaçlı örneklemenin temel mantığını din eğitimcisinin aşina olduğu bir dille ifade etmektedir. Araştırmacı herkese değil, araştırdığı tecrübeyi yaşamış ve onu anlatabilecek olanlara sormaktadır. Ancak burada önemli bir fark da gözetilmelidir. Âyetteki ehliyet ilimle ilgilidir. Nitel araştırmada ise ehliyet tecrübeyle ilgilidir. Bir hafızlık öğrencisinin tecrübesini en iyi bilen, hafızlık hakkında en çok şey bilen âlim değil, o tecrübeyi bizzat yaşayan öğrencidir.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“وَمَا أَرْسَلْنَا مِنْ قَبْلِكَ إِلَّا رِجَالًا نُوحِي إِلَيْهِمْ فَاسْأَلُوا أَهْلَ الذِّكْرِ إِنْ كُنْتُمْ لَا تَعْلَمُونَ”</w:t>
      </w:r>
    </w:p>
    <w:p>
      <w:pPr>
        <w:pStyle w:val="Dogrulama"/>
        <w:spacing w:after="80" w:line="240"/>
        <w:ind w:left="567"/>
      </w:pPr>
      <w:r>
        <w:rPr>
          <w:rFonts w:ascii="Times New Roman" w:cs="Traditional Arabic" w:eastAsia="Times New Roman" w:hAnsi="Times New Roman"/>
          <w:i w:val="false"/>
          <w:color w:val="7F7F7F"/>
          <w:sz w:val="18"/>
          <w:szCs w:val="18"/>
        </w:rPr>
        <w:t xml:space="preserve">[Âyet metni Şamile Kur'an metninden (shamela_get_aya) alınmıştır: en-Nahl 16/43. Meal yazara aittir.]</w:t>
      </w:r>
    </w:p>
    <w:p>
      <w:pPr>
        <w:spacing w:after="120" w:line="360"/>
        <w:ind w:firstLine="567"/>
        <w:jc w:val="both"/>
      </w:pPr>
      <w:r>
        <w:rPr>
          <w:rFonts w:ascii="Times New Roman" w:cs="Traditional Arabic" w:eastAsia="Times New Roman" w:hAnsi="Times New Roman"/>
          <w:i w:val="false"/>
          <w:sz w:val="24"/>
          <w:szCs w:val="24"/>
        </w:rPr>
        <w:t xml:space="preserve">Nitel araştırmada örneklem büyüklüğü sorusu da farklı biçimde cevaplanmaktadır. Yıldırım ve Şimşek, eylem araştırmasını anlattıkları bölümde, araştırma sorularına ilişkin verilerin analizi sonucunda temalar birbirini tekrar etmeye başladığında veri toplamayı sonlandırma kararının verilebileceğini belirtmektedir.</w:t>
      </w:r>
      <w:r>
        <w:rPr>
          <w:rStyle w:val="FootnoteReference"/>
        </w:rPr>
        <w:footnoteReference w:id="19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bu ölçüt, katılımcı sayısının da önceden sabit bir rakamla değil, verinin yeni bir şey söyleyip söylemediğine bakılarak belirlenebileceği şeklinde okunabilir. Yazarlar ayrıca, daha zengin, betimsel ve derinlemesine bilgiye dayalı bir veri seti oluşturma amacına hizmet ettiği sürece ve gerekçeleri açık ve inanılır bir biçimde sunulduğu takdirde nitel araştırmanın her aşamasının örneklem kararlarının yeniden gözden geçirilmesine açık olduğunu vurgulamaktadır.</w:t>
      </w:r>
      <w:r>
        <w:rPr>
          <w:rStyle w:val="FootnoteReference"/>
        </w:rPr>
        <w:footnoteReference w:id="19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11. dipnottaki doğrulama bloğunda verilmiştir.]</w:t>
      </w:r>
    </w:p>
    <w:p>
      <w:pPr>
        <w:pStyle w:val="Dogrulama"/>
        <w:spacing w:after="20" w:line="276"/>
        <w:ind w:left="567"/>
        <w:jc w:val="both"/>
      </w:pPr>
      <w:r>
        <w:rPr>
          <w:rFonts w:ascii="Times New Roman" w:cs="Traditional Arabic" w:eastAsia="Times New Roman" w:hAnsi="Times New Roman"/>
          <w:i/>
          <w:iCs/>
          <w:sz w:val="22"/>
          <w:szCs w:val="22"/>
        </w:rPr>
        <w:t xml:space="preserve">“Bütün bunları yapmanın amacı, çalıştıkları durum veya durumlarla ilgili daha zengin, betimsel ve derinlemesine bilgiye dayalı bir veri seti oluşturmaktır. Bu amaca hizmet ettiği sürece ve gerekçeleri açık ve inanılır bir biçimde sunulduğu takdirde, nitel araştırmanın her aşaması örneklem seçme ve belirleme kararlarının yeniden gözden geçirilmesine açıktır.”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114, PDF s. 112]</w:t>
      </w:r>
    </w:p>
    <w:p>
      <w:pPr>
        <w:spacing w:after="120" w:line="360"/>
        <w:ind w:firstLine="567"/>
        <w:jc w:val="both"/>
      </w:pPr>
      <w:r>
        <w:rPr>
          <w:rFonts w:ascii="Times New Roman" w:cs="Traditional Arabic" w:eastAsia="Times New Roman" w:hAnsi="Times New Roman"/>
          <w:i w:val="false"/>
          <w:sz w:val="24"/>
          <w:szCs w:val="24"/>
        </w:rPr>
        <w:t xml:space="preserve">Bu noktada girişte belirtilen daraltma hatırlanmalıdır. Klasik usûlle çağdaş metodolojiyi bir araya getirmeye çalışan bir okur, örneklem büyüklüğünün karşılığı olarak tevâtür kavramını düşünmeye meyledebilir, çünkü tevâtür de bir sayıdan söz etmektedir. Bu eşleştirme yerinde değildir. İbn Hacer’in tarifinde tevâtür, âdetin yalan üzerinde birleşmelerini imkânsız kıldığı çok sayıda kişinin, nihai dayanağı duyular olan bir haberi başından sonuna kadar kendileri gibi olanlardan nakletmesidir.</w:t>
      </w:r>
      <w:r>
        <w:rPr>
          <w:rStyle w:val="FootnoteReference"/>
        </w:rPr>
        <w:footnoteReference w:id="19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Burada sayı, tek bir vâkıa hakkında birbirinden bağımsız şehadetlerin sayısıdır ve aranan şey yalanda birleşmenin imkânsızlaşmasıdır. Örneklemde ise sayı, her biri kendi hâlini anlatan farklı birimlerin sayısıdır ve aranan şey ya bir topluluğun temsil edilmesi ya da, nitel araştırmada olduğu gibi, bir tecrübenin farklı boyutlarının görünür kılınmasıdır. İki yanlış birden bu eşleştirmeden doğmaktadır. Birincisi, büyük bir örnekleme tevâtürün kesinliğini atfetmektir. İkincisi, tevâtürdeki şehadetlerin bağımsızlığı şartını örnekleme taşıyıp meseleyi bulandırmaktır. Tevâtürün nitel araştırmadaki doğru yeri, on ikinci bölümde ele alınan bağımsız teyit ve çeşitleme bahsidir. Örneklem meselesinin klasik usûldeki asıl karşılığı ise istikrâdır. Üçüncü bölümde görüldüğü üzere Şâtıbî’nin maʿnevî istikrâsı, tek bir hususî delille değil, birbirine eklenen ve amaçları farklı delillerle sabit olan bir hükmü tarif etmektedir. Bu tarif, amaçlı örneklemede çeşitliliğin niçin arandığını da açıklamaktadır. Birbirinin aynı olan çok sayıda katılımcı, birbirinden farklı az sayıda katılımcının birleştiği bir anlam kadar güçlü bir hüküm taşımamaktadır. Klasik metinlerde sayının tek başına bir değer ölçüsü olmadığına dair ifadeler ise başka bir bağlamda anlamlıdır. Nevevî </w:t>
      </w:r>
      <w:r>
        <w:rPr>
          <w:rFonts w:ascii="Times New Roman" w:cs="Traditional Arabic" w:eastAsia="Times New Roman" w:hAnsi="Times New Roman"/>
          <w:i/>
          <w:iCs/>
          <w:sz w:val="24"/>
          <w:szCs w:val="24"/>
        </w:rPr>
        <w:t xml:space="preserve">et-Tibyân</w:t>
      </w:r>
      <w:r>
        <w:rPr>
          <w:rFonts w:ascii="Times New Roman" w:cs="Traditional Arabic" w:eastAsia="Times New Roman" w:hAnsi="Times New Roman"/>
          <w:i w:val="false"/>
          <w:sz w:val="24"/>
          <w:szCs w:val="24"/>
        </w:rPr>
        <w:t xml:space="preserve">'da Kur'an muallimini kendisinden ders okuyanların ve kendisine gidip gelenlerin çokluğuyla övünmeyi kastetmekten şiddetle sakındırmakta, öğrencilerinin faydalanabilecekleri başka bir hocadan okumalarını hoş görmemeyi de bazı cahil muallimlerin yakalandığı bir musibet ve niyet bozukluğunun açık bir delili saymaktadır.</w:t>
      </w:r>
      <w:r>
        <w:rPr>
          <w:rStyle w:val="FootnoteReference"/>
        </w:rPr>
        <w:footnoteReference w:id="19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“وليحذر كل الحذر من قصده التكثر بكثرة المشتغلين عليه والمختلفين إليه وليحذر من كراهته قراءة أصحابه على غيره ممن ينتفع به وهذه مصيبة يبتلى بها بعض المعلمين الجاهلين وهي دلالة بينة من صاحبها على سوء نيته وفساد طويته”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1969, page_id 30, basılı s. 35]</w:t>
      </w:r>
    </w:p>
    <w:p>
      <w:pPr>
        <w:spacing w:after="120" w:line="360"/>
        <w:ind w:firstLine="567"/>
        <w:jc w:val="both"/>
      </w:pPr>
      <w:r>
        <w:rPr>
          <w:rFonts w:ascii="Times New Roman" w:cs="Traditional Arabic" w:eastAsia="Times New Roman" w:hAnsi="Times New Roman"/>
          <w:i w:val="false"/>
          <w:sz w:val="24"/>
          <w:szCs w:val="24"/>
        </w:rPr>
        <w:t xml:space="preserve">Nevevî'nin uyarısı bir öğretim ahlakı uyarısıdır ve örneklemle doğrudan ilgili değildir. Kanaatimizce yine de araştırmacı için bir ayna işlevi görebilir. Kanaatimizce bir nitel araştırmada katılımcı sayısını gereksiz yere artırmak, araştırmayı daha “bilimsel” göstermek isteğinden kaynaklanabilir. Oysa bu tutum, her katılımcının anlatımına ayrılan dikkati azaltmakta ve verinin derinliğini zayıflatmaktadır. Sayı ile övünmek, muallim için olduğu gibi araştırmacı için de bir niyet sorusudur.</w:t>
      </w:r>
    </w:p>
    <w:p>
      <w:pPr>
        <w:pStyle w:val="Heading2"/>
        <w:keepNext/>
        <w:spacing w:after="120" w:before="240"/>
      </w:pPr>
      <w:r>
        <w:rPr>
          <w:rFonts w:ascii="Times New Roman" w:cs="Traditional Arabic" w:eastAsia="Times New Roman" w:hAnsi="Times New Roman"/>
          <w:b/>
          <w:bCs/>
          <w:i w:val="false"/>
          <w:sz w:val="24"/>
          <w:szCs w:val="24"/>
        </w:rPr>
        <w:t xml:space="preserve">6.5. Din Eğitimi Uygulaması: Öğretmen, Öğrenci, Veli ve Din Görevlisi</w:t>
      </w:r>
    </w:p>
    <w:p>
      <w:pPr>
        <w:spacing w:after="120" w:line="360"/>
        <w:ind w:firstLine="567"/>
        <w:jc w:val="both"/>
      </w:pPr>
      <w:r>
        <w:rPr>
          <w:rFonts w:ascii="Times New Roman" w:cs="Traditional Arabic" w:eastAsia="Times New Roman" w:hAnsi="Times New Roman"/>
          <w:i w:val="false"/>
          <w:sz w:val="24"/>
          <w:szCs w:val="24"/>
        </w:rPr>
        <w:t xml:space="preserve">Din eğitimi araştırmalarında örneklem kararları birden fazla katılımcı grubunu kapsayabilmektedir. Bir çocuğun dinî tecrübesi ailesiyle, öğretmeniyle, Kur'an kursu öğreticisiyle ve camideki din görevlisiyle kurduğu ilişkiler içinde biçimlenmektedir. Bu nedenle araştırmacı, sorusunun gerektirdiği ölçüde bu grupların sesine yer vermeyi düşünmelidir. Aşağıdaki kurgusal örnek böyle bir örneklem planını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İlk oruç tecrübesi üzerine bir örneklem planı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Araştırma sorusu: Dokuz ile on iki yaş arasındaki çocuklar ilk oruçlarını nasıl tecrübe etmekte ve bu tecrübede aile, okul ve camiden hangi destekleri almaktadır?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Birincil katılımcılar: Son ramazanda en az bir gün oruç tutmuş çocuklar. Araştırmacı çeşitlilik alanları olarak kent ve kırsal yerleşimi, devlet ortaokulu ile imam hatip ortaokulunu ve cinsiyeti belirlemektedir. Ailelerin dindarlık düzeyini bir ölçekle değil, velilerle yapılan ön görüşmede onların kendi anlatımlarıyla tanımaktadır.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İkincil katılımcılar: Çocukların ebeveynleri, din kültürü ve ahlak bilgisi öğretmenleri, yaz Kur'an kursu öğreticileri ve mahalle camiinin imamı.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Örneklem büyüklüğü: Araştırmacı başlangıçta her yerleşim türünden altışar çocukla görüşmeyi planlamaktadır. Görüşmelerin analizi sırasında “ilk iftarın sofrası” ve “büyüklerin övgüsü” temalarının yeni görüşmelerde tekrar etmeye başladığını, fakat imam hatip ortaokulundaki çocukların okulda oruç tutanlara yönelik bir akran desteğinden söz ettiğini fark etmektedir. Bu yeni boyutu anlamak için örneklemine iki imam hatip ortaokulu öğrencisi daha eklemekte ve bu kararı gerekçesiyle araştırma günlüğüne yazmaktadır.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Etik not: Çocuklarla görüşmeden önce velilerin yazılı izni ve çocukların kendi rızası alınmaktadır. Oruç tutamamış ya da yarım bırakmış çocukların utandırılmaması için soruların dili buna göre düzenlenmektedir.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örnekte araştırmacı, örneklemini temsiliyet için değil, sorusunun farklı boyutlarını görmek için oluşturmaktadır. Örneklem kararlarının araştırma sürecinde gözden geçirilmesi ve bu değişikliğin gerekçesiyle kaydedilmesi, Yıldırım ve Şimşek'in esneklik ile şeffaflık arasında kurduğu dengeyi yansıtmaktadır.</w:t>
      </w:r>
      <w:r>
        <w:rPr>
          <w:rStyle w:val="FootnoteReference"/>
        </w:rPr>
        <w:footnoteReference w:id="19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Çocuklarla yapılan araştırmaların etik yönü ise on üçüncü bölümde ayrıntılı olarak ele alınacaktır.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192.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Örneklem kararlarında din eğitimi alanına özgü bir tehlikeye de dikkat çekilmelidir. Din eğitimi araştırmacısı kendi çevresine, kendi öğrencilerine ya da tanıdığı kurumlara daha kolay ulaşabilmektedir. Bu durum araştırmayı kolaylaştırmakla birlikte, örneklemin tek bir dindarlık biçimini ya da tek bir kurumsal kültürü yansıtmasına yol açabilir. Araştırmacının kendi öğrencileriyle çalışması ise ayrıca bir güç ilişkisi sorusu doğurmaktadır. Öğrencinin, notunu veren öğretmene açıkça konuşup konuşamayacağı, araştırmanın inandırıcılığını doğrudan etkilemektedir.</w:t>
      </w:r>
    </w:p>
    <w:p>
      <w:pPr>
        <w:spacing w:after="120" w:line="360"/>
        <w:ind w:firstLine="567"/>
        <w:jc w:val="both"/>
      </w:pPr>
      <w:r>
        <w:rPr>
          <w:rFonts w:ascii="Times New Roman" w:cs="Traditional Arabic" w:eastAsia="Times New Roman" w:hAnsi="Times New Roman"/>
          <w:i w:val="false"/>
          <w:sz w:val="24"/>
          <w:szCs w:val="24"/>
        </w:rPr>
        <w:t xml:space="preserve">Creswell araştırmacının kendi kurumunda, arkadaşları arasında ya da iş ortamında yürüttüğü bu tür çalışmalar için özel bir uyarıda bulunmaktadır. Ona göre araştırmacılar verileri kendi işyerlerinde ya da katılımcılardan üstün bir rolde olduklarında topladıklarında bilgiyi kolay toplayabilir, fakat bu bilgi doğru bilgi olmayabilir ve araştırmacının da katılımcıların da rollerini tehlikeye atabilir. Böyle bir çalışma gerekli ise araştırmacı, verilerden nasıl ödün verilmeyeceğini ve bilginin katılımcıları riske sokmayacağını göstermekle sorumludur.</w:t>
      </w:r>
      <w:r>
        <w:rPr>
          <w:rStyle w:val="FootnoteReference"/>
        </w:rPr>
        <w:footnoteReference w:id="19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kültürü öğretmeninin kendi öğrencileriyle, Kur’an kursu öğreticisinin kendi kursiyerleriyle ya da ilahiyat hocasının kendi talebeleriyle yürüttüğü araştırmalar bu uyarının tam olarak muhatabıdır.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“Araştırmacılar, verileri kendi işyerlerinde (veya katılımcılardan üstün bir rolde olduklarında) topladığı zaman, bilgiyi kolay toplayabilir ve bilgiye rahat erişilebilirler, fakat bu bilgi, doğru bilgi olmayabilir ve araştırmacıların ve katılımcıların rollerini tehlikeye atabilir. Eğer arka bahçe çalışması gerekli ise o zaman araştırmacılar verilerden nasıl ödün verilmeyeceğini ve bilginin katılımcıları (veya araştırmacıları) riske sokmayacağını gösterme sorumluluğundadır.”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188, PDF s. 219. Not: Bir önceki cümle “arka bahçe” araştırması terimini Glesne ve Peshkin’e bağlamaktadır; alıntılanan cümleler Creswell’in kendi değerlendirmesidir.]</w:t>
      </w:r>
    </w:p>
    <w:p>
      <w:pPr>
        <w:keepNext/>
        <w:spacing w:after="80" w:before="200"/>
      </w:pPr>
      <w:r>
        <w:rPr>
          <w:rFonts w:ascii="Times New Roman" w:cs="Traditional Arabic" w:eastAsia="Times New Roman" w:hAnsi="Times New Roman"/>
          <w:b/>
          <w:bCs/>
          <w:i w:val="false"/>
          <w:sz w:val="22"/>
          <w:szCs w:val="22"/>
        </w:rPr>
        <w:t xml:space="preserve">Tablo 6.1. Altıncı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755"/>
        <w:gridCol w:w="1007"/>
        <w:gridCol w:w="1511"/>
        <w:gridCol w:w="1133"/>
        <w:gridCol w:w="3023"/>
        <w:gridCol w:w="1637"/>
      </w:tblGrid>
      <w:tr>
        <w:trPr>
          <w:cantSplit/>
          <w:tblHeader/>
        </w:trPr>
        <w:tc>
          <w:tcPr>
            <w:tcW w:type="dxa" w:w="75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1007"/>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51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13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302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637"/>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75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Araştırmanın planlanması</w:t>
            </w:r>
          </w:p>
        </w:tc>
        <w:tc>
          <w:tcPr>
            <w:tcW w:type="dxa" w:w="100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Söz ve amelden önce ilim</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Buhârî, Sahîhu'l-Buhârî, 1/243 (Şamile 1284)</w:t>
            </w:r>
          </w:p>
        </w:tc>
        <w:tc>
          <w:tcPr>
            <w:tcW w:type="dxa" w:w="113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Eylemden önce bilginin gelmesi</w:t>
            </w:r>
          </w:p>
        </w:tc>
        <w:tc>
          <w:tcPr>
            <w:tcW w:type="dxa" w:w="302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Buhârî dinî ilmi kastetmektedir, benzetme yazara aittir</w:t>
            </w:r>
          </w:p>
        </w:tc>
        <w:tc>
          <w:tcPr>
            <w:tcW w:type="dxa" w:w="163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Sahaya çıkmadan önce alan yazının ve sorunun netleştirilmesi</w:t>
            </w:r>
          </w:p>
        </w:tc>
      </w:tr>
      <w:tr>
        <w:trPr>
          <w:cantSplit/>
        </w:trPr>
        <w:tc>
          <w:tcPr>
            <w:tcW w:type="dxa" w:w="75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 sorusu</w:t>
            </w:r>
          </w:p>
        </w:tc>
        <w:tc>
          <w:tcPr>
            <w:tcW w:type="dxa" w:w="100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Soru sormanın övülmesi</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Abdilber, Câmiʿu beyâni'l-ilm, 1/373-375 (Şamile 22367)</w:t>
            </w:r>
          </w:p>
        </w:tc>
        <w:tc>
          <w:tcPr>
            <w:tcW w:type="dxa" w:w="113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Bilmediğini kabul etme ve öğrenmeye açıklık</w:t>
            </w:r>
          </w:p>
        </w:tc>
        <w:tc>
          <w:tcPr>
            <w:tcW w:type="dxa" w:w="302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metinde soru âlime, nitel araştırmada tecrübe sahibine yöneltilir</w:t>
            </w:r>
          </w:p>
        </w:tc>
        <w:tc>
          <w:tcPr>
            <w:tcW w:type="dxa" w:w="163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Öğrenci ve velilerin kendi tecrübelerinin uzmanı olarak görülmesi</w:t>
            </w:r>
          </w:p>
        </w:tc>
      </w:tr>
      <w:tr>
        <w:trPr>
          <w:cantSplit/>
        </w:trPr>
        <w:tc>
          <w:tcPr>
            <w:tcW w:type="dxa" w:w="75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Amaçlı örnekleme</w:t>
            </w:r>
          </w:p>
        </w:tc>
        <w:tc>
          <w:tcPr>
            <w:tcW w:type="dxa" w:w="100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Zikir ehline sorma</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en-Nahl 16/43</w:t>
            </w:r>
          </w:p>
        </w:tc>
        <w:tc>
          <w:tcPr>
            <w:tcW w:type="dxa" w:w="113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Bilgiyi onu taşıyandan öğrenme</w:t>
            </w:r>
          </w:p>
        </w:tc>
        <w:tc>
          <w:tcPr>
            <w:tcW w:type="dxa" w:w="302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Âyetteki ehliyet ilimle, nitel araştırmadaki ehliyet tecrübeyle ilgilidir</w:t>
            </w:r>
          </w:p>
        </w:tc>
        <w:tc>
          <w:tcPr>
            <w:tcW w:type="dxa" w:w="163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 sorusuna ışık tutabilecek katılımcıların seçimi</w:t>
            </w:r>
          </w:p>
        </w:tc>
      </w:tr>
      <w:tr>
        <w:trPr>
          <w:cantSplit/>
        </w:trPr>
        <w:tc>
          <w:tcPr>
            <w:tcW w:type="dxa" w:w="75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Örneklem büyüklüğü</w:t>
            </w:r>
          </w:p>
        </w:tc>
        <w:tc>
          <w:tcPr>
            <w:tcW w:type="dxa" w:w="100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Tevâtür</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Hacer, Nüzhetü’n-nazar, 43 (Şâmile 1565)</w:t>
            </w:r>
          </w:p>
        </w:tc>
        <w:tc>
          <w:tcPr>
            <w:tcW w:type="dxa" w:w="113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Benzetme kurulmamıştır</w:t>
            </w:r>
          </w:p>
        </w:tc>
        <w:tc>
          <w:tcPr>
            <w:tcW w:type="dxa" w:w="302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Tevâtür tek bir vâkıa hakkındaki bağımsız şehadetlerin sayısıdır, örneklem ise kendi hâlini anlatan farklı birimlerin sayısıdır. Asıl karşılık istikrâdır</w:t>
            </w:r>
          </w:p>
        </w:tc>
        <w:tc>
          <w:tcPr>
            <w:tcW w:type="dxa" w:w="163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Benzetmenin kullanılmaması; tevâtürün teyit ve çeşitleme bahsinde düşünülmesi</w:t>
            </w:r>
          </w:p>
        </w:tc>
      </w:tr>
      <w:tr>
        <w:trPr>
          <w:cantSplit/>
        </w:trPr>
        <w:tc>
          <w:tcPr>
            <w:tcW w:type="dxa" w:w="75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Sayı ile övünmeme</w:t>
            </w:r>
          </w:p>
        </w:tc>
        <w:tc>
          <w:tcPr>
            <w:tcW w:type="dxa" w:w="100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Talebe çokluğuyla övünmekten sakınma</w:t>
            </w:r>
          </w:p>
        </w:tc>
        <w:tc>
          <w:tcPr>
            <w:tcW w:type="dxa" w:w="151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Nevevî, et-Tibyân, 35 (Şamile 1969)</w:t>
            </w:r>
          </w:p>
        </w:tc>
        <w:tc>
          <w:tcPr>
            <w:tcW w:type="dxa" w:w="113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Sayının tek başına değer ölçüsü olmaması</w:t>
            </w:r>
          </w:p>
        </w:tc>
        <w:tc>
          <w:tcPr>
            <w:tcW w:type="dxa" w:w="302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Nevevî öğretim ahlakını, nitel araştırma örneklem mantığını konu edinir</w:t>
            </w:r>
          </w:p>
        </w:tc>
        <w:tc>
          <w:tcPr>
            <w:tcW w:type="dxa" w:w="163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 sayısının gerekçesiz artırılmaması</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YEDİNCİ BÖLÜM</w:t>
      </w:r>
    </w:p>
    <w:p>
      <w:pPr>
        <w:pStyle w:val="Heading1"/>
        <w:spacing w:after="360"/>
        <w:jc w:val="center"/>
      </w:pPr>
      <w:r>
        <w:rPr>
          <w:rFonts w:ascii="Times New Roman" w:cs="Traditional Arabic" w:eastAsia="Times New Roman" w:hAnsi="Times New Roman"/>
          <w:b/>
          <w:bCs/>
          <w:i w:val="false"/>
          <w:color w:val="1F3864"/>
          <w:sz w:val="28"/>
          <w:szCs w:val="28"/>
        </w:rPr>
        <w:t xml:space="preserve">7. Görüşme ve Odak Grup Görüşmesi</w:t>
      </w:r>
    </w:p>
    <w:p>
      <w:pPr>
        <w:spacing w:after="120" w:line="360"/>
        <w:ind w:firstLine="567"/>
        <w:jc w:val="both"/>
      </w:pPr>
      <w:r>
        <w:rPr>
          <w:rFonts w:ascii="Times New Roman" w:cs="Traditional Arabic" w:eastAsia="Times New Roman" w:hAnsi="Times New Roman"/>
          <w:i w:val="false"/>
          <w:sz w:val="24"/>
          <w:szCs w:val="24"/>
        </w:rPr>
        <w:t xml:space="preserve">Yıldırım ve Şimşek görüşmenin nitel araştırmada en sık kullanılan veri toplama aracı olarak karşımıza çıktığını belirtmektedir.</w:t>
      </w:r>
      <w:r>
        <w:rPr>
          <w:rStyle w:val="FootnoteReference"/>
        </w:rPr>
        <w:footnoteReference w:id="19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Ancak yazarların uyardığı gibi görüşme ilk bakışta kolay bir veri toplama yöntemi gibi görünse de gerçekte hiç de öyle değildir.</w:t>
      </w:r>
      <w:r>
        <w:rPr>
          <w:rStyle w:val="FootnoteReference"/>
        </w:rPr>
        <w:footnoteReference w:id="19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bölümde görüşmenin niteliği, soruların hazırlanması, görüşmecinin tutumu, kayıt ve odak grup görüşmesi ele alınmaktadır. Klasik gelenekten ise hadis rivayetinde bilginin alınma yolları, telkin meselesi ve ilim meclislerinin âdâbı bu konularla karşılaştırılmaktadır. Bu karşılaştırmada girişte belirtilen daraltma özellikle önemlidir. Katılımcının sözü burada bir rivayet değil, bir tecrübe anlatımıdır.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“Görüşme nitel araştırmada en sık kullanılan veri toplama aracı olarak karşımıza çıkmaktadır.”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[119], PDF s. 117] Not: 119 numaralı sayfada basılı sayfa numarası görünmemektedir (bölüm açılış sayfası). Köşeli ayraç içindeki numara, önceki ve sonraki sayfaların basılı numaralarından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“Görüşme ilk bakışta kolay bir veri toplama yöntemi olarak görülebilir, ancak gerçek hiç de öyle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41, PDF s. 39]</w:t>
      </w:r>
    </w:p>
    <w:p>
      <w:pPr>
        <w:pStyle w:val="Heading2"/>
        <w:keepNext/>
        <w:spacing w:after="120" w:before="240"/>
      </w:pPr>
      <w:r>
        <w:rPr>
          <w:rFonts w:ascii="Times New Roman" w:cs="Traditional Arabic" w:eastAsia="Times New Roman" w:hAnsi="Times New Roman"/>
          <w:b/>
          <w:bCs/>
          <w:i w:val="false"/>
          <w:sz w:val="24"/>
          <w:szCs w:val="24"/>
        </w:rPr>
        <w:t xml:space="preserve">7.1. Görüşmenin Niteliği: Haber mi, Anlatım mı?</w:t>
      </w:r>
    </w:p>
    <w:p>
      <w:pPr>
        <w:spacing w:after="120" w:line="360"/>
        <w:ind w:firstLine="567"/>
        <w:jc w:val="both"/>
      </w:pPr>
      <w:r>
        <w:rPr>
          <w:rFonts w:ascii="Times New Roman" w:cs="Traditional Arabic" w:eastAsia="Times New Roman" w:hAnsi="Times New Roman"/>
          <w:i w:val="false"/>
          <w:sz w:val="24"/>
          <w:szCs w:val="24"/>
        </w:rPr>
        <w:t xml:space="preserve">Görüşmeyi klasik haber tenkidinin diliyle düşünmeye alışmış bir okur, katılımcının sözünü doğru ya da yanlış diye sınamaya yönelebilir. Oysa nitel araştırmanın görüşmeden beklediği şey bu değildir. Yıldırım ve Şimşek'e göre nitel araştırma sonucunda ortaya çıkan bulgular, nicel araştırmada olduğu gibi dışarıdan nesnel olarak gözlenebilen gerçeklerden çok, araştırmaya katılan bireylerin algılarıdır. Yazarlar bir nitel araştırmacının görüştüğü kişinin söylediklerinin tamamen doğru olduğunu ya da olayları tam olarak hatırlayıp yansıtabildiğini kanıtlamasının çoğu zaman mümkün olmayabileceğini de eklemektedir.</w:t>
      </w:r>
      <w:r>
        <w:rPr>
          <w:rStyle w:val="FootnoteReference"/>
        </w:rPr>
        <w:footnoteReference w:id="19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tespit, görüşme verisinin bir haber gibi değil, bir anlatım gibi okunması gerektiğini göstermektedir.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 sonucunda ortaya çıkan bulgular, nicel araştırmada olduğu gibi dışardan nesnel olarak gözlenebilen gerçeklerden çok araştırmaya katılan bireylerin algılarıdır. Bir nitel araştırmacının, görüştüğü bireyin söylediklerinin tamamıyla doğru olduğunu ya da olayları tam olarak anımsayıp yansıtabildiğini kanıtlaması çoğu zaman mümkün olmayabilir.”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97, PDF s. 95]</w:t>
      </w:r>
    </w:p>
    <w:p>
      <w:pPr>
        <w:spacing w:after="120" w:line="360"/>
        <w:ind w:firstLine="567"/>
        <w:jc w:val="both"/>
      </w:pPr>
      <w:r>
        <w:rPr>
          <w:rFonts w:ascii="Times New Roman" w:cs="Traditional Arabic" w:eastAsia="Times New Roman" w:hAnsi="Times New Roman"/>
          <w:i w:val="false"/>
          <w:sz w:val="24"/>
          <w:szCs w:val="24"/>
        </w:rPr>
        <w:t xml:space="preserve">Yazarların görüşmenin bir sorgulama olmadığına dair uyarısı da aynı yöne işaret etmektedir. Onlara göre görüşme süreci bir sorgulama süreci değildir, görüşmeci ile görüşülen kişi arasında veri toplamak amacıyla yapılan bir iletişimdir ve her iki taraf için de tatmin edici bir süreç olmalıdır.</w:t>
      </w:r>
      <w:r>
        <w:rPr>
          <w:rStyle w:val="FootnoteReference"/>
        </w:rPr>
        <w:footnoteReference w:id="20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Sorgulama, karşıdakinin sözündeki çelişkiyi yakalamaya ve onu bir hükme bağlamaya yönelir. Görüşme ise karşıdakinin dünyasını onun sözleri aracılığıyla anlamaya yönelmektedir.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“Görüşme süreci sorgulama süreci değildir. Aksine görüşmeci ile görüşülen birey arasında veri toplamak amacıyla yapılan bir iletişimdir. Görüşme süreci her iki taraf için de tatmin edici bir süreç olmalıdır.”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141, PDF s. 139]</w:t>
      </w:r>
    </w:p>
    <w:p>
      <w:pPr>
        <w:spacing w:after="120" w:line="360"/>
        <w:ind w:firstLine="567"/>
        <w:jc w:val="both"/>
      </w:pPr>
      <w:r>
        <w:rPr>
          <w:rFonts w:ascii="Times New Roman" w:cs="Traditional Arabic" w:eastAsia="Times New Roman" w:hAnsi="Times New Roman"/>
          <w:i w:val="false"/>
          <w:sz w:val="24"/>
          <w:szCs w:val="24"/>
        </w:rPr>
        <w:t xml:space="preserve">Gadamer’in söyleşi çözümlemesi bu ayrımı daha da derinleştirmektedir. Ona göre söyleşiyi “yürüttüğümüzü” söylesek de bir söyleşi ne kadar hakiki ise taraflardan her birinin onu yönetme iradesinin payı o kadar azdır.</w:t>
      </w:r>
      <w:r>
        <w:rPr>
          <w:rStyle w:val="FootnoteReference"/>
        </w:rPr>
        <w:footnoteReference w:id="20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Söyleşi bir anlamaya ve anlaşmaya varma sürecidir ve her hakiki söyleşinin temel unsuru, kişinin kendini ötekine açması, onun bakış açısını geçerli sayması ve belirli bir bireyi değil onun söylediği şeyi anlayacak ölçüde kendini ötekine taşımasıdır. Gadamer’e göre bir kişinin ötekiyle yalnızca birey olarak ilgilendiği durumlar, örneğin terapötik söyleşi ya da suçlanan bir kişinin sorgusu, iki insanın anlaşmaya varmaya çalıştığı bir durum değildir.</w:t>
      </w:r>
      <w:r>
        <w:rPr>
          <w:rStyle w:val="FootnoteReference"/>
        </w:rPr>
        <w:footnoteReference w:id="20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bu tespit nitel görüşmeci için iki uyarı içermektedir. Birincisi, iyi bir görüşme önceden yazılmış bir senaryonun uygulanması değildir ve görüşmecinin beklemediği yönlere açılabilmelidir. İkincisi, katılımcı bir “vaka” olarak değil, konuşulan konu hakkında söz söyleyen biri olarak dinlenmelidir. Bu, üçüncü bölümde ele alınan iki kayıt ilkesinin görüşme anındaki karşılığıdır. Katılımcının sözü, doğruluğu sınanacak bir ifade olarak değil, onun bakış açısını taşıyan bir anlatım olarak alınmaktadır.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“Söyleşiyi”yürüttüğümüzü” söyleriz; fakat bir söyleşi ne kadar hakiki söyleşi ise, söyleşide her bir partnerin söyleşiyi yürütme iradesinin payı da o kadar azdır. Bu yüzden, hakiki söyleşi asla yürütmek istediğimiz söyleşi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[169], PDF s. 177. Bölüm açılış sayfasıdır ve basılı numara sayfada görünmemektedir; komşu sayfalardan (s. 170 ve 171)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“Söyleşi bir anlamaya / anlaşmaya varma sürecidir. Bu yüzden her bir kişinin kendisini diğerine açması, onun bakış açısını geçerli sayması ve kendisini belirli bir bireyi değil, onun söylediği şeyi anlayacak ölçüde ötekine taşıması her hakiki söyleşinin temel unsurudur.”</w:t>
      </w:r>
    </w:p>
    <w:p>
      <w:pPr>
        <w:pStyle w:val="Dogrulama"/>
        <w:spacing w:after="20" w:line="276"/>
        <w:ind w:left="567"/>
        <w:jc w:val="both"/>
      </w:pPr>
      <w:r>
        <w:rPr>
          <w:rFonts w:ascii="Times New Roman" w:cs="Traditional Arabic" w:eastAsia="Times New Roman" w:hAnsi="Times New Roman"/>
          <w:i/>
          <w:iCs/>
          <w:sz w:val="22"/>
          <w:szCs w:val="22"/>
        </w:rPr>
        <w:t xml:space="preserve">“Bir kişinin ötekiyle birey olarak ilgilendiği durumlardaki - sözün gelişi terapatik söyleşideki ya da suçlanan bir adamın sorgusundaki - söyleşi aslında, iki insanın anlamaya / anlaşmaya varmaya çalıştıkları bir durum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171-172, PDF s. 179-180. Not: “terapatik” kaynaktaki yazımdır; metin çıkarımında “a damın” biçiminde bölünen kelime birleştirilmiştir.]</w:t>
      </w:r>
    </w:p>
    <w:p>
      <w:pPr>
        <w:spacing w:after="120" w:line="360"/>
        <w:ind w:firstLine="567"/>
        <w:jc w:val="both"/>
      </w:pPr>
      <w:r>
        <w:rPr>
          <w:rFonts w:ascii="Times New Roman" w:cs="Traditional Arabic" w:eastAsia="Times New Roman" w:hAnsi="Times New Roman"/>
          <w:i w:val="false"/>
          <w:sz w:val="24"/>
          <w:szCs w:val="24"/>
        </w:rPr>
        <w:t xml:space="preserve">Klasik metinlerde bir kimsenin dışa vurduğu ile iç niyeti arasındaki ilişkinin sosyal şartlardan etkilenebileceğine dair ilgi çekici bir örnek İbnü'l-Hâc'ın </w:t>
      </w:r>
      <w:r>
        <w:rPr>
          <w:rFonts w:ascii="Times New Roman" w:cs="Traditional Arabic" w:eastAsia="Times New Roman" w:hAnsi="Times New Roman"/>
          <w:i/>
          <w:iCs/>
          <w:sz w:val="24"/>
          <w:szCs w:val="24"/>
        </w:rPr>
        <w:t xml:space="preserve">el-Medhal</w:t>
      </w:r>
      <w:r>
        <w:rPr>
          <w:rFonts w:ascii="Times New Roman" w:cs="Traditional Arabic" w:eastAsia="Times New Roman" w:hAnsi="Times New Roman"/>
          <w:i w:val="false"/>
          <w:sz w:val="24"/>
          <w:szCs w:val="24"/>
        </w:rPr>
        <w:t xml:space="preserve">'inde bulunmaktadır. İbnü'l-Hâc, kendi zamanındaki insanların çoğunun kalplerinde dünyayı büyüttüğünü ve ahiret işini küçük gördüğünü tespit etmektedir.</w:t>
      </w:r>
      <w:r>
        <w:rPr>
          <w:rStyle w:val="FootnoteReference"/>
        </w:rPr>
        <w:footnoteReference w:id="20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tespitten hareketle çocuklara Kur'an okutan muallime, bu zamanda Allah için okuttuğunu açığa vurmamasını, aksine maaş için oturduğunu açığa vurmasını, niyetini ise Allah için tutmasını tavsiye etmektedir.</w:t>
      </w:r>
      <w:r>
        <w:rPr>
          <w:rStyle w:val="FootnoteReference"/>
        </w:rPr>
        <w:footnoteReference w:id="20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“وَالْغَالِبُ عَلَى النَّاسِ الْيَوْمَ هَذَا الْحَالُ وَهُوَ اسْتِعْظَامُ الدُّنْيَا فِي قُلُوبِهِمْ وَاسْتِصْغَارُ مَا كَانَ مِنْ أَمْرِ الْآخِرَةِ”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11406, page_id 617, basılı cilt/sayfa 2/310]</w:t>
      </w:r>
    </w:p>
    <w:p>
      <w:pPr>
        <w:pStyle w:val="DogrulamaAR"/>
        <w:bidi/>
        <w:spacing w:after="20" w:line="300"/>
        <w:ind w:end="567"/>
        <w:jc w:val="both"/>
      </w:pPr>
      <w:r>
        <w:rPr>
          <w:rFonts w:ascii="Times New Roman" w:cs="Traditional Arabic" w:eastAsia="Times New Roman" w:hAnsi="Times New Roman"/>
          <w:i/>
          <w:iCs/>
          <w:sz w:val="24"/>
          <w:szCs w:val="30"/>
          <w:rtl/>
        </w:rPr>
        <w:t xml:space="preserve">“فَإِذَا تَقَرَّرَ ذَلِكَ فَلَا يُظْهِرُ الْمُؤَدِّبُ فِي هَذَا الزَّمَانِ أَنَّهُ جَلَسَ يُقْرِئُ لِلَّهِ ﷿ بَلْ يُظْهِرُ أَنَّهُ جَلَسَ لِلْمَعْلُومِ وَنِيَّتُهُ لِلَّهِ تَعَالَى كَمَا تَقَدَّمَ”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11406, page_id 617, basılı cilt/sayfa 2/310]</w:t>
      </w:r>
    </w:p>
    <w:p>
      <w:pPr>
        <w:spacing w:after="120" w:line="360"/>
        <w:ind w:firstLine="567"/>
        <w:jc w:val="both"/>
      </w:pPr>
      <w:r>
        <w:rPr>
          <w:rFonts w:ascii="Times New Roman" w:cs="Traditional Arabic" w:eastAsia="Times New Roman" w:hAnsi="Times New Roman"/>
          <w:i w:val="false"/>
          <w:sz w:val="24"/>
          <w:szCs w:val="24"/>
        </w:rPr>
        <w:t xml:space="preserve">İbnü'l-Hâc'ın tavsiyesi bir öğretim ahlakı meselesidir ve gerekçesi kendi zamanının şartlarına dairdir. Kanaatimizce bu metin nitel araştırmacı için önemli bir şey söylemektedir. Bir insanın kendisi ve niyeti hakkında söyledikleri, içinde bulunduğu sosyal ortamın beklentilerinden bağımsız değildir. Bir Kur'an kursu öğreticisi, görüşmede mesleğini “geçim kapısı” olarak anlatabilir. Bu anlatım ne kendi başına bir yalandır ne de onun iç dünyasının eksiksiz bir fotoğrafıdır. O, belli bir bağlamda, belli bir dinleyiciye yapılmış bir kendini sunuştur. Araştırmacı bu sunuşu bir haber gibi doğrulamaya ya da yalanlamaya çalışmak yerine, onun hangi şartlarda ve hangi anlamlarla yapıldığını anlamaya çalışmalıdır.</w:t>
      </w:r>
    </w:p>
    <w:p>
      <w:pPr>
        <w:pStyle w:val="Heading2"/>
        <w:keepNext/>
        <w:spacing w:after="120" w:before="240"/>
      </w:pPr>
      <w:r>
        <w:rPr>
          <w:rFonts w:ascii="Times New Roman" w:cs="Traditional Arabic" w:eastAsia="Times New Roman" w:hAnsi="Times New Roman"/>
          <w:b/>
          <w:bCs/>
          <w:i w:val="false"/>
          <w:sz w:val="24"/>
          <w:szCs w:val="24"/>
        </w:rPr>
        <w:t xml:space="preserve">7.2. Tahammül Yolları ve Görüşmede Bilginin Alınması</w:t>
      </w:r>
    </w:p>
    <w:p>
      <w:pPr>
        <w:spacing w:after="120" w:line="360"/>
        <w:ind w:firstLine="567"/>
        <w:jc w:val="both"/>
      </w:pPr>
      <w:r>
        <w:rPr>
          <w:rFonts w:ascii="Times New Roman" w:cs="Traditional Arabic" w:eastAsia="Times New Roman" w:hAnsi="Times New Roman"/>
          <w:i w:val="false"/>
          <w:sz w:val="24"/>
          <w:szCs w:val="24"/>
        </w:rPr>
        <w:t xml:space="preserve">Hadis usulünde bir rivayetin talebe tarafından alınma biçimleri tahammül yolları adıyla ayrıntılı biçimde incelenmiştir. İbnü's-Salâh bu yolların toplamının sekiz kısım olduğunu belirtmektedir.</w:t>
      </w:r>
      <w:r>
        <w:rPr>
          <w:rStyle w:val="FootnoteReference"/>
        </w:rPr>
        <w:footnoteReference w:id="20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Bunlardan biri olan semâʿ, yani şeyhten dinleme, imlâ ve imlâ olmaksızın tahdis şeklinde ikiye ayrılmaktadır. Şeyhin ezberinden ya da kitabından okuması fark etmemekte, bu kısım ise cumhura göre kısımların en yükseği sayılmaktadır.</w:t>
      </w:r>
      <w:r>
        <w:rPr>
          <w:rStyle w:val="FootnoteReference"/>
        </w:rPr>
        <w:footnoteReference w:id="20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Şeyhe okuma yolunu ise İbnü's-Salâh, muhaddislerin çoğunun arz diye adlandırdığını, çünkü okuyanın okuduğunu şeyhe, tıpkı Kur'an'ın mukrie arz edilmesi gibi arz ettiğini belirtmektedir.</w:t>
      </w:r>
      <w:r>
        <w:rPr>
          <w:rStyle w:val="FootnoteReference"/>
        </w:rPr>
        <w:footnoteReference w:id="20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talebenin kendisinin okuması ya da o dinlerken bir başkasının okuması, kitaptan ya da ezberden okunması, şeyhin okunanı ezbere bilmesi ya da bilmeyip aslını kendisinin veya güvenilir bir başkasının elinde tutması arasında fark yoktur.</w:t>
      </w:r>
      <w:r>
        <w:rPr>
          <w:rStyle w:val="FootnoteReference"/>
        </w:rPr>
        <w:footnoteReference w:id="20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“وَمَجَامِعُهَا ثَمَانِيَةُ أَقْسَامٍ:”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129, basılı s. 132]</w:t>
      </w:r>
    </w:p>
    <w:p>
      <w:pPr>
        <w:pStyle w:val="DogrulamaAR"/>
        <w:bidi/>
        <w:spacing w:after="20" w:line="300"/>
        <w:ind w:end="567"/>
        <w:jc w:val="both"/>
      </w:pPr>
      <w:r>
        <w:rPr>
          <w:rFonts w:ascii="Times New Roman" w:cs="Traditional Arabic" w:eastAsia="Times New Roman" w:hAnsi="Times New Roman"/>
          <w:i/>
          <w:iCs/>
          <w:sz w:val="24"/>
          <w:szCs w:val="30"/>
          <w:rtl/>
        </w:rPr>
        <w:t xml:space="preserve">“وَهُوَ يَنْقَسِمُ إِلَى إِمْلَاءٍ، وَتَحْدِيثٍ مِنْ غَيْرِ إِمْلَاءٍ، وَسَوَاءٌ كَانَ مَنْ حِفْظِهِ أَوْ مِنْ كِتَابِهِ، وَهَذَا الْقِسْمُ أَرَفَعُ الْأَقْسَامِ عِنْدَ الْجَمَاهِيرِ.”</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129, basılı s. 132] Not: Alıntı, eserin şeyhin lafzından dinlemeye (semâʿ) ayrılan kısmındandır. Kısım başlığı alıntıya dahil edilmemiştir.</w:t>
      </w:r>
    </w:p>
    <w:p>
      <w:pPr>
        <w:pStyle w:val="DogrulamaAR"/>
        <w:bidi/>
        <w:spacing w:after="20" w:line="300"/>
        <w:ind w:end="567"/>
        <w:jc w:val="both"/>
      </w:pPr>
      <w:r>
        <w:rPr>
          <w:rFonts w:ascii="Times New Roman" w:cs="Traditional Arabic" w:eastAsia="Times New Roman" w:hAnsi="Times New Roman"/>
          <w:i/>
          <w:iCs/>
          <w:sz w:val="24"/>
          <w:szCs w:val="30"/>
          <w:rtl/>
        </w:rPr>
        <w:t xml:space="preserve">“وَأَكْثَرُ الْمُحَدِّثِينَ يُسَمُّونَهَا (عَرْضًا) مِنْ حَيْثُ إِنَّ الْقَارِئَ يَعْرِضُ عَلَى الشَّيْخِ مَا يَقْرَؤُهُ كَمَا يُعْرَضُ الْقُرْآنُ عَلَى الْمُقْرِئِ.”</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134, basılı s. 137]</w:t>
      </w:r>
    </w:p>
    <w:p>
      <w:pPr>
        <w:pStyle w:val="DogrulamaAR"/>
        <w:bidi/>
        <w:spacing w:after="20" w:line="300"/>
        <w:ind w:end="567"/>
        <w:jc w:val="both"/>
      </w:pPr>
      <w:r>
        <w:rPr>
          <w:rFonts w:ascii="Times New Roman" w:cs="Traditional Arabic" w:eastAsia="Times New Roman" w:hAnsi="Times New Roman"/>
          <w:i/>
          <w:iCs/>
          <w:sz w:val="24"/>
          <w:szCs w:val="30"/>
          <w:rtl/>
        </w:rPr>
        <w:t xml:space="preserve">“وَسَوَاءٌ كُنْتَ أَنْتَ الْقَارِئَ، أَوْ قَرَأَ غَيْرُكَ وَأَنْتَ تَسْمَعُ، أَوْ قَرَأْتَ مِنْ كِتَابٍ، أَوْ مِنْ حِفْظِكَ، أَوْ كَانَ الشَّيْخُ يَحْفَظُ مَا يُقْرَأُ عَلَيْهِ، أَوْ لَا يَحْفَظُهُ لَكِنْ يُمْسِكُ أَصْلَهُ هُوَ أَوْ ثِقَةٌ غَيْرُهُ.”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134, basılı s. 137]</w:t>
      </w:r>
    </w:p>
    <w:p>
      <w:pPr>
        <w:spacing w:after="120" w:line="360"/>
        <w:ind w:firstLine="567"/>
        <w:jc w:val="both"/>
      </w:pPr>
      <w:r>
        <w:rPr>
          <w:rFonts w:ascii="Times New Roman" w:cs="Traditional Arabic" w:eastAsia="Times New Roman" w:hAnsi="Times New Roman"/>
          <w:i w:val="false"/>
          <w:sz w:val="24"/>
          <w:szCs w:val="24"/>
        </w:rPr>
        <w:t xml:space="preserve">Bu iki yol, görüşme için iki farklı anlam katmanı sunmaktadır. Semâʿ, dinleyenin konuşanın sözünü bizzat ondan işitmesidir ve görüşmenin temel hareketine benzemektedir. Arz ise okuyanın okuduğunu, Kur'an'ın mukrie arz edilmesi gibi şeyhe arz etmesidir. Kanaatimizce bu hareket, araştırmacının görüşme dökümünü ya da yorumunu katılımcıya geri götürmesine, yani katılımcı teyidine benzetilebilir. Arzın Kur'an öğretimindeki karşılığına yapılan atıf da din eğitimcisi için ayrıca anlamlıdır. Bugün Kur'an kurslarında çocukların ezberlerini hocaya okumaları, bu kadim arz geleneğinin yaşayan bir uzantısı olarak görülebilir.</w:t>
      </w:r>
    </w:p>
    <w:p>
      <w:pPr>
        <w:spacing w:after="120" w:line="360"/>
        <w:ind w:firstLine="567"/>
        <w:jc w:val="both"/>
      </w:pPr>
      <w:r>
        <w:rPr>
          <w:rFonts w:ascii="Times New Roman" w:cs="Traditional Arabic" w:eastAsia="Times New Roman" w:hAnsi="Times New Roman"/>
          <w:i w:val="false"/>
          <w:sz w:val="24"/>
          <w:szCs w:val="24"/>
        </w:rPr>
        <w:t xml:space="preserve">Benzerliğin sınırı ise açıktır. Tahammülde talebe, şeyhin sahip olduğu ve kendisinde bulunmayan nakledilmiş bir bilgiyi almaktadır. Bilginin otoritesi şeyhe ve onun senedine aittir. Görüşmede ise araştırmacı, katılımcının kendi tecrübesine dair anlatımını almaktadır. Buradaki otorite bir senede değil, tecrübenin sahibi olmaya dayanmaktadır. Ayrıca tahammülün amacı sözün olduğu gibi korunarak aktarılmasıdır. Görüşmenin amacı ise sözün anlamının anlaşılmasıdır. Yine de iki faaliyet, dinlenen sözün dikkatle alınması ve kaydedilmesi konusunda ortak bir ahlak paylaşmaktadır.</w:t>
      </w:r>
    </w:p>
    <w:p>
      <w:pPr>
        <w:pStyle w:val="Heading2"/>
        <w:keepNext/>
        <w:spacing w:after="120" w:before="240"/>
      </w:pPr>
      <w:r>
        <w:rPr>
          <w:rFonts w:ascii="Times New Roman" w:cs="Traditional Arabic" w:eastAsia="Times New Roman" w:hAnsi="Times New Roman"/>
          <w:b/>
          <w:bCs/>
          <w:i w:val="false"/>
          <w:sz w:val="24"/>
          <w:szCs w:val="24"/>
        </w:rPr>
        <w:t xml:space="preserve">7.3. Soruların Hazırlanması ve Telkin Meselesi</w:t>
      </w:r>
    </w:p>
    <w:p>
      <w:pPr>
        <w:spacing w:after="120" w:line="360"/>
        <w:ind w:firstLine="567"/>
        <w:jc w:val="both"/>
      </w:pPr>
      <w:r>
        <w:rPr>
          <w:rFonts w:ascii="Times New Roman" w:cs="Traditional Arabic" w:eastAsia="Times New Roman" w:hAnsi="Times New Roman"/>
          <w:i w:val="false"/>
          <w:sz w:val="24"/>
          <w:szCs w:val="24"/>
        </w:rPr>
        <w:t xml:space="preserve">Görüşmenin başarısı büyük ölçüde soruların niteliğine bağlıdır. Yıldırım ve Şimşek soruların ifadesinde akademik ve teknik bir dil yerine görüşülen kişiye uygun ifadelerin kullanılmasının önemli olduğunu ve görüşülen kişinin alışık olmadığı kavramlardan ve ifadelerden kaçınılması gerektiğini belirtmektedir.</w:t>
      </w:r>
      <w:r>
        <w:rPr>
          <w:rStyle w:val="FootnoteReference"/>
        </w:rPr>
        <w:footnoteReference w:id="20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görüşme soruları önceden tahmin edilebilir ve kısa cevaplara yol açan türden olmamalı, “evet” ya da “hayır” cevabına götüren sorular yerine açıklamayı ve ayrıntılı konuşmayı teşvik eden “nasıl”, “neden” ve “ne” soruları sorulmalıdır.</w:t>
      </w:r>
      <w:r>
        <w:rPr>
          <w:rStyle w:val="FootnoteReference"/>
        </w:rPr>
        <w:footnoteReference w:id="21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“Soruların ifade edilmesinde akademik ve teknik bir dil kullanmak yerine, görüşülen bireye uygun ifadelerin kullanılması önemlidir. Görüşme sorularında, görüşülen bireyin alışık olmadığı kavramları ve ifadeleri kullanmaktan kaçınmak gerekir.”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128-129, PDF s. 126-127]</w:t>
      </w:r>
    </w:p>
    <w:p>
      <w:pPr>
        <w:pStyle w:val="Dogrulama"/>
        <w:spacing w:after="20" w:line="276"/>
        <w:ind w:left="567"/>
        <w:jc w:val="both"/>
      </w:pPr>
      <w:r>
        <w:rPr>
          <w:rFonts w:ascii="Times New Roman" w:cs="Traditional Arabic" w:eastAsia="Times New Roman" w:hAnsi="Times New Roman"/>
          <w:i/>
          <w:iCs/>
          <w:sz w:val="22"/>
          <w:szCs w:val="22"/>
        </w:rPr>
        <w:t xml:space="preserve">“Görüşme soruları, önceden kestirilebilir ve kısa yanıtlara neden olabilecek soru türlerinden oluşmamalıdır. Örneğin,”evet” ya da “hayır” türü yanıtlara götüren sorulardan kaçınılmalı, açıklama yapmayı ve ayrıntılı konuşmayı teşvik eden “nasıl,” “neden” ve “ne” türü sorular sorulmalıdır.”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131, PDF s. 129]</w:t>
      </w:r>
    </w:p>
    <w:p>
      <w:pPr>
        <w:spacing w:after="120" w:line="360"/>
        <w:ind w:firstLine="567"/>
        <w:jc w:val="both"/>
      </w:pPr>
      <w:r>
        <w:rPr>
          <w:rFonts w:ascii="Times New Roman" w:cs="Traditional Arabic" w:eastAsia="Times New Roman" w:hAnsi="Times New Roman"/>
          <w:i w:val="false"/>
          <w:sz w:val="24"/>
          <w:szCs w:val="24"/>
        </w:rPr>
        <w:t xml:space="preserve">Yazarlar genel ve soyut soruların bir tehlikesine de dikkat çekmektedir. Görüşülen kişi bu tür sorulara verilebilecek tek bir doğru cevap olduğunu düşünebilir ve kendini bu doğru cevabı bulmanın baskısı altında hissedebilir. Böyle bir durumda kendi görüş ve deneyimlerini yansıtmak yerine “akademik” ya da “bilimsel” bir cevap vermeye çalışabilir.</w:t>
      </w:r>
      <w:r>
        <w:rPr>
          <w:rStyle w:val="FootnoteReference"/>
        </w:rPr>
        <w:footnoteReference w:id="21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 bağlamında bu tehlike daha da belirgindir. “Namaz senin için ne ifade ediyor?” sorusunu duyan bir öğrenci, kendi tecrübesini değil, ders kitabında okuduğu ya da hocasından duyduğu “doğru cevabı” vermeye yönelebilir. Kanaatimizce bu durumda ortaya çıkan, öğrencinin tecrübesi değil, öğrencinin dinî normu ne kadar iyi bildiğidir.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“Ayrıca görüşülen birey, bu tür genel ve soyut sorulara verilebilecek tek bir doğru yanıtın olduğunu düşünebilir ve kendini bu doğru yanıtı bulabilmenin baskısı altında hissedebilir. Böyle bir durumda görüşülen birey, kendi görüşlerini ya da deneyimlerini yansıtmaktan ziyade,”akademik” ya da “bilimsel” bir yanıt vermeye çalışabilir.”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129-130, PDF s. 127-128]</w:t>
      </w:r>
    </w:p>
    <w:p>
      <w:pPr>
        <w:spacing w:after="120" w:line="360"/>
        <w:ind w:firstLine="567"/>
        <w:jc w:val="both"/>
      </w:pPr>
      <w:r>
        <w:rPr>
          <w:rFonts w:ascii="Times New Roman" w:cs="Traditional Arabic" w:eastAsia="Times New Roman" w:hAnsi="Times New Roman"/>
          <w:i w:val="false"/>
          <w:sz w:val="24"/>
          <w:szCs w:val="24"/>
        </w:rPr>
        <w:t xml:space="preserve">Gadamer’in soru çözümlemesi bu tehlikeyi adlandırmaya yardım etmektedir. Ona göre her hakiki soru bir açıklığa ihtiyaç duymaktadır ve bu açıklık olmadan soru yalnızca görünüşte bir sorudur. Gadamer bunun örneği olarak, soranı olmayan bir soru olması sebebiyle paradoksal bir zorluk taşıyan “pedagojik soru”yu göstermektedir.</w:t>
      </w:r>
      <w:r>
        <w:rPr>
          <w:rStyle w:val="FootnoteReference"/>
        </w:rPr>
        <w:footnoteReference w:id="21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Öğretmenin cevabını bildiği ve öğrenciden o cevabı beklediği soru, gerçek anlamda bir soru değil, bir sınamadır. Din eğitimi araştırmacısı çoğu zaman bir öğretmen olarak yetiştiği için görüşmede farkında olmadan pedagojik sorular sorabilir. Katılımcı da bunu sezdiğinde, Yıldırım ve Şimşek’in uyardığı gibi, kendi tecrübesini değil beklenen “doğru cevabı” vermeye yönelecektir.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“Her hakiki soru bu açıklığa ihtiyaç duyar. Bu açıklık olmaksızın sorunun temelde apaçık bir soru olmak dışında hiçbir anlamı yoktur. Biz bunu, paradoksal zorluğu, soranı olmayan bir soru olmasından doğan pedagojik soru örneğinden biliyoruz.”</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143, PDF s. 151]</w:t>
      </w:r>
    </w:p>
    <w:p>
      <w:pPr>
        <w:spacing w:after="120" w:line="360"/>
        <w:ind w:firstLine="567"/>
        <w:jc w:val="both"/>
      </w:pPr>
      <w:r>
        <w:rPr>
          <w:rFonts w:ascii="Times New Roman" w:cs="Traditional Arabic" w:eastAsia="Times New Roman" w:hAnsi="Times New Roman"/>
          <w:i w:val="false"/>
          <w:sz w:val="24"/>
          <w:szCs w:val="24"/>
        </w:rPr>
        <w:t xml:space="preserve">Soruların yansızlığı ayrı bir önem taşımaktadır. Yıldırım ve Şimşek'e göre araştırmacı, soru sormak ve soruları açık hale getirmek için ipucu vermek dışında, cevapları yönlendirici tepkilerden kaçınmalıdır. Araştırmacının konu hakkında varsayımları ya da önyargıları olabilir, ancak bunları görüşülen kişiye kesinlikle yansıtmaması beklenmektedir.</w:t>
      </w:r>
      <w:r>
        <w:rPr>
          <w:rStyle w:val="FootnoteReference"/>
        </w:rPr>
        <w:footnoteReference w:id="21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Görüşülen kişi araştırmacının kendisini yönlendirmeye çalıştığı izlenimini edinirse cevaplarında açık ve samimi olmaktan kaçınabilir. Bu nedenle araştırmacı sorularını yansız bir dille ifade etmek zorundadır.</w:t>
      </w:r>
      <w:r>
        <w:rPr>
          <w:rStyle w:val="FootnoteReference"/>
        </w:rPr>
        <w:footnoteReference w:id="21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“Araştırmacı görüşme sürecinde soru sormak ve soruları açık hale getirmek amacıyla ipuçları sunmak dışında, verilen yanıtları yönlendirici tepkilerden kaçınmalıdır. Araştırmacının araştırma konusu ile ilgili olası varsayımları ya da önyargıları olabilir. Ancak, bunları kesinlikle görüşülen bireye yansıtmaması ve görüşme sürecinde tamamıyla yansız olması beklenir.”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131, PDF s. 129]</w:t>
      </w:r>
    </w:p>
    <w:p>
      <w:pPr>
        <w:pStyle w:val="Dogrulama"/>
        <w:spacing w:after="20" w:line="276"/>
        <w:ind w:left="567"/>
        <w:jc w:val="both"/>
      </w:pPr>
      <w:r>
        <w:rPr>
          <w:rFonts w:ascii="Times New Roman" w:cs="Traditional Arabic" w:eastAsia="Times New Roman" w:hAnsi="Times New Roman"/>
          <w:i/>
          <w:iCs/>
          <w:sz w:val="22"/>
          <w:szCs w:val="22"/>
        </w:rPr>
        <w:t xml:space="preserve">“Ayrıca, görüşülen birey, araştırmacının kendini yönlendirmeye çalıştığı şeklinde bir izlenim edinirse, görüşme boyunca verdiği yanıtlarda açık ve samimi olmaktan kaçınabilir. Bu nedenle, araştırmacı sorularını yansız bir dille ifade etmek zorundadır.”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132, PDF s. 130]</w:t>
      </w:r>
    </w:p>
    <w:p>
      <w:pPr>
        <w:spacing w:after="120" w:line="360"/>
        <w:ind w:firstLine="567"/>
        <w:jc w:val="both"/>
      </w:pPr>
      <w:r>
        <w:rPr>
          <w:rFonts w:ascii="Times New Roman" w:cs="Traditional Arabic" w:eastAsia="Times New Roman" w:hAnsi="Times New Roman"/>
          <w:i w:val="false"/>
          <w:sz w:val="24"/>
          <w:szCs w:val="24"/>
        </w:rPr>
        <w:t xml:space="preserve">Hadis usulünde yönlendirme meselesine yakın bir kavram telkindir. İbnü's-Salâh, hadisi dinlemede ya da dinletmede gevşekliğiyle tanınan kimsenin rivayetinin kabul edilmeyeceğini belirtmekte ve buna dinleme meclisinde uyumaya aldırmayan kimseyi ve mukabele edilmiş sahih bir asla dayanmadan rivayette bulunan kimseyi örnek vermektedir. Hadiste telkini kabul etmekle tanınan kimseyi de bu kabilden saymaktadır.</w:t>
      </w:r>
      <w:r>
        <w:rPr>
          <w:rStyle w:val="FootnoteReference"/>
        </w:rPr>
        <w:footnoteReference w:id="21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bütün bunlar râviye ve onun zabtına duyulan güveni zedelemektedir.</w:t>
      </w:r>
      <w:r>
        <w:rPr>
          <w:rStyle w:val="FootnoteReference"/>
        </w:rPr>
        <w:footnoteReference w:id="21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“الثَّالِثَةَ عَشْرَةَ: لَا تُقْبَلُ رِوَايَةُ مَنْ عُرِفَ بِالتَّسَاهُلِ فِي سَمَاعِ الْحَدِيثِ أَوْ إِسْمَاعِهِ، كَمَنْ لَا يُبَالِي بِالنَّوْمِ فِي مَجْلِسِ السَّمَاعِ، وَكَمَنْ يُحَدِّثُ لَا مِنْ أَصْلٍ مُقَابَلٍ صَحِيحٍ، وَمِنْ هَذَا الْقَبِيلِ مَنْ عُرِفَ بِقَبُولِ التَّلْقِينِ فِي الْحَدِيثِ.”</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116, basılı s. 119]</w:t>
      </w:r>
    </w:p>
    <w:p>
      <w:pPr>
        <w:pStyle w:val="DogrulamaAR"/>
        <w:bidi/>
        <w:spacing w:after="20" w:line="300"/>
        <w:ind w:end="567"/>
        <w:jc w:val="both"/>
      </w:pPr>
      <w:r>
        <w:rPr>
          <w:rFonts w:ascii="Times New Roman" w:cs="Traditional Arabic" w:eastAsia="Times New Roman" w:hAnsi="Times New Roman"/>
          <w:i/>
          <w:iCs/>
          <w:sz w:val="24"/>
          <w:szCs w:val="30"/>
          <w:rtl/>
        </w:rPr>
        <w:t xml:space="preserve">“وَكُلُّ هَذَا يَخْرِمُ الثِّقَةَ بِالرَّاوِي وَبِضَبْطِهِ.”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116, basılı s. 119]</w:t>
      </w:r>
    </w:p>
    <w:p>
      <w:pPr>
        <w:spacing w:after="120" w:line="360"/>
        <w:ind w:firstLine="567"/>
        <w:jc w:val="both"/>
      </w:pPr>
      <w:r>
        <w:rPr>
          <w:rFonts w:ascii="Times New Roman" w:cs="Traditional Arabic" w:eastAsia="Times New Roman" w:hAnsi="Times New Roman"/>
          <w:i w:val="false"/>
          <w:sz w:val="24"/>
          <w:szCs w:val="24"/>
        </w:rPr>
        <w:t xml:space="preserve">Bu metni görüşmeye taşırken girişte belirtilen daraltma özellikle gözetilmelidir. İbnü's-Salâh'ın eleştirdiği kimse, kendisine telkin edileni kabul eden râvidir. Nitel görüşmede ise telkin eden, yani soruyu yönlendirerek karşısındakinin ağzına kendi sözünü koyan kişi araştırmacıdır. Bu yüzden hadis usulündeki telkin kavramı kanaatimizce katılımcıya değil, araştırmacıya yöneltilmelidir. Yönlendirici sorularla elde edilmiş bir döküm, katılımcının değil araştırmacının sesini taşımaktadır ve kanaatimizce, İbnü's-Salâh'ın râvi için söylediğine benzer biçimde, kayda ve kaydı yapanın zabtına duyulan güveni zedelemektedir. İki durum arasındaki ortak nokta, telkinle elde edilen sözün konuşanın kendi sözü olmaktan çıkmasıdır. Fark ise sorumluluğun yeridir.</w:t>
      </w:r>
    </w:p>
    <w:p>
      <w:pPr>
        <w:spacing w:after="120" w:line="360"/>
        <w:ind w:firstLine="567"/>
        <w:jc w:val="both"/>
      </w:pPr>
      <w:r>
        <w:rPr>
          <w:rFonts w:ascii="Times New Roman" w:cs="Traditional Arabic" w:eastAsia="Times New Roman" w:hAnsi="Times New Roman"/>
          <w:i w:val="false"/>
          <w:sz w:val="24"/>
          <w:szCs w:val="24"/>
        </w:rPr>
        <w:t xml:space="preserve">Hassas konulardaki soruların sırası da önemlidir. Yıldırım ve Şimşek'e göre görüşmeci ile görüşülen kişi arasında rahat bir iletişim kurulmadan sorulan hassas sorulara samimi ve ayrıntılı cevaplar almak güçtür. Bu nedenle bu tür sorular son bölümlere bırakılmalı ve rahat ve samimi bir iletişim ortamı oluştuktan sonra sorulmalıdır.</w:t>
      </w:r>
      <w:r>
        <w:rPr>
          <w:rStyle w:val="FootnoteReference"/>
        </w:rPr>
        <w:footnoteReference w:id="21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 araştırmalarında inanç, şüphe, ibadetteki ihmal ya da aile içindeki dinî gerilimler bu türden hassas konulardır.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“Görüşmeci ile görüşülen birey arasında rahat bir iletişim kurulmadan sorulan hassas konularla ilgili sorulara, samimi ve ayrıntılı yanıtlar almak güçtür. Görüşülen bireyin, görüşmenin başında bazı kuşkuları olabilir ya da ilk defa karşılaştığı biriyle hassas konuları konuşmaktan kaçınabilir. Bu nedenle, bu tür soruları son bölümlere bırakmak ve görüşülen birey ile rahat ve samimi bir iletişim ortamı oluşturduktan sonra bu tür soruları sormak yerinde olur.”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136, PDF s. 134]</w:t>
      </w:r>
    </w:p>
    <w:p>
      <w:pPr>
        <w:pStyle w:val="Heading2"/>
        <w:keepNext/>
        <w:spacing w:after="120" w:before="240"/>
      </w:pPr>
      <w:r>
        <w:rPr>
          <w:rFonts w:ascii="Times New Roman" w:cs="Traditional Arabic" w:eastAsia="Times New Roman" w:hAnsi="Times New Roman"/>
          <w:b/>
          <w:bCs/>
          <w:i w:val="false"/>
          <w:sz w:val="24"/>
          <w:szCs w:val="24"/>
        </w:rPr>
        <w:t xml:space="preserve">7.4. Görüşmecinin Tutumu: İnsaf, Sabır ve Güler Yüz</w:t>
      </w:r>
    </w:p>
    <w:p>
      <w:pPr>
        <w:spacing w:after="120" w:line="360"/>
        <w:ind w:firstLine="567"/>
        <w:jc w:val="both"/>
      </w:pPr>
      <w:r>
        <w:rPr>
          <w:rFonts w:ascii="Times New Roman" w:cs="Traditional Arabic" w:eastAsia="Times New Roman" w:hAnsi="Times New Roman"/>
          <w:i w:val="false"/>
          <w:sz w:val="24"/>
          <w:szCs w:val="24"/>
        </w:rPr>
        <w:t xml:space="preserve">Görüşmecinin tutumu, soruların kendisi kadar belirleyicidir. Yıldırım ve Şimşek etkin dinleme sürecinde görüşülen kişinin açıklamalarını içerik yönünden yönlendirmemenin şart olduğunu, anlatılanlara kızmak ya da gülmek gibi olumlu ya da olumsuz tepkiler vermenin araştırmacının yansızlığını zedeleyebileceğini ve araştırmacının sorulan soruyla ilgili önyargıları olsa bile bunları sözlü ya da sözsüz davranışlarla ortaya koymaması gerektiğini belirtmektedir.</w:t>
      </w:r>
      <w:r>
        <w:rPr>
          <w:rStyle w:val="FootnoteReference"/>
        </w:rPr>
        <w:footnoteReference w:id="21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“Ancak etkin dinleme sürecinde, görüşülen bireyin yaptığı açıklamaları içerik yönünden yönlendirmemek şarttır. Anlatılanlara karşı olumlu veya olumsuz tepki vermek (kızmak, gülmek gibi), araştırmacının yansızlığını zedeleyebilir. Araştırmacının sorulan soruya ilişkin birtakım düşünceleri ya da önyargıları olsa bile, bunları kesinlikle sözel veya sözel olmayan davranışlar yoluyla ortaya koymaması gerekir.”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144, PDF s. 142]</w:t>
      </w:r>
    </w:p>
    <w:p>
      <w:pPr>
        <w:spacing w:after="120" w:line="360"/>
        <w:ind w:firstLine="567"/>
        <w:jc w:val="both"/>
      </w:pPr>
      <w:r>
        <w:rPr>
          <w:rFonts w:ascii="Times New Roman" w:cs="Traditional Arabic" w:eastAsia="Times New Roman" w:hAnsi="Times New Roman"/>
          <w:i w:val="false"/>
          <w:sz w:val="24"/>
          <w:szCs w:val="24"/>
        </w:rPr>
        <w:t xml:space="preserve">Klasik ilim ahlakı eserleri hocanın talebesini dinlerken nasıl bir tutum içinde olması gerektiğini ayrıntılı biçimde anlatmaktadır. İbn Cemâa </w:t>
      </w:r>
      <w:r>
        <w:rPr>
          <w:rFonts w:ascii="Times New Roman" w:cs="Traditional Arabic" w:eastAsia="Times New Roman" w:hAnsi="Times New Roman"/>
          <w:i/>
          <w:iCs/>
          <w:sz w:val="24"/>
          <w:szCs w:val="24"/>
        </w:rPr>
        <w:t xml:space="preserve">Tezkiretü's-sâmiʿ</w:t>
      </w:r>
      <w:r>
        <w:rPr>
          <w:rFonts w:ascii="Times New Roman" w:cs="Traditional Arabic" w:eastAsia="Times New Roman" w:hAnsi="Times New Roman"/>
          <w:i w:val="false"/>
          <w:sz w:val="24"/>
          <w:szCs w:val="24"/>
        </w:rPr>
        <w:t xml:space="preserve">'de hocanın tartışmasında (bahsinde) ve hitabında insafa bağlı kalmasını, soruyu küçük birinden de gelse sahibinden olduğu gibi dinlemesini ve onu dinlemeye tenezzül etmeyerek faydadan mahrum kalmamasını öğütlemektedir.</w:t>
      </w:r>
      <w:r>
        <w:rPr>
          <w:rStyle w:val="FootnoteReference"/>
        </w:rPr>
        <w:footnoteReference w:id="21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İbn Cemâa, soru soranın haya ya da yetersizlik sebebiyle sorusunu açıklamakta ya da ifadesini düzgün kurmakta zorlandığı durumda hocanın, manayı kavradıysa, onun maksadını ifade etmesini ve soruyu ne sebeple sorduğunu açıklamasını da istemektedir.</w:t>
      </w:r>
      <w:r>
        <w:rPr>
          <w:rStyle w:val="FootnoteReference"/>
        </w:rPr>
        <w:footnoteReference w:id="22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Hocanın yanına gelen bir yabancıya sevgi göstermesini ve onun gönlünü açmak için güler yüzlü davranmasını da tavsiye etmektedir.</w:t>
      </w:r>
      <w:r>
        <w:rPr>
          <w:rStyle w:val="FootnoteReference"/>
        </w:rPr>
        <w:footnoteReference w:id="22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“أن يلازم الإنصاف في بحثه وخطابه ويسمع السؤال من مورده على وجهه وإن كان صغيرًا ولا يترفع على سماعه فيحرم الفائدة.”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151180, page_id 43, basılı s. 42]</w:t>
      </w:r>
    </w:p>
    <w:p>
      <w:pPr>
        <w:pStyle w:val="DogrulamaAR"/>
        <w:bidi/>
        <w:spacing w:after="20" w:line="300"/>
        <w:ind w:end="567"/>
        <w:jc w:val="both"/>
      </w:pPr>
      <w:r>
        <w:rPr>
          <w:rFonts w:ascii="Times New Roman" w:cs="Traditional Arabic" w:eastAsia="Times New Roman" w:hAnsi="Times New Roman"/>
          <w:i/>
          <w:iCs/>
          <w:sz w:val="24"/>
          <w:szCs w:val="30"/>
          <w:rtl/>
        </w:rPr>
        <w:t xml:space="preserve">“وإذا عجز السائل عن تقرير ما أورده أو تحرير العبارة فيه لحياء أو قصور ووقع على المعنى عبر عن مراده وبين وجه إيراده”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151180, page_id 43, basılı s. 42]</w:t>
      </w:r>
    </w:p>
    <w:p>
      <w:pPr>
        <w:pStyle w:val="DogrulamaAR"/>
        <w:bidi/>
        <w:spacing w:after="20" w:line="300"/>
        <w:ind w:end="567"/>
        <w:jc w:val="both"/>
      </w:pPr>
      <w:r>
        <w:rPr>
          <w:rFonts w:ascii="Times New Roman" w:cs="Traditional Arabic" w:eastAsia="Times New Roman" w:hAnsi="Times New Roman"/>
          <w:i/>
          <w:iCs/>
          <w:sz w:val="24"/>
          <w:szCs w:val="30"/>
          <w:rtl/>
        </w:rPr>
        <w:t xml:space="preserve">“أن يتودد لغريب حضر عنده وينبسط له ليشرح صدره”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151180, page_id 44, basılı s. 43]</w:t>
      </w:r>
    </w:p>
    <w:p>
      <w:pPr>
        <w:spacing w:after="120" w:line="360"/>
        <w:ind w:firstLine="567"/>
        <w:jc w:val="both"/>
      </w:pPr>
      <w:r>
        <w:rPr>
          <w:rFonts w:ascii="Times New Roman" w:cs="Traditional Arabic" w:eastAsia="Times New Roman" w:hAnsi="Times New Roman"/>
          <w:i w:val="false"/>
          <w:sz w:val="24"/>
          <w:szCs w:val="24"/>
        </w:rPr>
        <w:t xml:space="preserve">Bu öğütler nitel görüşmecinin tutumuna ilişkin modern ilkelerle kayda değer bir uyum içindedir. Sözü küçük ya da önemsiz görünen birinden de olduğu gibi dinlemek, katılımcının sözünü önemsemenin ifadesidir. Yabancıya güler yüz göstermek, görüşmenin başında güven ortamı kurmaya benzemektedir. Ancak İbn Cemâa'nın ikinci öğüdü nitel araştırmacı için bir uyarı da içermektedir. Hoca, sorusunu ifade edemeyen talebenin maksadını onun yerine söyleyebilmektedir, çünkü burada amaç talebenin öğrenmesidir. Nitel görüşmede ise katılımcının maksadını onun yerine söylemek, onun ağzına araştırmacının sözünü koymak anlamına gelebilir. Kanaatimizce görüşmeci, kendini ifade etmekte zorlanan katılımcıya yardım ederken onun yerine konuşmamalı, “şunu mu demek istiyorsunuz” türünden bir yansıtma yaptıktan sonra katılımcının kendi ifadesini beklemelidir. İbn Cemâa'nın tavsiyesindeki şefkat korunmalı, fakat öğretim ilişkisine ait olan yönlendirme görüşmeye taşınmamalıdır.</w:t>
      </w:r>
    </w:p>
    <w:p>
      <w:pPr>
        <w:pStyle w:val="Heading2"/>
        <w:keepNext/>
        <w:spacing w:after="120" w:before="240"/>
      </w:pPr>
      <w:r>
        <w:rPr>
          <w:rFonts w:ascii="Times New Roman" w:cs="Traditional Arabic" w:eastAsia="Times New Roman" w:hAnsi="Times New Roman"/>
          <w:b/>
          <w:bCs/>
          <w:i w:val="false"/>
          <w:sz w:val="24"/>
          <w:szCs w:val="24"/>
        </w:rPr>
        <w:t xml:space="preserve">7.5. Kayıt ve Zabt</w:t>
      </w:r>
    </w:p>
    <w:p>
      <w:pPr>
        <w:spacing w:after="120" w:line="360"/>
        <w:ind w:firstLine="567"/>
        <w:jc w:val="both"/>
      </w:pPr>
      <w:r>
        <w:rPr>
          <w:rFonts w:ascii="Times New Roman" w:cs="Traditional Arabic" w:eastAsia="Times New Roman" w:hAnsi="Times New Roman"/>
          <w:i w:val="false"/>
          <w:sz w:val="24"/>
          <w:szCs w:val="24"/>
        </w:rPr>
        <w:t xml:space="preserve">Görüşmede söylenenin kaydı, verinin güvenilirliğinin temelidir. Yıldırım ve Şimşek görüşmenin mekanik ya da dijital olarak kaydedilecekse mutlaka görüşülen kişiden önceden izin alınması gerektiğini belirtmektedir.</w:t>
      </w:r>
      <w:r>
        <w:rPr>
          <w:rStyle w:val="FootnoteReference"/>
        </w:rPr>
        <w:footnoteReference w:id="22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Not alınarak yapılan görüşmelerde ise görüşmenin hemen ardından alınan notların gözden geçirilmesi ve eksik yerlerin tamamlanması gerekmektedir.</w:t>
      </w:r>
      <w:r>
        <w:rPr>
          <w:rStyle w:val="FootnoteReference"/>
        </w:rPr>
        <w:footnoteReference w:id="22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“Eğer görüşme mekanik veya dijital olarak (kayıt cihazı ile) kaydedilecekse, mutlaka görüşülen kişiden önceden izin alınması gerekir.”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147, PDF s. 145]</w:t>
      </w:r>
    </w:p>
    <w:p>
      <w:pPr>
        <w:pStyle w:val="Dogrulama"/>
        <w:spacing w:after="20" w:line="276"/>
        <w:ind w:left="567"/>
        <w:jc w:val="both"/>
      </w:pPr>
      <w:r>
        <w:rPr>
          <w:rFonts w:ascii="Times New Roman" w:cs="Traditional Arabic" w:eastAsia="Times New Roman" w:hAnsi="Times New Roman"/>
          <w:i/>
          <w:iCs/>
          <w:sz w:val="22"/>
          <w:szCs w:val="22"/>
        </w:rPr>
        <w:t xml:space="preserve">“Ayrıca, görüşmenin hemen arkasından alınan notların gözden geçirilmesi, eksik yerlerin tamamlanması gerekir.”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147, PDF s. 145]</w:t>
      </w:r>
    </w:p>
    <w:p>
      <w:pPr>
        <w:spacing w:after="120" w:line="360"/>
        <w:ind w:firstLine="567"/>
        <w:jc w:val="both"/>
      </w:pPr>
      <w:r>
        <w:rPr>
          <w:rFonts w:ascii="Times New Roman" w:cs="Traditional Arabic" w:eastAsia="Times New Roman" w:hAnsi="Times New Roman"/>
          <w:i w:val="false"/>
          <w:sz w:val="24"/>
          <w:szCs w:val="24"/>
        </w:rPr>
        <w:t xml:space="preserve">Hadis usulünde yazılı kaydın titizliği zabt kavramı altında ele alınmıştır. İbnü's-Salâh, hadis yazanların ve hadis talebelerinin, yazdıkları ya da başkasının hattıyla elde ettikleri rivayetleri karışıklığın önüne geçecek biçimde harekeleyip noktalayarak rivayet ettikleri şekilde zabtetmeye himmet etmeleri gerektiğini belirtmektedir. Ona göre zihnine ve uyanıklığına güvenen kimse çoğu zaman bunu hafife almaktadır ve bunun sonu vahimdir, çünkü insan unutkanlığa maruzdur.</w:t>
      </w:r>
      <w:r>
        <w:rPr>
          <w:rStyle w:val="FootnoteReference"/>
        </w:rPr>
        <w:footnoteReference w:id="22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“ثُمَّ إِنَّ عَلَى كَتَبَةِ الْحَدِيثِ، وَطَلَبَتِهِ صَرْفَ الْهِمَّةِ إِلَى ضَبْطِ مَا يَكْتُبُونَهُ، أَوْ يُحَصِّلُونَهُ بِخَطِّ الْغَيْرِ مِنْ مَرْوِيَّاتِهِمْ عَلَى الْوَجْهِ الَّذِي رَوَوْهُ شَكْلًا، وَنَقْطًا يُؤْمَنُ مَعَهُمَا الِالْتِبَاسُ، وَكَثِيرًا مَا يَتَهَاوَنُ بِذَلِكَ الْوَاثِقُ بِذِهْنِهِ، وَتَيَقُّظِهِ، وَذَلِكَ وَخِيمُ الْعَاقِبَةِ، فَإِنَّ الْإِنْسَانَ مُعَرَّضٌ لِلنِّسْيَانِ،”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180, basılı s. 183]</w:t>
      </w:r>
    </w:p>
    <w:p>
      <w:pPr>
        <w:spacing w:after="120" w:line="360"/>
        <w:ind w:firstLine="567"/>
        <w:jc w:val="both"/>
      </w:pPr>
      <w:r>
        <w:rPr>
          <w:rFonts w:ascii="Times New Roman" w:cs="Traditional Arabic" w:eastAsia="Times New Roman" w:hAnsi="Times New Roman"/>
          <w:i w:val="false"/>
          <w:sz w:val="24"/>
          <w:szCs w:val="24"/>
        </w:rPr>
        <w:t xml:space="preserve">İbnü's-Salâh'ın bu uyarısı, görüşme dökümü hazırlayan araştırmacı için doğrudan bir karşılığa sahiptir. Ses kaydının yazıya geçirilmesi sırasında bir kelimenin yanlış duyulması, bir duraklamanın atlanması ya da bir vurgunun kaybolması, katılımcının sözünün anlamını değiştirebilir. Görüşmeyi hatırladığına güvenen araştırmacı, İbnü's-Salâh'ın “zihnine güvenen” kişisi gibi, dökümü dikkatsizce hazırlayabilir. Burada zabt kavramı, girişteki daraltmaya uygun olarak katılımcıya değil araştırmacıya uygulanmaktadır. Zabt, araştırmacının kaydına duyulan güvenin adıdır.</w:t>
      </w:r>
    </w:p>
    <w:p>
      <w:pPr>
        <w:pStyle w:val="Heading2"/>
        <w:keepNext/>
        <w:spacing w:after="120" w:before="240"/>
      </w:pPr>
      <w:r>
        <w:rPr>
          <w:rFonts w:ascii="Times New Roman" w:cs="Traditional Arabic" w:eastAsia="Times New Roman" w:hAnsi="Times New Roman"/>
          <w:b/>
          <w:bCs/>
          <w:i w:val="false"/>
          <w:sz w:val="24"/>
          <w:szCs w:val="24"/>
        </w:rPr>
        <w:t xml:space="preserve">7.6. Çocuklar ve Gençlerle Görüşme</w:t>
      </w:r>
    </w:p>
    <w:p>
      <w:pPr>
        <w:spacing w:after="120" w:line="360"/>
        <w:ind w:firstLine="567"/>
        <w:jc w:val="both"/>
      </w:pPr>
      <w:r>
        <w:rPr>
          <w:rFonts w:ascii="Times New Roman" w:cs="Traditional Arabic" w:eastAsia="Times New Roman" w:hAnsi="Times New Roman"/>
          <w:i w:val="false"/>
          <w:sz w:val="24"/>
          <w:szCs w:val="24"/>
        </w:rPr>
        <w:t xml:space="preserve">Yıldırım ve Şimşek'in kitabının bu çalışmada yararlanılan kısımlarında çocuklarla görüşme ayrıntılı olarak ele alınmamaktadır. Yazarların çocuklardan veri toplamaya dair önerileri onuncu bölümde mecazlar bağlamında aktarılmıştır. Bu nedenle burada söylenenler, kaynağın genel ilkelerinin çocuklara uygulanması ve yazarın kendi değerlendirmesidir. Yukarıda ele alınan “doğru cevap” baskısı çocuklarda daha güçlü olabilir. Çocuk, karşısındaki yetişkini bir öğretmen gibi algılayabilir ve onu memnun edecek cevabı aramaya yönelebilir.</w:t>
      </w:r>
    </w:p>
    <w:p>
      <w:pPr>
        <w:spacing w:after="120" w:line="360"/>
        <w:ind w:firstLine="567"/>
        <w:jc w:val="both"/>
      </w:pPr>
      <w:r>
        <w:rPr>
          <w:rFonts w:ascii="Times New Roman" w:cs="Traditional Arabic" w:eastAsia="Times New Roman" w:hAnsi="Times New Roman"/>
          <w:i w:val="false"/>
          <w:sz w:val="24"/>
          <w:szCs w:val="24"/>
        </w:rPr>
        <w:t xml:space="preserve">Gazzâlî </w:t>
      </w:r>
      <w:r>
        <w:rPr>
          <w:rFonts w:ascii="Times New Roman" w:cs="Traditional Arabic" w:eastAsia="Times New Roman" w:hAnsi="Times New Roman"/>
          <w:i/>
          <w:iCs/>
          <w:sz w:val="24"/>
          <w:szCs w:val="24"/>
        </w:rPr>
        <w:t xml:space="preserve">İhyâ</w:t>
      </w:r>
      <w:r>
        <w:rPr>
          <w:rFonts w:ascii="Times New Roman" w:cs="Traditional Arabic" w:eastAsia="Times New Roman" w:hAnsi="Times New Roman"/>
          <w:i w:val="false"/>
          <w:sz w:val="24"/>
          <w:szCs w:val="24"/>
        </w:rPr>
        <w:t xml:space="preserve">'da ilim talebesine yönelik bir uyarısında, kişinin mertebesinin anlamaya ulaşmadığı bir şeyi sormasının kınanmış olduğunu söylemektedir.</w:t>
      </w:r>
      <w:r>
        <w:rPr>
          <w:rStyle w:val="FootnoteReference"/>
        </w:rPr>
        <w:footnoteReference w:id="22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uyarı talebeye yöneliktir. Kanaatimizce görüşmeci için de ters yönden bir ölçü sunmaktadır. Araştırmacı da çocuğa, onun gelişim düzeyinin anlamaya ulaşmadığı soyut sorular sormamalıdır. “Allah'ı nasıl tasavvur ediyorsun?” gibi bir soru küçük bir çocuk için hem anlaşılması güç hem de dinî bir hassasiyet taşıyan bir sorudur. Bunun yerine çocuğun somut tecrübelerinden hareket eden sorular tercih edilmelidir. Çocuklarla görüşmede veli izni, çocuğun kendi rızası, görüşmenin yapıldığı ortamın güvenliği ve çocuğun istediği anda görüşmeyi bırakabilmesi, on üçüncü bölümde ele alınacak etik ilkelerin ayrılmaz parçalarıdır.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“فإن السؤال عما لم تبلغ مرتبتك إلى فهمه مذموم”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9472, page_id 51, basılı cilt/sayfa 1/51]</w:t>
      </w:r>
    </w:p>
    <w:p>
      <w:pPr>
        <w:pStyle w:val="Heading2"/>
        <w:keepNext/>
        <w:spacing w:after="120" w:before="240"/>
      </w:pPr>
      <w:r>
        <w:rPr>
          <w:rFonts w:ascii="Times New Roman" w:cs="Traditional Arabic" w:eastAsia="Times New Roman" w:hAnsi="Times New Roman"/>
          <w:b/>
          <w:bCs/>
          <w:i w:val="false"/>
          <w:sz w:val="24"/>
          <w:szCs w:val="24"/>
        </w:rPr>
        <w:t xml:space="preserve">7.7. Odak Grup Görüşmesi</w:t>
      </w:r>
    </w:p>
    <w:p>
      <w:pPr>
        <w:spacing w:after="120" w:line="360"/>
        <w:ind w:firstLine="567"/>
        <w:jc w:val="both"/>
      </w:pPr>
      <w:r>
        <w:rPr>
          <w:rFonts w:ascii="Times New Roman" w:cs="Traditional Arabic" w:eastAsia="Times New Roman" w:hAnsi="Times New Roman"/>
          <w:i w:val="false"/>
          <w:sz w:val="24"/>
          <w:szCs w:val="24"/>
        </w:rPr>
        <w:t xml:space="preserve">Odak grup görüşmesi, küçük bir grubun bir konu hakkında birlikte konuşmasına dayanmaktadır. Yıldırım ve Şimşek'e göre grup görüşmelerinde sorulara verilen cevaplar, gruptaki bireylerin birbiriyle etkileşimi sonucunda oluşmaktadır.</w:t>
      </w:r>
      <w:r>
        <w:rPr>
          <w:rStyle w:val="FootnoteReference"/>
        </w:rPr>
        <w:footnoteReference w:id="22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Bireysel görüşmelerde akla gelmeyecek bazı konular, grup görüşmelerinde diğer katılımcıların açıklamaları sayesinde akla gelebilmekte ve ek yorumlara imkân doğmaktadır.</w:t>
      </w:r>
      <w:r>
        <w:rPr>
          <w:rStyle w:val="FootnoteReference"/>
        </w:rPr>
        <w:footnoteReference w:id="22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“Öncelikle grup görüşmelerinde sorulara verilen yanıtlar, gruptaki bireylerin birbiriyle etkileşimleri sonucu oluşur.”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[151], PDF s. 149] Not: 151 numaralı sayfada basılı sayfa numarası görünmemektedir (bölüm açılış sayfası). Köşeli ayraç içindeki numara, önceki ve sonraki sayfaların basılı numaralarından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“Bireysel görüşmelerde akla gelmeyecek bazı konular, grup görüşmelerinde diğer bireylerin açıklamaları çerçevesinde akla gelebilir ve ek yorumda bulunmak mümkün olabilir.”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[151], PDF s. 149] Not: 151 numaralı sayfada basılı sayfa numarası görünmemektedir (bölüm açılış sayfası). Köşeli ayraç içindeki numara, önceki ve sonraki sayfaların basılı numaralarından çıkarılmıştır.</w:t>
      </w:r>
    </w:p>
    <w:p>
      <w:pPr>
        <w:spacing w:after="120" w:line="360"/>
        <w:ind w:firstLine="567"/>
        <w:jc w:val="both"/>
      </w:pPr>
      <w:r>
        <w:rPr>
          <w:rFonts w:ascii="Times New Roman" w:cs="Traditional Arabic" w:eastAsia="Times New Roman" w:hAnsi="Times New Roman"/>
          <w:i w:val="false"/>
          <w:sz w:val="24"/>
          <w:szCs w:val="24"/>
        </w:rPr>
        <w:t xml:space="preserve">İbn Haldûn </w:t>
      </w:r>
      <w:r>
        <w:rPr>
          <w:rFonts w:ascii="Times New Roman" w:cs="Traditional Arabic" w:eastAsia="Times New Roman" w:hAnsi="Times New Roman"/>
          <w:i/>
          <w:iCs/>
          <w:sz w:val="24"/>
          <w:szCs w:val="24"/>
        </w:rPr>
        <w:t xml:space="preserve">Târîh</w:t>
      </w:r>
      <w:r>
        <w:rPr>
          <w:rFonts w:ascii="Times New Roman" w:cs="Traditional Arabic" w:eastAsia="Times New Roman" w:hAnsi="Times New Roman"/>
          <w:i w:val="false"/>
          <w:sz w:val="24"/>
          <w:szCs w:val="24"/>
        </w:rPr>
        <w:t xml:space="preserve">'inin mukaddimesinde zihinde yerleşen ilmî bir suretin bir başkasına açıklanmasının zorunlu olduğunu ve bunun ya talim yoluyla ya da fikirleri düzeltilirken parlatan müfâvaza, yani karşılıklı müzakere yoluyla olduğunu belirtmektedir.</w:t>
      </w:r>
      <w:r>
        <w:rPr>
          <w:rStyle w:val="FootnoteReference"/>
        </w:rPr>
        <w:footnoteReference w:id="22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Müfâvaza kavramı, odak grup görüşmesinin verimli yönünü iyi ifade etmektedir. Fikirler bir başkasıyla konuşurken netleşmekte ve derinleşmektedir. Ancak İbn Haldûn'un müfâvazası ilim ehli arasında fikirleri düzeltmeye yöneliktir. Odak grupta ise amaç katılımcıların görüşlerini düzeltmek değil, onların farklı görüşlerini ve bu görüşlerin etkileşimini görünür kılmaktır.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“فإذا استقرّت من ذلك صورة علميّة في الضمير فلا بدّ من بيانها لآخر، إمّا على وجه التعليم، أو على وجه المفاوضة، تصقل الأفكار في تصحيحها.”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727, basılı cilt/sayfa 1/729]</w:t>
      </w:r>
    </w:p>
    <w:p>
      <w:pPr>
        <w:spacing w:after="120" w:line="360"/>
        <w:ind w:firstLine="567"/>
        <w:jc w:val="both"/>
      </w:pPr>
      <w:r>
        <w:rPr>
          <w:rFonts w:ascii="Times New Roman" w:cs="Traditional Arabic" w:eastAsia="Times New Roman" w:hAnsi="Times New Roman"/>
          <w:i w:val="false"/>
          <w:sz w:val="24"/>
          <w:szCs w:val="24"/>
        </w:rPr>
        <w:t xml:space="preserve">Yıldırım ve Şimşek'e göre odak grup görüşmelerinin en büyük artılarından biri olan grup süreci aynı zamanda yöntemin en zayıf tarafıdır. Katılımcılar arasında statü ve güç farkı bulunduğunda, özellikle de aynı iş ya da yaşam ortamını paylaşıyorlarsa, herkes konuya aynı ölçüde katkıda bulunamayacaktır.</w:t>
      </w:r>
      <w:r>
        <w:rPr>
          <w:rStyle w:val="FootnoteReference"/>
        </w:rPr>
        <w:footnoteReference w:id="22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duyarlı konuların odak grup görüşmeleriyle ne derece etkili çalışılabileceği konusunda çelişkili görüşler bulunduğunu da belirtmektedir. Katılımcılar birbirini göreceği için gizlilik ortadan kalkmakta, cinsellik, politik görüş ve dinî eğilimler gibi hassas konularda bu yöntemin uygun olmayabileceği ilk akla gelen tepki olmaktadır. Yazarlara göre araştırmacılar odak grup süreçlerinin bu tür konulara duyarlı olabileceğinin farkında olmalıdır.</w:t>
      </w:r>
      <w:r>
        <w:rPr>
          <w:rStyle w:val="FootnoteReference"/>
        </w:rPr>
        <w:footnoteReference w:id="23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bu tartışma din eğitimi araştırmacısı için doğrudan önem taşımaktadır. Aynı sınıftaki öğrencilerle dinî şüpheler üzerine bir odak grup yapmak, öğrencileri arkadaşlarının önünde kendilerini savunmak ya da susmak zorunda bırakabilir. Aynı cami cemaatinden kişilerle imama dair görüşlerin konuşulması da benzer bir baskı doğurabilir.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“Bir kere, odak grup görüşmelerinin en büyük artılarından biri olan grup süreci aynı zamanda yöntemin en zayıf tarafıdır. Katılımcılar arasında statü ve güç farkı varsa ve hele bu insanlar aynı iş veya yaşam ortamını paylaşıyorlarsa konu ve sorular hakkında herkes aynı ölçüde katkıda bulunamayacaktır.”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163, PDF s. 161]</w:t>
      </w:r>
    </w:p>
    <w:p>
      <w:pPr>
        <w:pStyle w:val="Dogrulama"/>
        <w:spacing w:after="20" w:line="276"/>
        <w:ind w:left="567"/>
        <w:jc w:val="both"/>
      </w:pPr>
      <w:r>
        <w:rPr>
          <w:rFonts w:ascii="Times New Roman" w:cs="Traditional Arabic" w:eastAsia="Times New Roman" w:hAnsi="Times New Roman"/>
          <w:i/>
          <w:iCs/>
          <w:sz w:val="22"/>
          <w:szCs w:val="22"/>
        </w:rPr>
        <w:t xml:space="preserve">“Duyarlı konuların odak grup görüşmeleri yoluyla ne derece etkili çalışılabileceği konusunda çelişkili görüşler vardır. Odak grup görüşmelerinde katılımcılar birbirlerini görecekleri için gizlilik ortadan kalkar. Cinsellik, politik görüş, dini eğilimler ve benzeri hassas konularda odak grup görüşmelerinin uygun bir yöntem olmayabileceği ilk akla gelen tepkidir. Araştırmacılar odak grup süreçlerinin bu tür konulara duyarlı olabileceğinin farkında olmalıdırlar.”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163, PDF s. 161]</w:t>
      </w:r>
    </w:p>
    <w:p>
      <w:pPr>
        <w:pStyle w:val="Heading2"/>
        <w:keepNext/>
        <w:spacing w:after="120" w:before="240"/>
      </w:pPr>
      <w:r>
        <w:rPr>
          <w:rFonts w:ascii="Times New Roman" w:cs="Traditional Arabic" w:eastAsia="Times New Roman" w:hAnsi="Times New Roman"/>
          <w:b/>
          <w:bCs/>
          <w:i w:val="false"/>
          <w:sz w:val="24"/>
          <w:szCs w:val="24"/>
        </w:rPr>
        <w:t xml:space="preserve">7.8. Din Eğitimi Uygulaması: İnanç ve Şüphe Üzerine Bir Görüşme Formu</w:t>
      </w:r>
    </w:p>
    <w:p>
      <w:pPr>
        <w:spacing w:after="120" w:line="360"/>
        <w:ind w:firstLine="567"/>
        <w:jc w:val="both"/>
      </w:pPr>
      <w:r>
        <w:rPr>
          <w:rFonts w:ascii="Times New Roman" w:cs="Traditional Arabic" w:eastAsia="Times New Roman" w:hAnsi="Times New Roman"/>
          <w:i w:val="false"/>
          <w:sz w:val="24"/>
          <w:szCs w:val="24"/>
        </w:rPr>
        <w:t xml:space="preserve">Aşağıdaki kurgusal görüşme formu, üniversite birinci sınıf öğrencilerinin dinî sorularını ve şüphelerini nasıl yaşadıklarını anlamak isteyen bir araştırma için hazırlanmıştır. Form, bu bölümde ele alınan ilkeleri bir arada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Yarı yapılandırılmış görüşme formu taslağı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Açılış: Araştırmacı kendini tanıtır, araştırmanın amacını açıklar, görüşmenin ses kaydına alınması için izin ister, katılımcının istediği soruyu cevaplamama ve görüşmeyi istediği anda bitirme hakkı olduğunu hatırlatır.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2. Üniversiteye başladığınız ilk aylarda gündelik hayatınızda neler değişti? (Isınma sorusu. Dinî bir terim içermez.)</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4. Lise yıllarındaki din kültürü derslerini bugün nasıl hatırlıyorsunuz? (Sonda: Aklınızda kalan bir ders ya da konuşma var mı?)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5. Üniversiteye başladıktan sonra dinle ilgili aklınıza takılan sorular oldu mu? Bunlardan birini anlatabilir misiniz? (Sonda: Bu soru aklınıza ilk ne zaman, hangi durumda geldi?)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6. Bu tür sorularınızı kimlerle konuştunuz ya da konuşmamayı tercih ettiniz? (Sonda: Konuşmamayı tercih ettiğiniz biri olduysa, bunun sebebini anlatabilir misiniz?)</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7. Bugün bu sorularla birlikte yaşamayı nasıl tarif edersiniz?</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Kapanış: Eklemek istediğiniz bir şey var mı? Bu görüşmede konuşmak istediğiniz fakat sormadığım bir konu oldu mu?</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Notlar: Form “şüphe” kelimesini katılımcı kendisi kullanmadıkça kullanmamaktadır, çünkü bu kelime bazı katılımcılar için suçlayıcı bir anlam taşıyabilir. Hassas sorular (3-5), güven ortamı oluştuktan sonra sorulmak üzere formun son bölümüne bırakılmıştır. Araştırmacı katılımcının şüphelerine cevap vermeye ya da onları düzeltmeye çalışmaz. Katılımcı açıkça yardım isterse görüşme bittikten sonra uygun bir danışmanlık imkânına yönlendirilir.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Formun son notu, din eğitimi araştırmacısının yaşayabileceği bir rol çatışmasına işaret etmektedir. Araştırmacı aynı zamanda bir ilahiyatçı ya da din eğitimcisi ise katılımcının sorusuna cevap verme isteği duyabilir. Görüşme sırasında bu isteğe uymak, görüşmeyi bir derse ya da bir irşad sohbetine dönüştürür ve katılımcının sonraki anlatımlarını etkiler. Kanaatimizce görüşmeci rolü ile öğretici rolü arasındaki bu sınır, İbn Cemâa'nın hocaya yönelik öğütleri ile nitel görüşmenin ilkeleri arasındaki farkın en somut uygulamasıdır.</w:t>
      </w:r>
    </w:p>
    <w:p>
      <w:pPr>
        <w:keepNext/>
        <w:spacing w:after="80" w:before="200"/>
      </w:pPr>
      <w:r>
        <w:rPr>
          <w:rFonts w:ascii="Times New Roman" w:cs="Traditional Arabic" w:eastAsia="Times New Roman" w:hAnsi="Times New Roman"/>
          <w:b/>
          <w:bCs/>
          <w:i w:val="false"/>
          <w:sz w:val="22"/>
          <w:szCs w:val="22"/>
        </w:rPr>
        <w:t xml:space="preserve">Tablo 7.1. Yedinci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980"/>
        <w:gridCol w:w="1103"/>
        <w:gridCol w:w="1715"/>
        <w:gridCol w:w="1470"/>
        <w:gridCol w:w="2083"/>
        <w:gridCol w:w="1715"/>
      </w:tblGrid>
      <w:tr>
        <w:trPr>
          <w:cantSplit/>
          <w:tblHeader/>
        </w:trPr>
        <w:tc>
          <w:tcPr>
            <w:tcW w:type="dxa" w:w="98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110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71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47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208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71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Görüşmede dinleme</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Semâʿ</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Maʿrifetü envâʿi ʿulûmi'l-hadîs, 132 (Şamile 22870)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Sözü bizzat sahibinden işitme</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Semâʿda otorite şeyhin senedindedir, görüşmede tecrübe sahibindedir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Görüşmelerin yüz yüze ve dikkatle yürütülmesi</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 teyidi</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Arz</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137 (Şamile 22870)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Okunanı kaynağa arz etme</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Arzda okunan metin şeyhe sunulur, teyitte ise araştırmacının yorumu katılımcıya sunulur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dökümlerinin ve özetlerinin katılımcılara sunulması</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Yönlendirici soru ve görüşmeci etkisi</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Telkin</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119 (Şamile 22870)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Telkinle elde edilen sözün konuşanın kendi sözü olmaması</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telkini kabul eden râviyi, burada telkin eden araştırmacı eleştirilmektedir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Soruların yansız dille hazırlanması ve pilot uygulama</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Döküm titizliği</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Zabt ve kitâbet</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183 (Şamile 22870)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Kaydın karışıklığa yer bırakmayacak biçimde yapılması</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Zabt râvinin niteliğidir, burada araştırmacıya uygulanmaktadır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Ses kayıtlarının dikkatli ve denetlenebilir biçimde yazıya geçirilmesi</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Görüşmecinin tutumu</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İnsaf, sabır ve güler yüz</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Cemâa, Tezkiretü's-sâmiʿ, 42-43 (Şamile 151180)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Sözü küçümsemeden dinleme ve güven ortamı kurma</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Hoca talebenin maksadını onun yerine söyleyebilir, görüşmeci söylememelidir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Öğrenci ve velilerle güvene dayalı görüşme</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Anlatımın bağlamı</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Dışa vurulan ile niyet arasındaki mesafe</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İbnü'l-Hâc, el-Medhal, 2/310 (Şamile 11406)</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Kişinin kendini sunuşunun sosyal şartlardan etkilenmesi</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İbnü'l-Hâc bir tavsiye vermektedir, araştırmacı bir anlatımı yorumlamaktadır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Öğretici ve din görevlisi anlatımlarının bağlamıyla okunması</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Odak grup</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Müfâvaza</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Târîh, 1/729 (Şamile 12320)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Fikirlerin karşılıklı konuşmada netleşmesi</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Müfâvaza fikirleri düzeltmeye, odak grup farklılıkları görünür kılmaya yöneliktir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Öğretmen ve veli gruplarıyla müzakereye dayalı veri toplama</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SEKİZİNCİ BÖLÜM</w:t>
      </w:r>
    </w:p>
    <w:p>
      <w:pPr>
        <w:pStyle w:val="Heading1"/>
        <w:spacing w:after="360"/>
        <w:jc w:val="center"/>
      </w:pPr>
      <w:r>
        <w:rPr>
          <w:rFonts w:ascii="Times New Roman" w:cs="Traditional Arabic" w:eastAsia="Times New Roman" w:hAnsi="Times New Roman"/>
          <w:b/>
          <w:bCs/>
          <w:i w:val="false"/>
          <w:color w:val="1F3864"/>
          <w:sz w:val="28"/>
          <w:szCs w:val="28"/>
        </w:rPr>
        <w:t xml:space="preserve">8. Gözlem</w:t>
      </w:r>
    </w:p>
    <w:p>
      <w:pPr>
        <w:spacing w:after="120" w:line="360"/>
        <w:ind w:firstLine="567"/>
        <w:jc w:val="both"/>
      </w:pPr>
      <w:r>
        <w:rPr>
          <w:rFonts w:ascii="Times New Roman" w:cs="Traditional Arabic" w:eastAsia="Times New Roman" w:hAnsi="Times New Roman"/>
          <w:i w:val="false"/>
          <w:sz w:val="24"/>
          <w:szCs w:val="24"/>
        </w:rPr>
        <w:t xml:space="preserve">Görüşme insanların söylediklerine, gözlem ise yaptıklarına ve yaşadıkları ortama ulaşmanın yoludur. Mâtürîdî'nin eşyanın hakikatlerinin bilgisine ulaştıran yollar olarak saydığı ʿiyân, ahbâr ve nazar</w:t>
      </w:r>
      <w:r>
        <w:rPr>
          <w:rStyle w:val="FootnoteReference"/>
        </w:rPr>
        <w:footnoteReference w:id="23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açısından bakıldığında, görüşme ahbâr alanına, gözlem ise ʿiyân alanına yakın düşmektedir. Bu bölümde gözlemin bilgi değeri ve sınırları, sahaya gitmenin anlamı, uzun süreli gözlemin gerekliliği, gözlemcinin ortam üzerindeki etkisi ve gözlem notlarında betimleme ile yorumun ayrılması ele alınmaktadır. Klasik gelenekten Bîrûnî'nin ʿiyân ile haber arasındaki karşılaştırması, ilim yolculuğu geleneği, Gazzâlî'nin gölge örneği, İbn Haldûn'un yapmacıklık uyarısı ve İbn Battûta'nın bir ders ortamı tasviri bu konularla birlikte okunmaktadır.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8.1. ʿİyânın Gücü ve Sınırı</w:t>
      </w:r>
    </w:p>
    <w:p>
      <w:pPr>
        <w:spacing w:after="120" w:line="360"/>
        <w:ind w:firstLine="567"/>
        <w:jc w:val="both"/>
      </w:pPr>
      <w:r>
        <w:rPr>
          <w:rFonts w:ascii="Times New Roman" w:cs="Traditional Arabic" w:eastAsia="Times New Roman" w:hAnsi="Times New Roman"/>
          <w:i w:val="false"/>
          <w:sz w:val="24"/>
          <w:szCs w:val="24"/>
        </w:rPr>
        <w:t xml:space="preserve">Yıldırım ve Şimşek gözlemi nitel araştırmalarda en yaygın olarak kullanılan yöntemlerden biri olarak tanıtmakta ve onun en önemli özelliğinin araştırmacıya veriye ilk elden ulaşma imkânı sağlaması olduğunu belirtmektedir.</w:t>
      </w:r>
      <w:r>
        <w:rPr>
          <w:rStyle w:val="FootnoteReference"/>
        </w:rPr>
        <w:footnoteReference w:id="23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insan davranışlarının doğal ortamı içinde gözlenmesi, bu davranışların gerçekçi bir biçimde incelenmesinin ön şartıdır ve doğal ortamından farklı bir ortamda incelenen davranışlar gerçeği tam olarak yansıtmayabilir.</w:t>
      </w:r>
      <w:r>
        <w:rPr>
          <w:rStyle w:val="FootnoteReference"/>
        </w:rPr>
        <w:footnoteReference w:id="23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“Gözlem nitel araştırmalarda en yayğın olarak kullanılan bir diğer veri toplama yöntemidir. En önemli özelliği de araştırmacıya, veriye ilk elden ulaşma olanağı sağlamasıdır.”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[169], PDF s. 167] Not: 169 numaralı sayfada basılı sayfa numarası görünmemektedir (bölüm açılış sayfası). Köşeli ayraç içindeki numara, önceki ve sonraki sayfaların basılı numaralarından çıkarılmıştır. Not: Baskıda “yayğın” biçiminde görünmektedir ve alıntıda baskıdaki gibi bırakılmıştır. Harfin üstündeki işaretin tarama lekesi olma ihtimali bulunduğundan basılı nüshadan kontrol edilmesi önerilir.</w:t>
      </w:r>
    </w:p>
    <w:p>
      <w:pPr>
        <w:pStyle w:val="Dogrulama"/>
        <w:spacing w:after="20" w:line="276"/>
        <w:ind w:left="567"/>
        <w:jc w:val="both"/>
      </w:pPr>
      <w:r>
        <w:rPr>
          <w:rFonts w:ascii="Times New Roman" w:cs="Traditional Arabic" w:eastAsia="Times New Roman" w:hAnsi="Times New Roman"/>
          <w:i/>
          <w:iCs/>
          <w:sz w:val="22"/>
          <w:szCs w:val="22"/>
        </w:rPr>
        <w:t xml:space="preserve">“İnsan davranışlarının doğal ortamı içinde gözlenmesi, bu davranışların gerçekçi bir biçimde incelenmesinin önkoşuludur. Doğal ortamından farklı bir ortamda incelenen insan davranışları tam olarak gerçeği yansıtmayabilir.”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170, PDF s. 168]</w:t>
      </w:r>
    </w:p>
    <w:p>
      <w:pPr>
        <w:spacing w:after="120" w:line="360"/>
        <w:ind w:firstLine="567"/>
        <w:jc w:val="both"/>
      </w:pPr>
      <w:r>
        <w:rPr>
          <w:rFonts w:ascii="Times New Roman" w:cs="Traditional Arabic" w:eastAsia="Times New Roman" w:hAnsi="Times New Roman"/>
          <w:i w:val="false"/>
          <w:sz w:val="24"/>
          <w:szCs w:val="24"/>
        </w:rPr>
        <w:t xml:space="preserve">“Haber görmek gibi değildir” sözü, ʿiyânı haberin üstünde tutan bir kabulü dile getirmektedir. Bîrûnî bu sözü ilginç bir biçimde ele almaktadır. Ona göre bu söz ancak şu sebeple doğrudur: ʿİyân, bakanın gözünün bakılan şeyin kendisini varlık zamanı içinde ve bulunduğu mekânda idrak etmesidir. Ancak Bîrûnî hemen ardından, haberi takip eden afetler olmasaydı haberin ʿiyân ve nazar karşısındaki üstünlüğünün açıkça görüleceğini söylemektedir, çünkü ʿiyân ve nazar zamanın anlarını aşamayan bir varlıkla sınırlıdır.</w:t>
      </w:r>
      <w:r>
        <w:rPr>
          <w:rStyle w:val="FootnoteReference"/>
        </w:rPr>
        <w:footnoteReference w:id="23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“إنّما صدق قول القائل «ليس الخبر كالعيان» لأنّ العيان هو إدراك عين الناظر عين المنظور إليه في زمان وجوده وفي مكان حصوله، ولولا لواحق آفات بالخبر لكانت فضيلته تبين على العيان والنظر لقصورهما على الوجود الذي لا يتعدّى آنات الزّمان”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11655, page_id 10, basılı s. 13]</w:t>
      </w:r>
    </w:p>
    <w:p>
      <w:pPr>
        <w:spacing w:after="120" w:line="360"/>
        <w:ind w:firstLine="567"/>
        <w:jc w:val="both"/>
      </w:pPr>
      <w:r>
        <w:rPr>
          <w:rFonts w:ascii="Times New Roman" w:cs="Traditional Arabic" w:eastAsia="Times New Roman" w:hAnsi="Times New Roman"/>
          <w:i w:val="false"/>
          <w:sz w:val="24"/>
          <w:szCs w:val="24"/>
        </w:rPr>
        <w:t xml:space="preserve">Bu satırlar gözlemin hem gücünü hem de sınırını aynı anda göstermektedir. Gözlem, bir olayı gerçekleştiği anda ve yerde idrak etmektir ve bu yönüyle en doğrudan bilgidir. Fakat gözlem yalnızca gözlemcinin orada bulunduğu anla sınırlıdır. Bir öğrencinin sınıfta sessiz kalışını gözleyen araştırmacı, o sessizliğin dün evde yaşanan bir olayla ilgili olup olmadığını gözlemle bilemez. Geçmişe ve görünmeyene ancak anlatım yoluyla ulaşılabilir. Yıldırım ve Şimşek de bu tamamlayıcılığa dikkat çekmekte, görüşme ile elde edilen verilerdeki bazı abartmaların gözlemle fark edilebileceğini, gözlemle elde edilen verilere bakış açısı ve derinlik kazandırmak için de görüşmelerin yapılabileceğini belirtmektedir.</w:t>
      </w:r>
      <w:r>
        <w:rPr>
          <w:rStyle w:val="FootnoteReference"/>
        </w:rPr>
        <w:footnoteReference w:id="235"/>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“Görüşme ile elde edilen verilerde olabilecek bazı abartmalar gözlem ile saptanabilir. Öbür taraftan, gözlemle elde edilen verilere bakış açısı ve derinlik kazandırmak amacıyla görüşmeler yapılabilir.”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182, PDF s. 180]</w:t>
      </w:r>
    </w:p>
    <w:p>
      <w:pPr>
        <w:spacing w:after="120" w:line="360"/>
        <w:ind w:firstLine="567"/>
        <w:jc w:val="both"/>
      </w:pPr>
      <w:r>
        <w:rPr>
          <w:rFonts w:ascii="Times New Roman" w:cs="Traditional Arabic" w:eastAsia="Times New Roman" w:hAnsi="Times New Roman"/>
          <w:i w:val="false"/>
          <w:sz w:val="24"/>
          <w:szCs w:val="24"/>
        </w:rPr>
        <w:t xml:space="preserve">Bîrûnî ile nitel araştırmacının bu noktadaki farkı da kaydedilmelidir. Bîrûnî ʿiyân ile haberi bilgi kaynakları olarak karşılaştırmakta ve habere eklenen afetlerden söz etmektedir.</w:t>
      </w:r>
      <w:r>
        <w:rPr>
          <w:rStyle w:val="FootnoteReference"/>
        </w:rPr>
        <w:footnoteReference w:id="23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nitel araştırmacının görüşmeyi gözlemle birlikte kullanmaktaki asıl amacı, katılımcının yalan söyleyip söylemediğini yakalamak değildir. Yıldırım ve Şimşek'in belirttiği gibi gözlem, görüşme verilerindeki bazı abartmaları saptamaya yardım edebilir.</w:t>
      </w:r>
      <w:r>
        <w:rPr>
          <w:rStyle w:val="FootnoteReference"/>
        </w:rPr>
        <w:footnoteReference w:id="23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Bununla birlikte söz ile davranış arasındaki fark, nitel araştırmada kendisi incelenmeye değer bir veri de olabilmektedir.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234.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235.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8.2. Sahaya Gitmek: İlim Yolculuğu</w:t>
      </w:r>
    </w:p>
    <w:p>
      <w:pPr>
        <w:spacing w:after="120" w:line="360"/>
        <w:ind w:firstLine="567"/>
        <w:jc w:val="both"/>
      </w:pPr>
      <w:r>
        <w:rPr>
          <w:rFonts w:ascii="Times New Roman" w:cs="Traditional Arabic" w:eastAsia="Times New Roman" w:hAnsi="Times New Roman"/>
          <w:i w:val="false"/>
          <w:sz w:val="24"/>
          <w:szCs w:val="24"/>
        </w:rPr>
        <w:t xml:space="preserve">Gözlem, araştırmacının sahaya gitmesini gerektirmektedir. Klasik ilim geleneğinde bilginin kaynağına bizzat gitmenin en bilinen biçimi rıhle, yani ilim yolculuğudur. Hatîb el-Bağdâdî'nin </w:t>
      </w:r>
      <w:r>
        <w:rPr>
          <w:rFonts w:ascii="Times New Roman" w:cs="Traditional Arabic" w:eastAsia="Times New Roman" w:hAnsi="Times New Roman"/>
          <w:i/>
          <w:iCs/>
          <w:sz w:val="24"/>
          <w:szCs w:val="24"/>
        </w:rPr>
        <w:t xml:space="preserve">er-Rıhle fî talebi'l-hadîs</w:t>
      </w:r>
      <w:r>
        <w:rPr>
          <w:rFonts w:ascii="Times New Roman" w:cs="Traditional Arabic" w:eastAsia="Times New Roman" w:hAnsi="Times New Roman"/>
          <w:i w:val="false"/>
          <w:sz w:val="24"/>
          <w:szCs w:val="24"/>
        </w:rPr>
        <w:t xml:space="preserve">'te senediyle naklettiği bir rivayete göre Câbir b. Abdullah, Hz. Peygamber'in ashabından birinin Hz. Peygamber'den işittiği ve kendisinin işitmediği bir hadisin kendisine ulaştığını, bunun üzerine bir deve satın alıp yükünü bağladığını ve bir ay yol giderek Şam'a vardığını anlatmaktadır.</w:t>
      </w:r>
      <w:r>
        <w:rPr>
          <w:rStyle w:val="FootnoteReference"/>
        </w:rPr>
        <w:footnoteReference w:id="23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Aynı rivayette Câbir, hadisin sahibine bu hadisi işitmeden önce kendisinin ya da onun ölmesinden korktuğunu söylemektedir.</w:t>
      </w:r>
      <w:r>
        <w:rPr>
          <w:rStyle w:val="FootnoteReference"/>
        </w:rPr>
        <w:footnoteReference w:id="23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Eserin muhakkiki dipnotta (s. 35, dn. 3) bu rivayetin isnadının zayıf olduğunu, bazı kısımlarının ise şâhidleri bulunduğunu belirtmektedir [DOĞRULANAMADI: muhakkikin Arapça ifadesi bu taslakta alıntılanmamıştır]. Bu sebeple rivayet burada tarihî bir bilgi olarak değil, rıhle geleneğinin kendini nasıl anlattığını gösteren bir metin olarak kullanılmaktadır.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“بَلَغَنِي عَنْ رَجُلٍ مِنْ أَصْحَابِ رَسُولِ اللهِ ﷺ حَدِيثٌ سَمِعَهُ مِنْ رَسُولِ اللهِ ﷺ لَمْ أَسْمَعْهُ مِنْهُ قَالَ: فَابْتَعْتُ بَعِيرًا فَشَدَدْتُ عَلَيْهِ رَحْلِي فَسِرْتُ إِلَيْهِ شَهْرًا حَتَّى أتَيْتُ الشَّامَ،”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1454, page_id 31-32, basılı s. 34-35] Not: Alıntı iki sayfaya yayılmaktadır: “رَحْلِي” kelimesiyle başlayan kısım s. 35'tedir. Rivayetin râvisi, alıntının hemen öncesindeki isnadda Câbir b. Abdullah olarak belirtilmektedir. İsnad alıntıya dahil edilmemiştir. Muhakkik dipnotta isnadın zayıf olduğunu, bazı kısımlarının şâhidleri bulunduğunu belirtmektedir (s. 35, dipnot 3). Muhakkikin ifadesi bu taslakta alıntılanmamıştır.</w:t>
      </w:r>
    </w:p>
    <w:p>
      <w:pPr>
        <w:pStyle w:val="DogrulamaAR"/>
        <w:bidi/>
        <w:spacing w:after="20" w:line="300"/>
        <w:ind w:end="567"/>
        <w:jc w:val="both"/>
      </w:pPr>
      <w:r>
        <w:rPr>
          <w:rFonts w:ascii="Times New Roman" w:cs="Traditional Arabic" w:eastAsia="Times New Roman" w:hAnsi="Times New Roman"/>
          <w:i/>
          <w:iCs/>
          <w:sz w:val="24"/>
          <w:szCs w:val="30"/>
          <w:rtl/>
        </w:rPr>
        <w:t xml:space="preserve">“قُلْتُ: حَدِيثٌ بَلَغَنِي أَنَّكَ سَمِعْتَهُ مِنْ رَسُولِ اللهِ ﷺ فِي الْمَظَالِمِ لَمْ أَسْمَعْهُ فَخَشِيتُ أَنْ أَمُوتُ أَوْ تَمُوتَ قَبْلَ أَنْ أَسْمَعَهُ،”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1454, page_id 32, basılı s. 35]</w:t>
      </w:r>
    </w:p>
    <w:p>
      <w:pPr>
        <w:spacing w:after="120" w:line="360"/>
        <w:ind w:firstLine="567"/>
        <w:jc w:val="both"/>
      </w:pPr>
      <w:r>
        <w:rPr>
          <w:rFonts w:ascii="Times New Roman" w:cs="Traditional Arabic" w:eastAsia="Times New Roman" w:hAnsi="Times New Roman"/>
          <w:i w:val="false"/>
          <w:sz w:val="24"/>
          <w:szCs w:val="24"/>
        </w:rPr>
        <w:t xml:space="preserve">Rivayetteki iki unsur nitel araştırmacı için anlamlıdır. Birincisi, dolaylı yoldan ulaşan bir bilgiyle yetinmeyip onu sahibinden bizzat işitme isteğidir. Nitel araştırmacı da bir okul, bir cemaat ya da bir kurs hakkında kulaktan duyduklarıyla yetinmeyip oraya gitmektedir. İkincisi, bilgi kaynağının kaybolabileceği endişesidir. Bu endişe özellikle geçmişe dair tanıklıklar için geçerlidir. Mahalle mekteplerinde okumuş yaşlı kuşakların din eğitimi hatıraları, onları anlatabilecek kişiler hayatta oldukça kaydedilebilmektedir.</w:t>
      </w:r>
    </w:p>
    <w:p>
      <w:pPr>
        <w:spacing w:after="120" w:line="360"/>
        <w:ind w:firstLine="567"/>
        <w:jc w:val="both"/>
      </w:pPr>
      <w:r>
        <w:rPr>
          <w:rFonts w:ascii="Times New Roman" w:cs="Traditional Arabic" w:eastAsia="Times New Roman" w:hAnsi="Times New Roman"/>
          <w:i w:val="false"/>
          <w:sz w:val="24"/>
          <w:szCs w:val="24"/>
        </w:rPr>
        <w:t xml:space="preserve">Benzerliğin sınırı ise Câbir'in aradığı şeyin bir metin, yani Hz. Peygamber'in sözü olmasıdır. Câbir bu hadisi, kendisi ya da hadisin sahibi ölmeden önce bizzat işitmek için yolculuk yapmaktadır.</w:t>
      </w:r>
      <w:r>
        <w:rPr>
          <w:rStyle w:val="FootnoteReference"/>
        </w:rPr>
        <w:footnoteReference w:id="24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araştırmacı ise bir ortamı ve oradaki insanların hayatını anlamak için sahaya gitmektedir. Rıhlenin konusu nakledilen sözdür, sahanın konusu ise yaşanan hayattır.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239.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8.3. Uzun Süreli Gözlem: Gölgenin Hareketi</w:t>
      </w:r>
    </w:p>
    <w:p>
      <w:pPr>
        <w:spacing w:after="120" w:line="360"/>
        <w:ind w:firstLine="567"/>
        <w:jc w:val="both"/>
      </w:pPr>
      <w:r>
        <w:rPr>
          <w:rFonts w:ascii="Times New Roman" w:cs="Traditional Arabic" w:eastAsia="Times New Roman" w:hAnsi="Times New Roman"/>
          <w:i w:val="false"/>
          <w:sz w:val="24"/>
          <w:szCs w:val="24"/>
        </w:rPr>
        <w:t xml:space="preserve">Gözlemin en sık rastlanan tuzaklarından biri, kısa bir gözlemden kalıcı sonuçlar çıkarmaktır. Gazzâlî </w:t>
      </w:r>
      <w:r>
        <w:rPr>
          <w:rFonts w:ascii="Times New Roman" w:cs="Traditional Arabic" w:eastAsia="Times New Roman" w:hAnsi="Times New Roman"/>
          <w:i/>
          <w:iCs/>
          <w:sz w:val="24"/>
          <w:szCs w:val="24"/>
        </w:rPr>
        <w:t xml:space="preserve">el-Munkız</w:t>
      </w:r>
      <w:r>
        <w:rPr>
          <w:rFonts w:ascii="Times New Roman" w:cs="Traditional Arabic" w:eastAsia="Times New Roman" w:hAnsi="Times New Roman"/>
          <w:i w:val="false"/>
          <w:sz w:val="24"/>
          <w:szCs w:val="24"/>
        </w:rPr>
        <w:t xml:space="preserve">'da duyulara güvenin sınırlarını tartışırken duyuların yanılabileceğini bir örnekle anlatmaktadır. Kanaatimizce bu örnek söz konusu tuzağı da açıkça göstermektedir. Duyuların en güçlüsü olan görme duyusu gölgeye bakmakta, onu hareketsiz durur görmekte ve hareketin yokluğuna hükmetmektedir. Sonra tecrübe ve müşahedeyle, bir saat sonra, gölgenin hareket ettiği, hem de birden bire değil zerre zerre tedricen hareket ettiği ve hiçbir an durmadığı anlaşılmaktadır.</w:t>
      </w:r>
      <w:r>
        <w:rPr>
          <w:rStyle w:val="FootnoteReference"/>
        </w:rPr>
        <w:footnoteReference w:id="24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“من أين الثقة بالحواس؟ وأقواها حاسة البصر وهي تنظر إلى الظل فتراه واقفاً غير متحرك، وتحكم بنفي الحركة، ثم بالتجربة والمشاهدة - بعد ساعة - تعرف أنه متحرك، وأنه لم يتحرك دفعة واحدة بغتة، بل بالتدريج ذرة، ذرة، حتى لم يكن له حالة وقوف.”</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7, basılı s. 112]</w:t>
      </w:r>
    </w:p>
    <w:p>
      <w:pPr>
        <w:spacing w:after="120" w:line="360"/>
        <w:ind w:firstLine="567"/>
        <w:jc w:val="both"/>
      </w:pPr>
      <w:r>
        <w:rPr>
          <w:rFonts w:ascii="Times New Roman" w:cs="Traditional Arabic" w:eastAsia="Times New Roman" w:hAnsi="Times New Roman"/>
          <w:i w:val="false"/>
          <w:sz w:val="24"/>
          <w:szCs w:val="24"/>
        </w:rPr>
        <w:t xml:space="preserve">Gazzâlî bu örneği duyuların yanılabileceğini göstermek için vermektedir ve onun amacı bilgi kuramına dair bir şüpheyi ifade etmektir. Kanaatimizce örnek, nitel araştırmada uzun süreli gözlemin neden gerekli olduğunu da açıklamaktadır. Eğitim ortamlarındaki pek çok değişim gölgenin hareketi gibi tedricidir. Bir Kur'an kursundaki çocukların hocalarıyla kurduğu ilişki, bir sınıfın din kültürü dersine karşı tutumu ya da bir caminin gençlik programına katılım, tek bir gözlemde durağan görünebilir. Ancak aynı ortam haftalar boyunca izlendiğinde, bu durgunluğun aslında yavaş bir değişim olduğu anlaşılabilir. Yıldırım ve Şimşek'in kültür analizi için yaptığı alanda uzun süre kalma vurgusu da bu açıdan değerlendirilmelidir.</w:t>
      </w:r>
      <w:r>
        <w:rPr>
          <w:rStyle w:val="FootnoteReference"/>
        </w:rPr>
        <w:footnoteReference w:id="24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Bununla birlikte Gazzâlî'nin örneğindeki düzeltme, ilk algının yanlış olduğunu göstermektedir. Nitel araştırmada ise ilk gözlem yanlış olmaktan çok eksik olabilir ve uzun süreli gözlem onu tamamlayabilir.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141.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Gadamer’in tecrübe çözümlemesi bu noktada nitel araştırmacıya farklı bir bakış kazandırmaktadır. Ona göre hakiki anlamıyla tecrübe daima olumsuzdur. Bir nesnenin yeni tecrübesine maruz kaldığımızda bu, o şeyi şimdiye kadar doğru görmediğimiz ve şimdi daha iyi tanıdığımız anlamına gelmektedir ve tecrübenin olumsuzluğunun bu sebeple üretici bir anlamı vardır.</w:t>
      </w:r>
      <w:r>
        <w:rPr>
          <w:rStyle w:val="FootnoteReference"/>
        </w:rPr>
        <w:footnoteReference w:id="24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Sahada araştırmacının beklentisinin boşa çıktığı an, bir başarısızlık değil, öğrenmenin başladığı andır. Kanaatimizce gözlem notlarında bu anların ayrıca işaretlenmesi, araştırmacının kendi ön kabullerinin nerede düzeltildiğini görmesini sağlar.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“Bu ikinci tecrübe - hakiki anlamıyla”tecrübe” - daima negatiftir. Eğer bir nesnenin yeni tecrübesine maruz kalırsak, bu, o şeyi şimdiye kadar doğru olarak görmediğimiz ve şimdi daha iyi tanıdığımız anlamına gelir. Bu yüzden tecrübenin negatifliğinin dikkat çekici bir prodüktif anlamı vardır.”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128, PDF s. 136]</w:t>
      </w:r>
    </w:p>
    <w:p>
      <w:pPr>
        <w:pStyle w:val="Heading2"/>
        <w:keepNext/>
        <w:spacing w:after="120" w:before="240"/>
      </w:pPr>
      <w:r>
        <w:rPr>
          <w:rFonts w:ascii="Times New Roman" w:cs="Traditional Arabic" w:eastAsia="Times New Roman" w:hAnsi="Times New Roman"/>
          <w:b/>
          <w:bCs/>
          <w:i w:val="false"/>
          <w:sz w:val="24"/>
          <w:szCs w:val="24"/>
        </w:rPr>
        <w:t xml:space="preserve">8.4. Gözlemcinin Etkisi ve Yapmacık Davranış</w:t>
      </w:r>
    </w:p>
    <w:p>
      <w:pPr>
        <w:spacing w:after="120" w:line="360"/>
        <w:ind w:firstLine="567"/>
        <w:jc w:val="both"/>
      </w:pPr>
      <w:r>
        <w:rPr>
          <w:rFonts w:ascii="Times New Roman" w:cs="Traditional Arabic" w:eastAsia="Times New Roman" w:hAnsi="Times New Roman"/>
          <w:i w:val="false"/>
          <w:sz w:val="24"/>
          <w:szCs w:val="24"/>
        </w:rPr>
        <w:t xml:space="preserve">Gözlemci gözlediği ortamın dışında değildir. Yıldırım ve Şimşek, hiçbir şey yapmadan bir sınıfta gözlem yapmanın bile öğrencileri en azından başlangıçta farklı bir tutuma sokabileceğini, gözlem yapılan ortamdaki kişilerle yapılan görüşmelerin ise bu tür bir etkinin doğal ortamı değiştirip değiştirmediğine dair ipuçları verebileceğini belirtmektedir.</w:t>
      </w:r>
      <w:r>
        <w:rPr>
          <w:rStyle w:val="FootnoteReference"/>
        </w:rPr>
        <w:footnoteReference w:id="24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katılımcı gözlem yapan araştırmacının kendi varlığının doğal ortamı ve dolayısıyla kültürü nasıl etkilediği konusunda farkındalık geliştirmesi ve bu etkileri en aza indirmeye çalışması gerektiğini de vurgulamaktadır.</w:t>
      </w:r>
      <w:r>
        <w:rPr>
          <w:rStyle w:val="FootnoteReference"/>
        </w:rPr>
        <w:footnoteReference w:id="24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gözlem bireysel bir deneyim hâline gelmekte ve gözlenen olguların anlamlılığı ve geçerliği araştırmacının becerisi ve deneyimiyle yakından ilişkili olabilmektedir. Yazarlar bunun nitel araştırmanın önemli bir özelliğini öne çıkardığını belirtmektedir: Bir araştırmanın yüzde yüz nesnel olması mümkün değildir ve araştırmacının belirli özelliklerinin araştırma sonuçlarını etkilemesi doğaldır.</w:t>
      </w:r>
      <w:r>
        <w:rPr>
          <w:rStyle w:val="FootnoteReference"/>
        </w:rPr>
        <w:footnoteReference w:id="24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“Gözlem sürecinde de böyle bir etki söz konusudur. Hiçbir şey yapmadan bir sınıfta gözlem yapmak bile, öğrencileri en azından başlangıç noktasında değişik bir tutum içine sokabilir. Gözlem yapılan ortamdaki bireylerle yapılan görüşmeler, bu tür olası bir etkinin doğal ortamı değiştirip değiştirmediğine ilişkin ipuçları ortaya koyabilir.”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98, PDF s. 96]</w:t>
      </w:r>
    </w:p>
    <w:p>
      <w:pPr>
        <w:pStyle w:val="Dogrulama"/>
        <w:spacing w:after="20" w:line="276"/>
        <w:ind w:left="567"/>
        <w:jc w:val="both"/>
      </w:pPr>
      <w:r>
        <w:rPr>
          <w:rFonts w:ascii="Times New Roman" w:cs="Traditional Arabic" w:eastAsia="Times New Roman" w:hAnsi="Times New Roman"/>
          <w:i/>
          <w:iCs/>
          <w:sz w:val="22"/>
          <w:szCs w:val="22"/>
        </w:rPr>
        <w:t xml:space="preserve">“Ancak katılımcı gözlem yapan araştırmacının kendi varlığının doğal ortamı ve dolayısıyla kültürü nasıl etkilediği konusunda farkındalık geliştirmeli ve bu etkileri en aza indirmek için çaba göstermelidir.”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71, PDF s. 69]</w:t>
      </w:r>
    </w:p>
    <w:p>
      <w:pPr>
        <w:pStyle w:val="Dogrulama"/>
        <w:spacing w:after="20" w:line="276"/>
        <w:ind w:left="567"/>
        <w:jc w:val="both"/>
      </w:pPr>
      <w:r>
        <w:rPr>
          <w:rFonts w:ascii="Times New Roman" w:cs="Traditional Arabic" w:eastAsia="Times New Roman" w:hAnsi="Times New Roman"/>
          <w:i/>
          <w:iCs/>
          <w:sz w:val="22"/>
          <w:szCs w:val="22"/>
        </w:rPr>
        <w:t xml:space="preserve">“Bu yönüyle gözlem bireysel bir deneyim haline gelmekte ve gözlenen olguların anlamlılığı ve geçerliği araştırmacının becerisi ve deneyimi ile yakından ilişkili olabilmektedir. Bu da nitel araştırmanın önemli bir özelliğini ön plâna çıkarmaktadır: Bir araştırmanın yüzde yüz nesnel olması mümkün değildir. Araştırmacının, belirli özelliklerinin araştırma sonuçlarını etkilemesi doğaldır.”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170, PDF s. 168]</w:t>
      </w:r>
    </w:p>
    <w:p>
      <w:pPr>
        <w:spacing w:after="120" w:line="360"/>
        <w:ind w:firstLine="567"/>
        <w:jc w:val="both"/>
      </w:pPr>
      <w:r>
        <w:rPr>
          <w:rFonts w:ascii="Times New Roman" w:cs="Traditional Arabic" w:eastAsia="Times New Roman" w:hAnsi="Times New Roman"/>
          <w:i w:val="false"/>
          <w:sz w:val="24"/>
          <w:szCs w:val="24"/>
        </w:rPr>
        <w:t xml:space="preserve">İbn Haldûn, haberlere yalan karışmasını gerektiren sebepleri sayarken bu meseleyle yakından ilgili bir sebebe dikkat çekmektedir. Ona göre bu sebeplerden biri, içine giren aldatma ve yapmacıklık sebebiyle hallerin olaylara uygulanmasını bilmemektir. Haber veren, durumları gördüğü gibi nakletmekte, oysa onlar yapmacıklık sebebiyle kendi içlerinde gerçeğe uygun değildir.</w:t>
      </w:r>
      <w:r>
        <w:rPr>
          <w:rStyle w:val="FootnoteReference"/>
        </w:rPr>
        <w:footnoteReference w:id="24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“ومنها الجهل بتطبيق الأحوال على الوقائع لأجل ما يداخلها من التّلبيس والتّصنّع فينقلها المخبر كما رآها وهي بالتّصنّع على غير الحقّ في نفسه.”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44, basılı cilt/sayfa 1/46] Not: Alıntı, İbn Haldûn'un haberlere yalan karışmasını gerektiren sebepleri saydığı listedendir. Listenin giriş cümlesi alıntıya dahil edilmemiştir.</w:t>
      </w:r>
    </w:p>
    <w:p>
      <w:pPr>
        <w:spacing w:after="120" w:line="360"/>
        <w:ind w:firstLine="567"/>
        <w:jc w:val="both"/>
      </w:pPr>
      <w:r>
        <w:rPr>
          <w:rFonts w:ascii="Times New Roman" w:cs="Traditional Arabic" w:eastAsia="Times New Roman" w:hAnsi="Times New Roman"/>
          <w:i w:val="false"/>
          <w:sz w:val="24"/>
          <w:szCs w:val="24"/>
        </w:rPr>
        <w:t xml:space="preserve">İbn Haldûn'un uyarısı gözlemci için önemli bir hatırlatmadır. Gözlemci gördüğünü dürüstçe kaydedebilir, fakat gördüğü şey kendisi için sahnelenmiş olabilir. Müfettişin ziyaret ettiği gün işlenen ders, araştırmacının bulunduğu gün yapılan kurs etkinliği ya da kameranın kaydettiği bir sohbet, olağan günden farklı olabilir. Ancak burada da girişteki daraltma gözetilmelidir. Bu durum katılımcıların aldatıcı olduğu anlamına gelmemektedir. İnsanlar gözlendiklerini bildiklerinde kendilerini en iyi biçimde sunmak isteyebilir ve bu son derece insanî bir tepkidir. Sorumluluk, gördüğünü olağan hayatın kendisi sanan gözlemciye düşmektedir. Kanaatimizce İbn Haldûn'un “hallerin olaylara uygulanmasını bilmemek” ifadesi, gözlemcinin gözlediği sahnenin hangi şartlarda oluştuğunu sorgulama yükümlülüğünü anlatmaktadır. Tekrarlanan gözlemler, gözlenenlerle yapılan görüşmeler ve farklı günlerde yapılan ziyaretler, bu yükümlülüğü yerine getirmenin yollarıdır.</w:t>
      </w:r>
    </w:p>
    <w:p>
      <w:pPr>
        <w:spacing w:after="120" w:line="360"/>
        <w:ind w:firstLine="567"/>
        <w:jc w:val="both"/>
      </w:pPr>
      <w:r>
        <w:rPr>
          <w:rFonts w:ascii="Times New Roman" w:cs="Traditional Arabic" w:eastAsia="Times New Roman" w:hAnsi="Times New Roman"/>
          <w:i w:val="false"/>
          <w:sz w:val="24"/>
          <w:szCs w:val="24"/>
        </w:rPr>
        <w:t xml:space="preserve">İki metin arasındaki fark da gözden kaçırılmamalıdır. İbn Haldûn haber verenin naklettiği haberin gerçeğe uygunluğunu tartışmaktadır.</w:t>
      </w:r>
      <w:r>
        <w:rPr>
          <w:rStyle w:val="FootnoteReference"/>
        </w:rPr>
        <w:footnoteReference w:id="24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gözlemci ise gözlediği davranışın gerçeğe uygunluğundan çok, o davranışın gözlem şartları içinde ne anlam taşıdığını anlamaya çalışmaktadır. Gözlemciyi karşılamak için hazırlanmış bir ders bile, öğretmenin “iyi bir ders”i nasıl tasavvur ettiğine dair değerli bir veridir.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247.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8.5. Betimleme ile Yorumun Ayrılması: Dımaşk Camiinde Bir Ders Ortamı</w:t>
      </w:r>
    </w:p>
    <w:p>
      <w:pPr>
        <w:spacing w:after="120" w:line="360"/>
        <w:ind w:firstLine="567"/>
        <w:jc w:val="both"/>
      </w:pPr>
      <w:r>
        <w:rPr>
          <w:rFonts w:ascii="Times New Roman" w:cs="Traditional Arabic" w:eastAsia="Times New Roman" w:hAnsi="Times New Roman"/>
          <w:i w:val="false"/>
          <w:sz w:val="24"/>
          <w:szCs w:val="24"/>
        </w:rPr>
        <w:t xml:space="preserve">Gözlem notlarında en sık karşılaşılan sorunlardan biri, gözlemcinin gördüğünü yorumuyla karıştırmasıdır. Yıldırım ve Şimşek, gözlem sırasında not alırken gözlemcinin mümkün olduğu ölçüde tanımlayıcı olmasının ve gözlenen olguları kendi düşünce süzgecinden geçirerek yorumlamamasının önemli olduğunu belirtmekte ve bunu bir örnekle açıklamaktadır: “Kalabalık bir sınıf” biçimindeki bir not gözlemci tarafından yorumlanmış bir nottur, “30 öğrenciden oluşan bir sınıf” ise daha tanımlayıcıdır.</w:t>
      </w:r>
      <w:r>
        <w:rPr>
          <w:rStyle w:val="FootnoteReference"/>
        </w:rPr>
        <w:footnoteReference w:id="24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araştırmacının kendi yorum ve düşüncelerini tanımlayıcı notlardan ayırt edebilmesi ve raporda hangi bulguların tanımlayıcı verilerden, hangilerinin kendi düşünce ve yorumlarından kaynaklandığını belirtmesi gerektiğini vurgulamaktadır.</w:t>
      </w:r>
      <w:r>
        <w:rPr>
          <w:rStyle w:val="FootnoteReference"/>
        </w:rPr>
        <w:footnoteReference w:id="25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Yine yazarlara göre bir olay ya da davranış gözlendiği anda not edilmeli, çünkü not almak sonraya bırakıldığında tanımlayıcı verilerde önemli eksiklikler ortaya çıkabilmektedir.</w:t>
      </w:r>
      <w:r>
        <w:rPr>
          <w:rStyle w:val="FootnoteReference"/>
        </w:rPr>
        <w:footnoteReference w:id="25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Bütün gözlemlerde ortamın tanımlanması da önemlidir, çünkü gözlenen davranışlar ortam içinde biçimlenmekte ve anlam kazanmaktadır.</w:t>
      </w:r>
      <w:r>
        <w:rPr>
          <w:rStyle w:val="FootnoteReference"/>
        </w:rPr>
        <w:footnoteReference w:id="25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“Gözlem sürecinde not alırken, gözlemcinin mümkün olduğu ölçüde tanımlayıcı olması ve gözlenen olguları kendi düşünme süzgecinden geçirerek yorumlamaması önemlidir.”Kalabalık bir sınıf” biçimindeki bir not, gözlemci tarafından yorumlanmış bir gözlem notudur. Oysa “30 öğrenciden oluşan bir sınıf,” daha tanımlayıcı bir nottur ve gözlemcinin yorumuna yer vermez.”</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179, PDF s. 177]</w:t>
      </w:r>
    </w:p>
    <w:p>
      <w:pPr>
        <w:pStyle w:val="Dogrulama"/>
        <w:spacing w:after="20" w:line="276"/>
        <w:ind w:left="567"/>
        <w:jc w:val="both"/>
      </w:pPr>
      <w:r>
        <w:rPr>
          <w:rFonts w:ascii="Times New Roman" w:cs="Traditional Arabic" w:eastAsia="Times New Roman" w:hAnsi="Times New Roman"/>
          <w:i/>
          <w:iCs/>
          <w:sz w:val="22"/>
          <w:szCs w:val="22"/>
        </w:rPr>
        <w:t xml:space="preserve">“Burada önemli olan nokta şudur: Araştırmacı kendi yorumlarını ve düşüncelerini, aldığı diğer tanımlayıcı notlardan ayırt edebilmeli ve araştırma raporunda hangi bulguların tanımlayıcı verilerden, hangi bulguların araştırmacının düşünce ve yorumlarından kaynaklandığını belirtmelidir.”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180, PDF s. 178]</w:t>
      </w:r>
    </w:p>
    <w:p>
      <w:pPr>
        <w:pStyle w:val="Dogrulama"/>
        <w:spacing w:after="20" w:line="276"/>
        <w:ind w:left="567"/>
        <w:jc w:val="both"/>
      </w:pPr>
      <w:r>
        <w:rPr>
          <w:rFonts w:ascii="Times New Roman" w:cs="Traditional Arabic" w:eastAsia="Times New Roman" w:hAnsi="Times New Roman"/>
          <w:i/>
          <w:iCs/>
          <w:sz w:val="22"/>
          <w:szCs w:val="22"/>
        </w:rPr>
        <w:t xml:space="preserve">“Gözlem sürecinde not alırken dikkate alınması gereken diğer bir ilke de, herhangi bir olay ya da davranış gözlendiği anda hemen not edilmelidir. Gözlenen olguların not edilme işlemi sonraya bırakıldığı zaman, tanımlayıcı verilerde önemli eksiklikler meydana gelebilmektedir.”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179, PDF s. 177]</w:t>
      </w:r>
    </w:p>
    <w:p>
      <w:pPr>
        <w:pStyle w:val="Dogrulama"/>
        <w:spacing w:after="20" w:line="276"/>
        <w:ind w:left="567"/>
        <w:jc w:val="both"/>
      </w:pPr>
      <w:r>
        <w:rPr>
          <w:rFonts w:ascii="Times New Roman" w:cs="Traditional Arabic" w:eastAsia="Times New Roman" w:hAnsi="Times New Roman"/>
          <w:i/>
          <w:iCs/>
          <w:sz w:val="22"/>
          <w:szCs w:val="22"/>
        </w:rPr>
        <w:t xml:space="preserve">“Tüm gözlem çalışmalarında ortamın ya da fiziksel çevrenin tanımlanması önemlidir, çünkü gözlenen davranışlar ortam içinde biçimlenir ve anlam kazanır. Ortama ilişkin açıklayıcı bilgiler olmadan bu ortam içinde oluşan davranışların anlam kazanması mümkün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176, PDF s. 174]</w:t>
      </w:r>
    </w:p>
    <w:p>
      <w:pPr>
        <w:spacing w:after="120" w:line="360"/>
        <w:ind w:firstLine="567"/>
        <w:jc w:val="both"/>
      </w:pPr>
      <w:r>
        <w:rPr>
          <w:rFonts w:ascii="Times New Roman" w:cs="Traditional Arabic" w:eastAsia="Times New Roman" w:hAnsi="Times New Roman"/>
          <w:i w:val="false"/>
          <w:sz w:val="24"/>
          <w:szCs w:val="24"/>
        </w:rPr>
        <w:t xml:space="preserve">Klasik metinler arasında bir eğitim ortamını canlı biçimde tasvir eden pasajlardan biri İbn Battûta'nın </w:t>
      </w:r>
      <w:r>
        <w:rPr>
          <w:rFonts w:ascii="Times New Roman" w:cs="Traditional Arabic" w:eastAsia="Times New Roman" w:hAnsi="Times New Roman"/>
          <w:i/>
          <w:iCs/>
          <w:sz w:val="24"/>
          <w:szCs w:val="24"/>
        </w:rPr>
        <w:t xml:space="preserve">Rihle</w:t>
      </w:r>
      <w:r>
        <w:rPr>
          <w:rFonts w:ascii="Times New Roman" w:cs="Traditional Arabic" w:eastAsia="Times New Roman" w:hAnsi="Times New Roman"/>
          <w:i w:val="false"/>
          <w:sz w:val="24"/>
          <w:szCs w:val="24"/>
        </w:rPr>
        <w:t xml:space="preserve">'sinde Dımaşk'ı anlattığı kısımda bulunmaktadır. İbn Battûta, “bu mescid” diye andığı mabedin içinde ilim dallarında ders halkaları bulunduğunu, muhaddislerin hadis kitaplarını yüksek kürsüler üzerinde okuduğunu ve Kur'an okuyucularının sabah akşam güzel seslerle okuduğunu anlatmaktadır. Camide Allah'ın kitabını öğreten bir grup muallimin de bulunduğunu, her birinin caminin sütunlarından birine yaslanarak çocuklara telkin yoluyla okuttuğunu kaydetmektedir. Bu muallimlerin Allah'ın kitabını tenzih için Kur'an'ı levhalara yazmadıklarını ve Kur'an'ı yalnızca telkin yoluyla okuttuklarını eklemektedir.</w:t>
      </w:r>
      <w:r>
        <w:rPr>
          <w:rStyle w:val="FootnoteReference"/>
        </w:rPr>
        <w:footnoteReference w:id="25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Ardından yazı muallimin Kur'an muallimiyle aynı kişi olmadığını, çocuklara şiir kitapları ve başka metinlerle yazı öğrettiğini, çocuğun Kur'an dersinden yazı dersine geçtiğini belirtmekte ve şu açıklamayı yapmaktadır: Bu sayede çocuğun yazısı güzelleşmektedir, çünkü yazı muallimi başka bir şey öğretmemektedir.</w:t>
      </w:r>
      <w:r>
        <w:rPr>
          <w:rStyle w:val="FootnoteReference"/>
        </w:rPr>
        <w:footnoteReference w:id="25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“وبهذا المسجد حلقات التدريس في فنون العلم، والمحدثون يقرءون كتب الحديث على كراسي مرتفعة، وقراء القرآن يقرءون بالأصوات الحسنة صباحا ومساء وبه جماعة من المعلمين لكتاب الله يستند كل واحد منهم إلى سارية من سواري المسجد يلقّن الصبيان ويقرئهم، وهم لا يكتبون القرآن في الألواح تنزيها لكتاب الله تعالى، وانما يقرءون القرآن تلقينا.”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11769, page_id 288, basılı cilt/sayfa 1/314] Not: Alıntı, eserin Dımaşk'ı anlatan kısmındandır. Mescidi tanıtan önceki cümleler alıntıya dahil edilmemiştir.</w:t>
      </w:r>
    </w:p>
    <w:p>
      <w:pPr>
        <w:pStyle w:val="DogrulamaAR"/>
        <w:bidi/>
        <w:spacing w:after="20" w:line="300"/>
        <w:ind w:end="567"/>
        <w:jc w:val="both"/>
      </w:pPr>
      <w:r>
        <w:rPr>
          <w:rFonts w:ascii="Times New Roman" w:cs="Traditional Arabic" w:eastAsia="Times New Roman" w:hAnsi="Times New Roman"/>
          <w:i/>
          <w:iCs/>
          <w:sz w:val="24"/>
          <w:szCs w:val="30"/>
          <w:rtl/>
        </w:rPr>
        <w:t xml:space="preserve">“ومعلم الخط غير معلم القرآن يعلمهم بكتب الأشعار وسواها، فينصرف الصبي من التعليم إلى التكتيب وبذلك جاد خطه لان المعلّم للخط لا يعلّم غيره،”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11769, page_id 288, basılı cilt/sayfa 1/314]</w:t>
      </w:r>
    </w:p>
    <w:p>
      <w:pPr>
        <w:spacing w:after="120" w:line="360"/>
        <w:ind w:firstLine="567"/>
        <w:jc w:val="both"/>
      </w:pPr>
      <w:r>
        <w:rPr>
          <w:rFonts w:ascii="Times New Roman" w:cs="Traditional Arabic" w:eastAsia="Times New Roman" w:hAnsi="Times New Roman"/>
          <w:i w:val="false"/>
          <w:sz w:val="24"/>
          <w:szCs w:val="24"/>
        </w:rPr>
        <w:t xml:space="preserve">Bu pasaj, bir gözlem notunun nasıl yazılabileceğine dair zengin bir örnektir. Ortamın fiziksel düzeni (sütunlar, yüksek kürsüler), etkinliklerin zamanı (sabah ve akşam), öğretim yöntemi (telkin) ve iş bölümü (Kur'an muallimi ile yazı muallimi) açıkça betimlenmektedir. Aynı pasaj, betimleme ile yorumun nasıl iç içe geçebileceğini de göstermektedir. “Allah'ın kitabını tenzih için” ifadesi, muallimlerin kendi gerekçesi mi, yoksa gözlemcinin çıkarımı mıdır? Metinden bunu anlamak mümkün değildir. “Bu sayede yazısı güzelleşir, çünkü yazı muallimi başka bir şey öğretmez” cümlesi ise açıkça gözlemcinin bir sebep-sonuç yorumudur.</w:t>
      </w:r>
    </w:p>
    <w:p>
      <w:pPr>
        <w:spacing w:after="120" w:line="360"/>
        <w:ind w:firstLine="567"/>
        <w:jc w:val="both"/>
      </w:pPr>
      <w:r>
        <w:rPr>
          <w:rFonts w:ascii="Times New Roman" w:cs="Traditional Arabic" w:eastAsia="Times New Roman" w:hAnsi="Times New Roman"/>
          <w:i w:val="false"/>
          <w:sz w:val="24"/>
          <w:szCs w:val="24"/>
        </w:rPr>
        <w:t xml:space="preserve">Kanaatimizce nitel araştırmacı İbn Battûta'nın pasajını iki biçimde okuyabilir. Bir yandan onu, bir ders ortamının mekânını, zamanını ve iş bölümünü birkaç cümlede canlandıran bir betimleme örneği olarak örnek alabilir. Öte yandan, kendi notlarında bu pasajda iç içe geçen üç tür bilgiyi birbirinden ayırmayı öğrenebilir: gördüğü şey, katılımcıların kendi açıklamaları ve kendi yorumu. Bu ayrım, Yıldırım ve Şimşek'in tanımlayıcı notlar ile araştırmacının kendi yorum ve düşünceleri arasında yaptığı ayrımı,</w:t>
      </w:r>
      <w:r>
        <w:rPr>
          <w:rStyle w:val="FootnoteReference"/>
        </w:rPr>
        <w:footnoteReference w:id="25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katılımcıların kendi açıklamalarını da ekleyerek genişletmektedir. İbn Battûta'nın metni bir seyahatname olarak kendi türünün kurallarıyla yazılmıştır. Ondan modern bir alan notunun ölçütlerini beklemek anakronizm olur. Ancak onu bu ölçütlerle okumak, modern araştırmacının kendi notlarını sınaması için verimli bir alıştırmadır.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250.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8.6. Geçmişin Eğitim Ortamları: Hisbe ve Âdâb Eserleri</w:t>
      </w:r>
    </w:p>
    <w:p>
      <w:pPr>
        <w:spacing w:after="120" w:line="360"/>
        <w:ind w:firstLine="567"/>
        <w:jc w:val="both"/>
      </w:pPr>
      <w:r>
        <w:rPr>
          <w:rFonts w:ascii="Times New Roman" w:cs="Traditional Arabic" w:eastAsia="Times New Roman" w:hAnsi="Times New Roman"/>
          <w:i w:val="false"/>
          <w:sz w:val="24"/>
          <w:szCs w:val="24"/>
        </w:rPr>
        <w:t xml:space="preserve">Din eğitimi tarihine ilgi duyan araştırmacı, geçmişteki eğitim ortamlarını doğrudan gözleme imkânına sahip değildir. Ancak bazı klasik eserler bu ortamlar hakkında dolaylı bir tasvir sunmaktadır. İbnü'l-Uhuvve'nin </w:t>
      </w:r>
      <w:r>
        <w:rPr>
          <w:rFonts w:ascii="Times New Roman" w:cs="Traditional Arabic" w:eastAsia="Times New Roman" w:hAnsi="Times New Roman"/>
          <w:i/>
          <w:iCs/>
          <w:sz w:val="24"/>
          <w:szCs w:val="24"/>
        </w:rPr>
        <w:t xml:space="preserve">Meâlimü'l-kurbe fî talebi'l-hisbe</w:t>
      </w:r>
      <w:r>
        <w:rPr>
          <w:rFonts w:ascii="Times New Roman" w:cs="Traditional Arabic" w:eastAsia="Times New Roman" w:hAnsi="Times New Roman"/>
          <w:i w:val="false"/>
          <w:sz w:val="24"/>
          <w:szCs w:val="24"/>
        </w:rPr>
        <w:t xml:space="preserve"> adlı eserinde, Şamile metninde köşeli ayraç içinde verilen başlığa göre kırk altıncı bab, çocukların müeddiplerinin hisbe yoluyla denetlenmesine ayrılmıştır.</w:t>
      </w:r>
      <w:r>
        <w:rPr>
          <w:rStyle w:val="FootnoteReference"/>
        </w:rPr>
        <w:footnoteReference w:id="25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Başlığın müellife mi muhakkike mi ait olduğu belirlenememiştir. İbnü'l-Uhuvve bu babda muallimin salah, iffet ve emanet ehlinden olmasını, Kur'an'ı ezberlemiş, yazısı güzel ve hesap bilen biri olmasını şart koşmaktadır.</w:t>
      </w:r>
      <w:r>
        <w:rPr>
          <w:rStyle w:val="FootnoteReference"/>
        </w:rPr>
        <w:footnoteReference w:id="25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Müeddibin küçük çocuğa yumuşak davranmasını, harfleri tanıma ve onları harekeleriyle zabtetmede mahir olduktan sonra ona Kur'an'dan kısa sureleri öğretmesini ve çocuğun tabiatı alışıncaya kadar onu tedricen ilerletmesini de istemektedir.</w:t>
      </w:r>
      <w:r>
        <w:rPr>
          <w:rStyle w:val="FootnoteReference"/>
        </w:rPr>
        <w:footnoteReference w:id="25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“[الْبَاب السَّادِس وَالْأَرْبَعُونَ فِي الْحَسَبَة عَلَى مُؤَدِّبِي الصَّبِيَّانِ]”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10526, page_id 165, basılı s. 170] Not: Başlık Şamile metninde köşeli ayraç içindedir. Müellife mi muhakkike mi ait olduğu belirlenememiştir.</w:t>
      </w:r>
    </w:p>
    <w:p>
      <w:pPr>
        <w:pStyle w:val="DogrulamaAR"/>
        <w:bidi/>
        <w:spacing w:after="20" w:line="300"/>
        <w:ind w:end="567"/>
        <w:jc w:val="both"/>
      </w:pPr>
      <w:r>
        <w:rPr>
          <w:rFonts w:ascii="Times New Roman" w:cs="Traditional Arabic" w:eastAsia="Times New Roman" w:hAnsi="Times New Roman"/>
          <w:i/>
          <w:iCs/>
          <w:sz w:val="24"/>
          <w:szCs w:val="30"/>
          <w:rtl/>
        </w:rPr>
        <w:t xml:space="preserve">“فَحِينَئِذٍ يُشْتَرَطُ فِي الْمُعَلِّمِ أَنْ يَكُونَ مِنْ أَهْلِ الصَّلَاحِ وَالْعِفَّةِ وَالْأَمَانَةِ حَافِظًا لِلْكِتَابِ الْعَزِيزِ حَسَنَ الْخَطِّ وَيَدْرِي الْحِسَابَ”</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10526, page_id 165, basılı s. 170]</w:t>
      </w:r>
    </w:p>
    <w:p>
      <w:pPr>
        <w:pStyle w:val="DogrulamaAR"/>
        <w:bidi/>
        <w:spacing w:after="20" w:line="300"/>
        <w:ind w:end="567"/>
        <w:jc w:val="both"/>
      </w:pPr>
      <w:r>
        <w:rPr>
          <w:rFonts w:ascii="Times New Roman" w:cs="Traditional Arabic" w:eastAsia="Times New Roman" w:hAnsi="Times New Roman"/>
          <w:i/>
          <w:iCs/>
          <w:sz w:val="24"/>
          <w:szCs w:val="30"/>
          <w:rtl/>
        </w:rPr>
        <w:t xml:space="preserve">“وَيَنْبَغِي لِلْمُؤَدِّبِ أَنْ يَتَرَفَّقَ بِالصَّغِيرِ وَأَنْ يُعَلِّمَهُ السُّوَرَ الْقِصَارَ مِنْ الْقُرْآنِ بَعْدَ حَذَاقَتِهِ بِمَعْرِفَةِ الْحُرُوفِ وَضَبْطِهَا بِالشَّكْلِ وَيُدَرِّجُهُ بِذَلِكَ حَتَّى يَأْلَفَهُ طَبْعًا”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10526, page_id 165, basılı s. 170]</w:t>
      </w:r>
    </w:p>
    <w:p>
      <w:pPr>
        <w:spacing w:after="120" w:line="360"/>
        <w:ind w:firstLine="567"/>
        <w:jc w:val="both"/>
      </w:pPr>
      <w:r>
        <w:rPr>
          <w:rFonts w:ascii="Times New Roman" w:cs="Traditional Arabic" w:eastAsia="Times New Roman" w:hAnsi="Times New Roman"/>
          <w:i w:val="false"/>
          <w:sz w:val="24"/>
          <w:szCs w:val="24"/>
        </w:rPr>
        <w:t xml:space="preserve">Bu metinler gözlem notu değil, normatif metinlerdir. Bir muallimin nasıl olması gerektiğini söylemekte, fakat muallimlerin gerçekte nasıl olduğunu doğrudan anlatmamaktadır. Kanaatimizce bu sınır, din eğitimi tarihine nitel bir gözle bakan araştırmacı için önemli bir yöntem uyarısıdır. Bir dönemin âdâb ve hisbe eserleri o dönemin eğitim ideallerini ve kaygılarını göstermektedir. Örneğin hisbe eserinde muallimin denetlenmesinin gerekli görülmesi, bu konuda bir kaygının var olduğunu düşündürmektedir. Ancak bu metinlerden doğrudan gündelik uygulamaya dair hükümler çıkarmak, olması gerekeni olanla karıştırmak olur. Bu tür eserlerin bir doküman olarak nasıl inceleneceği dokuzuncu bölümde ele alınacaktır.</w:t>
      </w:r>
    </w:p>
    <w:p>
      <w:pPr>
        <w:pStyle w:val="Heading2"/>
        <w:keepNext/>
        <w:spacing w:after="120" w:before="240"/>
      </w:pPr>
      <w:r>
        <w:rPr>
          <w:rFonts w:ascii="Times New Roman" w:cs="Traditional Arabic" w:eastAsia="Times New Roman" w:hAnsi="Times New Roman"/>
          <w:b/>
          <w:bCs/>
          <w:i w:val="false"/>
          <w:sz w:val="24"/>
          <w:szCs w:val="24"/>
        </w:rPr>
        <w:t xml:space="preserve">8.7. Din Eğitimi Uygulaması: Cami, Sınıf ve Kur'an Kursunda Gözlem</w:t>
      </w:r>
    </w:p>
    <w:p>
      <w:pPr>
        <w:spacing w:after="120" w:line="360"/>
        <w:ind w:firstLine="567"/>
        <w:jc w:val="both"/>
      </w:pPr>
      <w:r>
        <w:rPr>
          <w:rFonts w:ascii="Times New Roman" w:cs="Traditional Arabic" w:eastAsia="Times New Roman" w:hAnsi="Times New Roman"/>
          <w:i w:val="false"/>
          <w:sz w:val="24"/>
          <w:szCs w:val="24"/>
        </w:rPr>
        <w:t xml:space="preserve">Din eğitimi ortamlarında gözlem yaparken araştırmacının hem ortamın kutsiyetine hem de katılımcıların mahremiyetine özen göstermesi gerekmektedir. Camide namaz sırasında not almak, ibadet edenlerin huzurunu bozabilir. Kur'an kursunda çocukların ezber okuyuşlarını kaydetmek, onların kaygısını artırabilir. Bu nedenle gözlem planı, ortamın sorumlularıyla birlikte ve katılımcıların bilgisi dahilinde yapılmalıdır. Aşağıdaki kurgusal gözlem formu, betimleme ile yorumun ayrılması ilkesini uygulamaya dönüştürmektedir.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Yaz Kur'an kursu gözlem formu</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Ortam: Mahalle camiinin alt katındaki kurs sınıfı. Tarih ve saat. Gözlem süresi. Gözlemcinin oturduğu yer.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Fiziksel düzen: Rahlelerin yerleşimi, çocukların sayısı, öğreticinin konumu, duvardaki yazılar ve görseller.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Betimleme sütunu (gördüğüm ve işittiğim): “Saat 10.15. On dört çocuktan dördü öğreticinin önünde sırayla ezber okuyor. Diğerleri rahlelerinde. Bir çocuk iki kez başını kaldırıp okuyan arkadaşına bakıyor. Öğretici okuma bitince ‘maşallah, yarın devamı’ diyor.”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Katılımcı açıklaması sütunu (onların söylediği): “Gözlemden sonra öğretici, ‘ders vermeden önce çocuklar heyecanlanır, o yüzden önce kolay okuyanları alırım’ dedi.”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Yorum sütunu (benim düşündüğüm): “Sıralamanın bilinçli olması, öğreticinin çocukların kaygısını gözettiğini düşündürüyor. Bu yorum, öğreticiyle yapılacak görüşmede ve sonraki gözlemlerde sınanmalı.”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Not: Gözlemci, çocukların adlarını formda kullanmamakta, onları harf kodlarıyla anmaktadır.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form İbn Battûta'nın pasajında iç içe geçen üç bilgi türünü üç ayrı sütuna ayırmaktadır. Böylece okur, raporda hangi ifadenin gözleme, hangisinin katılımcının açıklamasına, hangisinin araştırmacının yorumuna dayandığını görebilir. Aynı form farklı günlerde tekrar kullanıldığında, Gazzâlî'nin gölge örneğinde olduğu gibi ilk gözlemde durağan görünen durumların zaman içindeki değişimi de izlenebilir.</w:t>
      </w:r>
    </w:p>
    <w:p>
      <w:pPr>
        <w:keepNext/>
        <w:spacing w:after="80" w:before="200"/>
      </w:pPr>
      <w:r>
        <w:rPr>
          <w:rFonts w:ascii="Times New Roman" w:cs="Traditional Arabic" w:eastAsia="Times New Roman" w:hAnsi="Times New Roman"/>
          <w:b/>
          <w:bCs/>
          <w:i w:val="false"/>
          <w:sz w:val="22"/>
          <w:szCs w:val="22"/>
        </w:rPr>
        <w:t xml:space="preserve">Tablo 8.1. Sekizinci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1103"/>
        <w:gridCol w:w="1103"/>
        <w:gridCol w:w="1348"/>
        <w:gridCol w:w="1348"/>
        <w:gridCol w:w="2451"/>
        <w:gridCol w:w="1715"/>
      </w:tblGrid>
      <w:tr>
        <w:trPr>
          <w:cantSplit/>
          <w:tblHeader/>
        </w:trPr>
        <w:tc>
          <w:tcPr>
            <w:tcW w:type="dxa" w:w="110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110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34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34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245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71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Gözlemin ilk elden bilgi sağlaması</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ʿİyân</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Bîrûnî, Tahkîku mâ li'l-Hind, 13 (Şamile 11655)</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Olayın zamanında ve yerinde idraki</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Bîrûnî ʿiyân ile haberi doğruluk açısından karşılaştırır, nitel araştırma ikisini tamamlayıcı görür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Gözlem ile görüşmenin birlikte kullanılması</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Sahaya gitme</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Rıhle</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Hatîb el-Bağdâdî, er-Rıhle, 34-35 (Şamile 1454)</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Bilgiye dolaylı değil doğrudan ulaşma isteği</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Rıhlenin konusu nakledilen söz, sahanın konusu yaşanan hayattır. Rivayetin isnadı zayıftır.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Sözlü tarih çalışmalarında yaşlı kuşakların tanıklıklarının kaydı</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Uzun süreli gözlem</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Gölgenin tedricî hareketi</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el-Munkız, 112 (Şamile 9246)</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Kısa gözlemin uzun gözlemle düzeltilmesi</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duyuların yanılabileceğini, nitel araştırma gözlemin eksikliğini vurgular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Kurs ve sınıf ortamlarının haftalarca izlenmesi</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Gözlemci etkisi</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Tasannu (yapmacıklık)</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Târîh, 1/46 (Şamile 12320)</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Görülenin gözlemciye göre biçimlenmiş olabilmesi</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haberin gerçeğe uygunluğunu, nitel araştırma davranışın anlamını sorar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Tekrarlanan gözlem ve gözlem sonrası görüşme</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Betimleme ile yorumun ayrılması</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Seyahatnamede ortam tasviri</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Battûta, Rihle, 1/314 (Şamile 11769)</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Ortamın mekân, zaman ve iş bölümüyle betimlenmesi</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Battûta'nın pasajında betimleme ile yorum iç içedir</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Üç sütunlu gözlem formu</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Tarihî eğitim ortamlarının incelenmesi</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Hisbe eserlerinde muallimin denetimi</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İbnü'l-Uhuvve, Meâlimü'l-kurbe, 170 (Şamile 10526)</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Eğitim ortamına dair ayrıntılı bilgi sunma</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Normatif metindir, uygulamayı doğrudan göstermez</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Din eğitimi tarihine dair doküman incelemesi</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DOKUZUNCU BÖLÜM</w:t>
      </w:r>
    </w:p>
    <w:p>
      <w:pPr>
        <w:pStyle w:val="Heading1"/>
        <w:spacing w:after="360"/>
        <w:jc w:val="center"/>
      </w:pPr>
      <w:r>
        <w:rPr>
          <w:rFonts w:ascii="Times New Roman" w:cs="Traditional Arabic" w:eastAsia="Times New Roman" w:hAnsi="Times New Roman"/>
          <w:b/>
          <w:bCs/>
          <w:i w:val="false"/>
          <w:color w:val="1F3864"/>
          <w:sz w:val="28"/>
          <w:szCs w:val="28"/>
        </w:rPr>
        <w:t xml:space="preserve">9. Doküman İncelemesi</w:t>
      </w:r>
    </w:p>
    <w:p>
      <w:pPr>
        <w:spacing w:after="120" w:line="360"/>
        <w:ind w:firstLine="567"/>
        <w:jc w:val="both"/>
      </w:pPr>
      <w:r>
        <w:rPr>
          <w:rFonts w:ascii="Times New Roman" w:cs="Traditional Arabic" w:eastAsia="Times New Roman" w:hAnsi="Times New Roman"/>
          <w:i w:val="false"/>
          <w:sz w:val="24"/>
          <w:szCs w:val="24"/>
        </w:rPr>
        <w:t xml:space="preserve">Din eğitimi, belgeler üreten bir alandır. Öğretim programları, ders kitapları, hutbe metinleri, fetvalar, kurs kayıtları, öğretmenlerin ders planları ve öğrencilerin yazdıkları, bu alanda olup biteni anlamak isteyen araştırmacı için zengin birer kaynaktır. Klasik ilim geleneği ise yazılı metnin aktarımına ve korunmasına dair son derece incelikli bir usul geliştirmiştir. Bu bölümde doküman incelemesinin nitel araştırmadaki yeri, dokümanın özgünlüğünün ve aidiyetinin sınanması, kopya ile asıl arasındaki karşılaştırma ve belgeye sonradan karışan unsurlar ele alınmaktadır. Klasik gelenekten ise vicâde, mukâbele ve idrâc kavramları ile metin tenkidinde melekenin rolü bu konularla birlikte okunmaktadır.</w:t>
      </w:r>
    </w:p>
    <w:p>
      <w:pPr>
        <w:pStyle w:val="Heading2"/>
        <w:keepNext/>
        <w:spacing w:after="120" w:before="240"/>
      </w:pPr>
      <w:r>
        <w:rPr>
          <w:rFonts w:ascii="Times New Roman" w:cs="Traditional Arabic" w:eastAsia="Times New Roman" w:hAnsi="Times New Roman"/>
          <w:b/>
          <w:bCs/>
          <w:i w:val="false"/>
          <w:sz w:val="24"/>
          <w:szCs w:val="24"/>
        </w:rPr>
        <w:t xml:space="preserve">9.1. Dokümanın Değeri</w:t>
      </w:r>
    </w:p>
    <w:p>
      <w:pPr>
        <w:spacing w:after="120" w:line="360"/>
        <w:ind w:firstLine="567"/>
        <w:jc w:val="both"/>
      </w:pPr>
      <w:r>
        <w:rPr>
          <w:rFonts w:ascii="Times New Roman" w:cs="Traditional Arabic" w:eastAsia="Times New Roman" w:hAnsi="Times New Roman"/>
          <w:i w:val="false"/>
          <w:sz w:val="24"/>
          <w:szCs w:val="24"/>
        </w:rPr>
        <w:t xml:space="preserve">Yıldırım ve Şimşek doküman incelemesini, araştırılması hedeflenen olgu ya da olgular hakkında bilgi içeren yazılı materyallerin analizi olarak tanımlamakta ve nitel araştırmada doküman incelemesinin tek başına bir veri toplama yöntemi olabileceği gibi diğer yöntemlerle birlikte de kullanılabileceğini belirtmektedir.</w:t>
      </w:r>
      <w:r>
        <w:rPr>
          <w:rStyle w:val="FootnoteReference"/>
        </w:rPr>
        <w:footnoteReference w:id="25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başka bir yerde de yazılı doküman ve belgelerin analizinin, gerek kendi başına gerekse görüşme ve gözlemle elde edilen verilere destek amacıyla kullanılan bir yöntem olduğunu ifade etmektedir.</w:t>
      </w:r>
      <w:r>
        <w:rPr>
          <w:rStyle w:val="FootnoteReference"/>
        </w:rPr>
        <w:footnoteReference w:id="26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“Doküman incelemesi, araştırılması hedeflenen olgu veya olgular hakkında bilgi içeren yazılı materyallerin analizini kapsar. Nitel araştırmada doküman incelemesi tek başına bir veri toplama yöntemi olabileceği gibi diğer veri toplama yöntemleri ile birlikte de kullanılabilir.”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[187], PDF s. 185] Not: 187 numaralı sayfada basılı sayfa numarası görünmemektedir (bölüm açılış sayfası). Köşeli ayraç içindeki numara, önceki ve sonraki sayfaların basılı numaralarından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“Son olarak yazılı doküman ve belgelerin analizi, nitel araştırmada, gerek kendi başına gerekse görüşme ve gözlemle elde edilen verilere destek amacıyla kullanılan bir veri toplama yöntemidir.”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41, PDF s. 39]</w:t>
      </w:r>
    </w:p>
    <w:p>
      <w:pPr>
        <w:spacing w:after="120" w:line="360"/>
        <w:ind w:firstLine="567"/>
        <w:jc w:val="both"/>
      </w:pPr>
      <w:r>
        <w:rPr>
          <w:rFonts w:ascii="Times New Roman" w:cs="Traditional Arabic" w:eastAsia="Times New Roman" w:hAnsi="Times New Roman"/>
          <w:i w:val="false"/>
          <w:sz w:val="24"/>
          <w:szCs w:val="24"/>
        </w:rPr>
        <w:t xml:space="preserve">Bîrûnî, yazının bilgi aktarımındaki yerini ʿiyân ile haber karşılaştırmasını yaptığı sayfada ele almaktadır. Ona göre yazı haberin türlerinden biridir ve neredeyse diğerlerinden daha şereflidir. Bîrûnî bunu bir soruyla desteklemektedir: Kalemin kalıcı eserleri olmasaydı milletlerin haberlerini nereden bilecektik?</w:t>
      </w:r>
      <w:r>
        <w:rPr>
          <w:rStyle w:val="FootnoteReference"/>
        </w:rPr>
        <w:footnoteReference w:id="26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soru, doküman incelemesinin varlık sebebini özetlemektedir. Geçmişe ve araştırmacının bizzat bulunamadığı ortamlara dair bilginin önemli bir kısmı yazılı belgeler aracılığıyla ulaşmaktadır.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“والكتابة نوع من أنواعه يكاد أن يكون أشرف من غيره، فمن أين لنا العلم بأخبار الأمم لولا خوالد آثار القلم؟”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11655, page_id 10, basılı s. 13]</w:t>
      </w:r>
    </w:p>
    <w:p>
      <w:pPr>
        <w:spacing w:after="120" w:line="360"/>
        <w:ind w:firstLine="567"/>
        <w:jc w:val="both"/>
      </w:pPr>
      <w:r>
        <w:rPr>
          <w:rFonts w:ascii="Times New Roman" w:cs="Traditional Arabic" w:eastAsia="Times New Roman" w:hAnsi="Times New Roman"/>
          <w:i w:val="false"/>
          <w:sz w:val="24"/>
          <w:szCs w:val="24"/>
        </w:rPr>
        <w:t xml:space="preserve">Bîrûnî'nin yazıyı haberin bir türü sayması, doküman incelemesinin Mâtürîdî'nin ʿiyân, ahbâr ve nazar üçlüsündeki</w:t>
      </w:r>
      <w:r>
        <w:rPr>
          <w:rStyle w:val="FootnoteReference"/>
        </w:rPr>
        <w:footnoteReference w:id="26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yerini de göstermektedir. Doküman da bir ahbâr kaynağıdır. Ancak nitel araştırmada doküman, içerdiği bilginin doğruluğu açısından olduğu kadar, onu üreten kişinin ya da kurumun bakışını, değerlerini ve önceliklerini yansıtması açısından da incelenebilmektedir. Bir din kültürü ders kitabının bir konuyu nasıl sunduğu, o kitabın yazıldığı dönemin din eğitimi anlayışına dair bir veridir.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9.2. Belgenin Aidiyeti: Vicâde</w:t>
      </w:r>
    </w:p>
    <w:p>
      <w:pPr>
        <w:spacing w:after="120" w:line="360"/>
        <w:ind w:firstLine="567"/>
        <w:jc w:val="both"/>
      </w:pPr>
      <w:r>
        <w:rPr>
          <w:rFonts w:ascii="Times New Roman" w:cs="Traditional Arabic" w:eastAsia="Times New Roman" w:hAnsi="Times New Roman"/>
          <w:i w:val="false"/>
          <w:sz w:val="24"/>
          <w:szCs w:val="24"/>
        </w:rPr>
        <w:t xml:space="preserve">Doküman incelemesinde araştırmacının karşılaştığı ilk soru, elindeki belgenin gerçekten iddia edildiği kişiye ya da kuruma ait olup olmadığıdır. Yıldırım ve Şimşek'e göre belli dokümanlara ulaşan araştırmacı, bu dokümanların özgün olup olmadığını kontrol etmelidir. Bu konu çok önemlidir, çünkü özgünlüğü kontrol edilmeden kullanılan dokümanlar daha sonra asıl sahipleri tarafından sahiplenilmezse hem araştırmanın hem de araştırmacının güvenilirliği sorgulanacaktır.</w:t>
      </w:r>
      <w:r>
        <w:rPr>
          <w:rStyle w:val="FootnoteReference"/>
        </w:rPr>
        <w:footnoteReference w:id="26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bu kontrol için araştırmacının sorabileceği soruları da sıralamaktadır: Dokümandaki veri araştırmada konu edilen kişi, kuruluş ya da gruplara ilişkin görünmekte midir? Birincil kaynaklardan mı yoksa ikincil kaynaklardan mı elde edilmiştir? Elde edilen dokümanlar asıllarının aynı mıdır?</w:t>
      </w:r>
      <w:r>
        <w:rPr>
          <w:rStyle w:val="FootnoteReference"/>
        </w:rPr>
        <w:footnoteReference w:id="26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Doküman üzerinde oynanmış ya da belli kısımları değiştirilmiş gibi görünmekte midir? Kim ya da kimler tarafından, ne zaman ve nerede kaleme alındığı belli midir? Dokümanı kaleme alanlar inanılır mıdır ve ilgili kurumda yasal olarak görevli midir?</w:t>
      </w:r>
      <w:r>
        <w:rPr>
          <w:rStyle w:val="FootnoteReference"/>
        </w:rPr>
        <w:footnoteReference w:id="265"/>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“Her doküman incelemesinde yukarıdaki yöntemlerle belirli dokümanlara ulaşan araştırmacı, ulaştığı dokümanların özgün olup olmadığını kontrol etmelidir. Bu konu çok önemlidir, çünkü özgünlüğü kontrol edilmeden bir araştırmada kullanılan dokümanlar, daha sonra dokümanın ait olduğu asıl kaynakları tarafından sahiplenilmezse, hem araştırmanın ve hem de araştırmacının güvenilirliği sorgulanacak, araştırmaya harcanan çok değerli zaman, emek ve para boşa gitmiş olacaktır.”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195, PDF s. 193]</w:t>
      </w:r>
    </w:p>
    <w:p>
      <w:pPr>
        <w:pStyle w:val="Dogrulama"/>
        <w:spacing w:after="20" w:line="276"/>
        <w:ind w:left="567"/>
        <w:jc w:val="both"/>
      </w:pPr>
      <w:r>
        <w:rPr>
          <w:rFonts w:ascii="Times New Roman" w:cs="Traditional Arabic" w:eastAsia="Times New Roman" w:hAnsi="Times New Roman"/>
          <w:i/>
          <w:iCs/>
          <w:sz w:val="22"/>
          <w:szCs w:val="22"/>
        </w:rPr>
        <w:t xml:space="preserve">“Bu nedenlerle, özgünlüğü kontrol etme konusunda araştırmacı şu soruları sorabilir: Dokümanlarda kapsanan veri, araştırmada konu edilen kişi, kuruluş veya gruplara ilişkin görünüyor mu? Birincil yani asıl kaynaklardan mı, yoksa ikincil kaynaklardan mı elde edilmiştir? Elde edilen dokümanlar asıllarının aynı mıdır?”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195, PDF s. 193]</w:t>
      </w:r>
    </w:p>
    <w:p>
      <w:pPr>
        <w:pStyle w:val="Dogrulama"/>
        <w:spacing w:after="20" w:line="276"/>
        <w:ind w:left="567"/>
        <w:jc w:val="both"/>
      </w:pPr>
      <w:r>
        <w:rPr>
          <w:rFonts w:ascii="Times New Roman" w:cs="Traditional Arabic" w:eastAsia="Times New Roman" w:hAnsi="Times New Roman"/>
          <w:i/>
          <w:iCs/>
          <w:sz w:val="22"/>
          <w:szCs w:val="22"/>
        </w:rPr>
        <w:t xml:space="preserve">“Herhangi bir şekilde dokümanlar üzerinde oynanmış veya belirli kısımları değiştirilmiş görünüyor mu (asıllarındaki değişiklikler hariç)? Kim veya kimler tarafından geliştirildiği veya kaleme alındığı belirli mi, ne zaman ve nerede? Dokümanı geliştirenler veya kaleme alanlar inanılır mı, ilgili kurum veya kuruluşta yasal olarak görevliler mi?”</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195, PDF s. 193]</w:t>
      </w:r>
    </w:p>
    <w:p>
      <w:pPr>
        <w:spacing w:after="120" w:line="360"/>
        <w:ind w:firstLine="567"/>
        <w:jc w:val="both"/>
      </w:pPr>
      <w:r>
        <w:rPr>
          <w:rFonts w:ascii="Times New Roman" w:cs="Traditional Arabic" w:eastAsia="Times New Roman" w:hAnsi="Times New Roman"/>
          <w:i w:val="false"/>
          <w:sz w:val="24"/>
          <w:szCs w:val="24"/>
        </w:rPr>
        <w:t xml:space="preserve">Hadis usulünde bir metnin el yazısından bulunarak rivayet edilmesi vicâde kavramıyla ele alınmıştır. İbnü's-Salâh vicâdeyi, bir kimsenin bir şahsın kendi hattıyla rivayet ettiği hadislerin bulunduğu bir kitaba rastlaması, fakat o şahısla karşılaşmamış olması ya da karşılaşmış olsa bile o hattıyla bulduğu şeyi ondan işitmemiş ve ondan bir icazet almamış olması şeklinde örneklendirmektedir. Bu durumda kişi “Falanın hattıyla buldum” ya da “Falanın hattıyla okudum” diyebilmektedir.</w:t>
      </w:r>
      <w:r>
        <w:rPr>
          <w:rStyle w:val="FootnoteReference"/>
        </w:rPr>
        <w:footnoteReference w:id="26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İbnü's-Salâh bu uygulamanın eskiden beri süregeldiğini, vicâdenin munkatı ve mürsel kabilinden olduğunu, ancak “falanın hattıyla buldum” demekle ittisalden bir nebze pay aldığını belirtmektedir.</w:t>
      </w:r>
      <w:r>
        <w:rPr>
          <w:rStyle w:val="FootnoteReference"/>
        </w:rPr>
        <w:footnoteReference w:id="26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“مِثَالُ الْوِجَادَةِ: أَنْ يَقِفَ عَلَى كِتَابِ شَخْصٍ فِيهِ أَحَادِيثُ يَرْوِيهَا بِخَطِّهِ، وَلَمْ يَلْقَهُ، أَوْ لَقِيَهُ، وَلَكِنْ لَمْ يَسْمَعْ مِنْهُ ذَلِكَ الَّذِي وَجَدَهُ بِخَطِّهِ، وَلَا لَهُ مِنْهُ إِجَازَةٌ، وَلَا نَحْوُهَا. فَلَهُ أَنْ يَقُولَ (وَجَدْتُ بِخَطِّ فُلَانٍ، أَوْ قَرَأْتُ بِخَطِّ فُلَانٍ، أَوْ فِي كِتَابِ فُلَانٍ بِخَطِّهِ أَخْبَرَنَا فُلَانُ بْنُ فُلَانٍ)”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175, basılı s. 178]</w:t>
      </w:r>
    </w:p>
    <w:p>
      <w:pPr>
        <w:pStyle w:val="DogrulamaAR"/>
        <w:bidi/>
        <w:spacing w:after="20" w:line="300"/>
        <w:ind w:end="567"/>
        <w:jc w:val="both"/>
      </w:pPr>
      <w:r>
        <w:rPr>
          <w:rFonts w:ascii="Times New Roman" w:cs="Traditional Arabic" w:eastAsia="Times New Roman" w:hAnsi="Times New Roman"/>
          <w:i/>
          <w:iCs/>
          <w:sz w:val="24"/>
          <w:szCs w:val="30"/>
          <w:rtl/>
        </w:rPr>
        <w:t xml:space="preserve">“هَذَا الَّذِي اسْتَمَرَّ عَلَيْهِ الْعَمَلُ قَدِيمًا، وَحَدِيثًا، وَهُوَ مِنْ بَابِ الْمُنْقَطِعِ، وَالْمُرْسَلِ، غَيْرَ أَنَّهُ أَخَذَ شَوْبًا مِنْ الِاتِّصَالِ بِقَوْلِهِ (وَجَدْتُ بِخَطِّ فُلَانٍ).”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175, basılı s. 178]</w:t>
      </w:r>
    </w:p>
    <w:p>
      <w:pPr>
        <w:spacing w:after="120" w:line="360"/>
        <w:ind w:firstLine="567"/>
        <w:jc w:val="both"/>
      </w:pPr>
      <w:r>
        <w:rPr>
          <w:rFonts w:ascii="Times New Roman" w:cs="Traditional Arabic" w:eastAsia="Times New Roman" w:hAnsi="Times New Roman"/>
          <w:i w:val="false"/>
          <w:sz w:val="24"/>
          <w:szCs w:val="24"/>
        </w:rPr>
        <w:t xml:space="preserve">Vicâde kavramı doküman incelemesi için iki bakımdan öğreticidir. Birincisi, belgenin değeri onun aidiyetinin bilinmesine bağlıdır. Vicâdede söz konusu olan hattın kime ait olduğudur. Doküman incelemesinde de belgenin kim tarafından, ne zaman ve hangi amaçla üretildiği bilinmeden yapılan bir analiz, zayıf bir zemine dayanmaktadır. İkincisi, vicâde ehlinin kullandığı ifade de üzerinde durulmaya değerdir. “Falanın hattıyla buldum” demek, bilginin hangi yoldan ve hangi bağlantı düzeyiyle elde edildiğini okura açıkça bildirmektir. Kanaatimizce nitel araştırmacı da kullandığı her dokümanın nereden, kimden ve hangi yolla elde edildiğini, aslı mı yoksa bir kopyası mı olduğunu raporunda aynı açıklıkla bildirmelidir.</w:t>
      </w:r>
    </w:p>
    <w:p>
      <w:pPr>
        <w:spacing w:after="120" w:line="360"/>
        <w:ind w:firstLine="567"/>
        <w:jc w:val="both"/>
      </w:pPr>
      <w:r>
        <w:rPr>
          <w:rFonts w:ascii="Times New Roman" w:cs="Traditional Arabic" w:eastAsia="Times New Roman" w:hAnsi="Times New Roman"/>
          <w:i w:val="false"/>
          <w:sz w:val="24"/>
          <w:szCs w:val="24"/>
        </w:rPr>
        <w:t xml:space="preserve">İki kavram arasındaki fark da kaydedilmelidir. Vicâde, bulunan metnin içerdiği hadisin rivayet edilmesine dairdir ve amaç o metnin içeriğini nakletmektir. Doküman incelemesinde ise araştırmacı belgeyi naklederek değil, inceleyerek kullanmaktadır. Belge, kendi içeriğinden çok, kendisini üreten bağlam hakkında bilgi veren bir veridir.</w:t>
      </w:r>
    </w:p>
    <w:p>
      <w:pPr>
        <w:pStyle w:val="Heading2"/>
        <w:keepNext/>
        <w:spacing w:after="120" w:before="240"/>
      </w:pPr>
      <w:r>
        <w:rPr>
          <w:rFonts w:ascii="Times New Roman" w:cs="Traditional Arabic" w:eastAsia="Times New Roman" w:hAnsi="Times New Roman"/>
          <w:b/>
          <w:bCs/>
          <w:i w:val="false"/>
          <w:sz w:val="24"/>
          <w:szCs w:val="24"/>
        </w:rPr>
        <w:t xml:space="preserve">9.3. Belgenin Korunması ve Mukâbele</w:t>
      </w:r>
    </w:p>
    <w:p>
      <w:pPr>
        <w:spacing w:after="120" w:line="360"/>
        <w:ind w:firstLine="567"/>
        <w:jc w:val="both"/>
      </w:pPr>
      <w:r>
        <w:rPr>
          <w:rFonts w:ascii="Times New Roman" w:cs="Traditional Arabic" w:eastAsia="Times New Roman" w:hAnsi="Times New Roman"/>
          <w:i w:val="false"/>
          <w:sz w:val="24"/>
          <w:szCs w:val="24"/>
        </w:rPr>
        <w:t xml:space="preserve">İbnü's-Salâh, kitaptaki semâ kaydına dayanılabilmesi için bu kaydın kişinin kendi hattıyla ya da güvendiği birinin hattıyla olmasını ve kitabın sahtecilik ve değiştirmeden büyük ihtimalle salim kalacak biçimde korunmuş olmasını şart koşmaktadır. Kişi bu kayıt hakkında şüpheye düşmediği ve gönlü onun sıhhatine yatıştığı takdirde ona dayanabilir, şüpheye düşerse ona itimat etmesi caiz değildir.</w:t>
      </w:r>
      <w:r>
        <w:rPr>
          <w:rStyle w:val="FootnoteReference"/>
        </w:rPr>
        <w:footnoteReference w:id="26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Aynı müellif, talebenin kitabını işittiği asıl ile ve kendisinden rivayet ettiği şeyhinin kitabıyla, bu bir icazet olsa bile, mukabele etmesi gerektiğini de belirtmektedir.</w:t>
      </w:r>
      <w:r>
        <w:rPr>
          <w:rStyle w:val="FootnoteReference"/>
        </w:rPr>
        <w:footnoteReference w:id="269"/>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“وَهُوَ أَنْ يَكُونَ السَّمَاعُ بِخَطِّهِ، أَوْ بِخَطِّ مَنْ يَثِقُ بِهِ، وَالْكِتَابُ مَصُونٌ بِحَيْثُ يَغْلِبُ عَلَى الظَّنِّ سَلَامَةُ ذَلِكَ مِنْ تَطَرُّقِ التَّزْوِيرِ، وَالتَّغْيِيرِ إِلَيْهِ، عَلَى نَحْوِ مَا سَبَقَ ذِكْرُهُ فِي ذَلِكَ. وَهَذَا إِذَا لَمْ يَتَشَكَّكْ فِيهِ، وَسَكَنَتْ نَفْسُهُ إِلَى صِحَّتِهِ، فَإِنْ تَشَكَّكَ فِيهِ لَمْ يَجُزِ الِاعْتِمَادُ عَلَيْهِ، وَاللَّهُ أَعْلَمُ.”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210, basılı s. 213]</w:t>
      </w:r>
    </w:p>
    <w:p>
      <w:pPr>
        <w:pStyle w:val="DogrulamaAR"/>
        <w:bidi/>
        <w:spacing w:after="20" w:line="300"/>
        <w:ind w:end="567"/>
        <w:jc w:val="both"/>
      </w:pPr>
      <w:r>
        <w:rPr>
          <w:rFonts w:ascii="Times New Roman" w:cs="Traditional Arabic" w:eastAsia="Times New Roman" w:hAnsi="Times New Roman"/>
          <w:i/>
          <w:iCs/>
          <w:sz w:val="24"/>
          <w:szCs w:val="30"/>
          <w:rtl/>
        </w:rPr>
        <w:t xml:space="preserve">“الْعَاشِرُ: عَلَى الطَّالِبِ مُقَابَلَةُ كِتَابِهِ بِأَصْلِ سَمَاعِهِ، وَكِتَابِ شَيْخِهِ الَّذِي يَرْوِيهِ عَنْهُ، وَإِنْ كَانَ إِجَازَةً.”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187, basılı s. 190]</w:t>
      </w:r>
    </w:p>
    <w:p>
      <w:pPr>
        <w:spacing w:after="120" w:line="360"/>
        <w:ind w:firstLine="567"/>
        <w:jc w:val="both"/>
      </w:pPr>
      <w:r>
        <w:rPr>
          <w:rFonts w:ascii="Times New Roman" w:cs="Traditional Arabic" w:eastAsia="Times New Roman" w:hAnsi="Times New Roman"/>
          <w:i w:val="false"/>
          <w:sz w:val="24"/>
          <w:szCs w:val="24"/>
        </w:rPr>
        <w:t xml:space="preserve">Mukâbele, bir kopyanın asılla satır satır karşılaştırılmasıdır. Yıldırım ve Şimşek'in “Elde edilen dokümanlar asıllarının aynı mıdır?” sorusu,</w:t>
      </w:r>
      <w:r>
        <w:rPr>
          <w:rStyle w:val="FootnoteReference"/>
        </w:rPr>
        <w:footnoteReference w:id="27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kadim uygulamanın modern doküman incelemesindeki karşılığı olarak okunabilir. Kanaatimizce mukâbele nitel araştırmada iki yerde uygulanabilir. Birincisi, araştırmacının elde ettiği dokümanların bir kopya ise aslıyla karşılaştırılmasıdır. İkincisi, araştırmacının kendi ürettiği belgelerin, yani görüşme dökümlerinin ses kayıtlarıyla karşılaştırılmasıdır. Her iki durumda da amaç, kopya ile asıl arasındaki farkların fark edilmesi ve giderilmesidir. Bu işlemin kaydının tutulması, araştırmanın denetlenebilirliğini de artırmaktadır.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264.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İbnü's-Salâh'ın korunmuş kitap şartı ise modern araştırmada veri güvenliğine karşılık gelmektedir. Araştırmacının elindeki ses kayıtları, dökümler ve dokümanlar, hem değiştirilmeye hem de yetkisiz kişilerin eline geçmeye karşı korunmalıdır. Klasik metinde koruma, rivayetin sıhhatini güvence altına almak içindir. Modern araştırmada ise bu kaygıya katılımcıların mahremiyetini koruma kaygısı da eklenmektedir.</w:t>
      </w:r>
    </w:p>
    <w:p>
      <w:pPr>
        <w:pStyle w:val="Heading2"/>
        <w:keepNext/>
        <w:spacing w:after="120" w:before="240"/>
      </w:pPr>
      <w:r>
        <w:rPr>
          <w:rFonts w:ascii="Times New Roman" w:cs="Traditional Arabic" w:eastAsia="Times New Roman" w:hAnsi="Times New Roman"/>
          <w:b/>
          <w:bCs/>
          <w:i w:val="false"/>
          <w:sz w:val="24"/>
          <w:szCs w:val="24"/>
        </w:rPr>
        <w:t xml:space="preserve">9.4. Belgeye Karışan Sözler: İdrâc</w:t>
      </w:r>
    </w:p>
    <w:p>
      <w:pPr>
        <w:spacing w:after="120" w:line="360"/>
        <w:ind w:firstLine="567"/>
        <w:jc w:val="both"/>
      </w:pPr>
      <w:r>
        <w:rPr>
          <w:rFonts w:ascii="Times New Roman" w:cs="Traditional Arabic" w:eastAsia="Times New Roman" w:hAnsi="Times New Roman"/>
          <w:i w:val="false"/>
          <w:sz w:val="24"/>
          <w:szCs w:val="24"/>
        </w:rPr>
        <w:t xml:space="preserve">Hadis usulünde bir rivayete sonradan karışan sözler idrâc kavramıyla incelenmiştir. İbnü's-Salâh müdrecin türlerinden birini şöyle tanımlamaktadır: Sahâbî ya da ondan sonraki bir râvi, rivayet ettiği hadisin hemen ardından kendi katından bir söz söylemekte, ondan sonra gelen kişi ise bu sözü, söyleyenini zikrederek ayırmadan hadise bitişik olarak rivayet etmektedir. Böylece gerçek durumu bilmeyen kimse için mesele karışmakta ve bütün sözün Resûlullah'a ait olduğu zannedilmektedir.</w:t>
      </w:r>
      <w:r>
        <w:rPr>
          <w:rStyle w:val="FootnoteReference"/>
        </w:rPr>
        <w:footnoteReference w:id="27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“مِنْهَا: مَا أُدْرِجَ فِي حَدِيثِ رَسُولِ اللَّهِ ﷺ مِنْ كَلَامِ بَعْضِ رُوَاتِهِ، بِأَنْ يَذْكُرَ الصَّحَابِيُّ أَوْ مَنْ بَعْدَهُ عَقِيبَ مَا يَرْوِيهِ مِنَ الْحَدِيثِ كَلَامًا مِنْ عِنْدِ نَفْسِهِ، فَيَرْوِيَهُ مَنْ بَعْدَهُ مَوْصُولًا بِالْحَدِيثِ غَيْرَ فَاصِلٍ بَيْنَهُمَا بِذِكْرِ قَائِلِهِ، فَيَلْتَبِسَ الْأَمْرُ فِيهِ عَلَى مَنْ لَا يَعْلَمُ حَقِيقَةَ الْحَالِ، وَيَتَوَهَّمَ أَنَّ الْجَمِيعَ عَنْ رَسُولِ اللَّهِ ﷺ.”</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92, basılı s. 95]</w:t>
      </w:r>
    </w:p>
    <w:p>
      <w:pPr>
        <w:spacing w:after="120" w:line="360"/>
        <w:ind w:firstLine="567"/>
        <w:jc w:val="both"/>
      </w:pPr>
      <w:r>
        <w:rPr>
          <w:rFonts w:ascii="Times New Roman" w:cs="Traditional Arabic" w:eastAsia="Times New Roman" w:hAnsi="Times New Roman"/>
          <w:i w:val="false"/>
          <w:sz w:val="24"/>
          <w:szCs w:val="24"/>
        </w:rPr>
        <w:t xml:space="preserve">İdrâc kavramı doküman incelemesinde yaygın bir soruna işaret etmektedir. Belgeler her zaman tek bir elden çıkmamaktadır. Bir öğretim programına sonradan açıklamalar eklenebilmekte, bir ders kitabının yeni baskısında bazı kutular ya da etkinlikler değiştirilebilmekte, bir hutbe metni okunurken genişletilebilmektedir. Araştırmacı, belgenin hangi kısmının asıl metne, hangi kısmının sonraki eklemelere ait olduğunu ayırt edemezse, eklemeyi asıl metnin sahibine nispet etme hatasına düşebilir.</w:t>
      </w:r>
    </w:p>
    <w:p>
      <w:pPr>
        <w:spacing w:after="120" w:line="360"/>
        <w:ind w:firstLine="567"/>
        <w:jc w:val="both"/>
      </w:pPr>
      <w:r>
        <w:rPr>
          <w:rFonts w:ascii="Times New Roman" w:cs="Traditional Arabic" w:eastAsia="Times New Roman" w:hAnsi="Times New Roman"/>
          <w:i w:val="false"/>
          <w:sz w:val="24"/>
          <w:szCs w:val="24"/>
        </w:rPr>
        <w:t xml:space="preserve">Bu kitabın hazırlanması sırasında yaşanan bir tecrübe bu sorunu somut biçimde göstermektedir. el-Mektebetü'ş-Şâmile'deki eserlerde yer alan bölüm başlıklarının bir kısmı müellife değil, eseri neşre hazırlayan muhakkike aittir. Bu çalışmada incelenen eserlerin girişlerindeki “mukaddime” sayfaları da çoğu zaman muhakkikin girişidir. Dipnotlar da büyük ölçüde muhakkikin açıklamalarını içermektedir. Bu nedenle bu kitapta köşeli ayraç içinde verilen ya da muhakkike ait olduğu anlaşılan başlıklar ve dipnotlar müellifin sözü gibi aktarılmamıştır. Buhârî'nin </w:t>
      </w:r>
      <w:r>
        <w:rPr>
          <w:rFonts w:ascii="Times New Roman" w:cs="Traditional Arabic" w:eastAsia="Times New Roman" w:hAnsi="Times New Roman"/>
          <w:i/>
          <w:iCs/>
          <w:sz w:val="24"/>
          <w:szCs w:val="24"/>
        </w:rPr>
        <w:t xml:space="preserve">Sahîh</w:t>
      </w:r>
      <w:r>
        <w:rPr>
          <w:rFonts w:ascii="Times New Roman" w:cs="Traditional Arabic" w:eastAsia="Times New Roman" w:hAnsi="Times New Roman"/>
          <w:i w:val="false"/>
          <w:sz w:val="24"/>
          <w:szCs w:val="24"/>
        </w:rPr>
        <w:t xml:space="preserve">'indeki bab başlıkları ise köşeli ayraç içinde değil, metnin içinde yer aldığı için müellife nispet edilmiş, bab numaraları bu nispetin dışında tutulmuştur. Kanaatimizce bu durum, idrâc kavramının dijital çağda da canlılığını koruduğunu göstermektedir. Belge ile belgenin etrafına sonradan eklenenleri ayırt etmek, doküman inceleyen her araştırmacının sorumluluğudur.</w:t>
      </w:r>
    </w:p>
    <w:p>
      <w:pPr>
        <w:spacing w:after="120" w:line="360"/>
        <w:ind w:firstLine="567"/>
        <w:jc w:val="both"/>
      </w:pPr>
      <w:r>
        <w:rPr>
          <w:rFonts w:ascii="Times New Roman" w:cs="Traditional Arabic" w:eastAsia="Times New Roman" w:hAnsi="Times New Roman"/>
          <w:i w:val="false"/>
          <w:sz w:val="24"/>
          <w:szCs w:val="24"/>
        </w:rPr>
        <w:t xml:space="preserve">Benzerliğin sınırı ise idrâcın hadis usulünde bir rivayetin sıhhatini doğrudan etkileyen bir kusur olmasıdır. Doküman incelemesinde ise eklemeler kendi başına incelenmeye değer bir veri olabilir. Bir öğretim programının yıllar içinde nasıl değiştiğini, hangi açıklamaların eklenip hangilerinin çıkarıldığını incelemek, din eğitimi politikalarının tarihine dair değerli bulgular sunabilir. Önemli olan, eklemenin ekleme olarak tanınmasıdır.</w:t>
      </w:r>
    </w:p>
    <w:p>
      <w:pPr>
        <w:pStyle w:val="Heading2"/>
        <w:keepNext/>
        <w:spacing w:after="120" w:before="240"/>
      </w:pPr>
      <w:r>
        <w:rPr>
          <w:rFonts w:ascii="Times New Roman" w:cs="Traditional Arabic" w:eastAsia="Times New Roman" w:hAnsi="Times New Roman"/>
          <w:b/>
          <w:bCs/>
          <w:i w:val="false"/>
          <w:sz w:val="24"/>
          <w:szCs w:val="24"/>
        </w:rPr>
        <w:t xml:space="preserve">9.5. İçerikten Hareketle Değerlendirme ve Meleke</w:t>
      </w:r>
    </w:p>
    <w:p>
      <w:pPr>
        <w:spacing w:after="120" w:line="360"/>
        <w:ind w:firstLine="567"/>
        <w:jc w:val="both"/>
      </w:pPr>
      <w:r>
        <w:rPr>
          <w:rFonts w:ascii="Times New Roman" w:cs="Traditional Arabic" w:eastAsia="Times New Roman" w:hAnsi="Times New Roman"/>
          <w:i w:val="false"/>
          <w:sz w:val="24"/>
          <w:szCs w:val="24"/>
        </w:rPr>
        <w:t xml:space="preserve">Bir belgenin özgünlüğü bazen dış bilgilerle değil, içeriğinin kendisiyle sorgulanmaktadır. İbnü'l-Kayyim </w:t>
      </w:r>
      <w:r>
        <w:rPr>
          <w:rFonts w:ascii="Times New Roman" w:cs="Traditional Arabic" w:eastAsia="Times New Roman" w:hAnsi="Times New Roman"/>
          <w:i/>
          <w:iCs/>
          <w:sz w:val="24"/>
          <w:szCs w:val="24"/>
        </w:rPr>
        <w:t xml:space="preserve">el-Menârü'l-münîf</w:t>
      </w:r>
      <w:r>
        <w:rPr>
          <w:rFonts w:ascii="Times New Roman" w:cs="Traditional Arabic" w:eastAsia="Times New Roman" w:hAnsi="Times New Roman"/>
          <w:i w:val="false"/>
          <w:sz w:val="24"/>
          <w:szCs w:val="24"/>
        </w:rPr>
        <w:t xml:space="preserve">'te kendisine uydurma hadisin senedine bakılmaksızın bir ölçüyle bilinip bilinemeyeceğinin sorulduğunu anlatmaktadır.</w:t>
      </w:r>
      <w:r>
        <w:rPr>
          <w:rStyle w:val="FootnoteReference"/>
        </w:rPr>
        <w:footnoteReference w:id="27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Cevabında bunun kadri büyük bir soru olduğunu, bunu ancak sahih sünnetlerin bilgisine doymuş, bu bilgi etine ve kanına karışmış ve onda bir meleke kazanmış kimsenin bilebileceğini söylemektedir.</w:t>
      </w:r>
      <w:r>
        <w:rPr>
          <w:rStyle w:val="FootnoteReference"/>
        </w:rPr>
        <w:footnoteReference w:id="27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Böyle bir kimse Resûlullah'ın hallerinden, yolundan, sözünden, onun söylemesi caiz olan ve olmayan şeylerden başkasının bilmediğini bilmektedir. İbnü'l-Kayyim'e göre bu, her tabi olanın tabi olduğu kimseyle durumudur.</w:t>
      </w:r>
      <w:r>
        <w:rPr>
          <w:rStyle w:val="FootnoteReference"/>
        </w:rPr>
        <w:footnoteReference w:id="27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“وَسُئِلْتُ: هَلْ يُمْكِنُ مَعْرِفَةُ الْحَدِيثِ الْمَوْضُوعِ بِضَابِطٍ مِنْ غَيْرِ أَنْ يُنْظَرَ فِي سَنَدِهِ؟”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8566, page_id 25, basılı s. 43]</w:t>
      </w:r>
    </w:p>
    <w:p>
      <w:pPr>
        <w:pStyle w:val="DogrulamaAR"/>
        <w:bidi/>
        <w:spacing w:after="20" w:line="300"/>
        <w:ind w:end="567"/>
        <w:jc w:val="both"/>
      </w:pPr>
      <w:r>
        <w:rPr>
          <w:rFonts w:ascii="Times New Roman" w:cs="Traditional Arabic" w:eastAsia="Times New Roman" w:hAnsi="Times New Roman"/>
          <w:i/>
          <w:iCs/>
          <w:sz w:val="24"/>
          <w:szCs w:val="30"/>
          <w:rtl/>
        </w:rPr>
        <w:t xml:space="preserve">“فَهَذَا سُؤَالٌ عَظِيمُ الْقَدْرِ وَإِنَّمَا يَعْلَمُ ذَلِكَ مَنْ تَضَلَّعَ فِي مَعْرِفَةِ السَّنَنِ الصَّحِيحَةِ وَاخْتَلَطَتْ بِلَحْمِهِ وَدَمِّهِ وَصَارَ لَهُ فِيهَا مَلَكَةٌ”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8566, page_id 26, basılı s. 44]</w:t>
      </w:r>
    </w:p>
    <w:p>
      <w:pPr>
        <w:pStyle w:val="DogrulamaAR"/>
        <w:bidi/>
        <w:spacing w:after="20" w:line="300"/>
        <w:ind w:end="567"/>
        <w:jc w:val="both"/>
      </w:pPr>
      <w:r>
        <w:rPr>
          <w:rFonts w:ascii="Times New Roman" w:cs="Traditional Arabic" w:eastAsia="Times New Roman" w:hAnsi="Times New Roman"/>
          <w:i/>
          <w:iCs/>
          <w:sz w:val="24"/>
          <w:szCs w:val="30"/>
          <w:rtl/>
        </w:rPr>
        <w:t xml:space="preserve">“فَمِثْلُ هَذَا يَعْرِفُ مِنْ أَحْوَالِ الرَّسُولِ ﷺ وَهَدْيِهِ وَكَلامِهِ وَمَا يَجُوزُ أَنْ يُخْبِرَ بِهِ وَمَا لا يَجُوزُ مَا لا يَعْرِفُهُ غَيْرُهُ وَهَذَا شَأْنُ كُلِّ مُتَّبِعٍ مَعَ مَتْبُوعِهِ”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8566, page_id 26, basılı s. 44]</w:t>
      </w:r>
    </w:p>
    <w:p>
      <w:pPr>
        <w:spacing w:after="120" w:line="360"/>
        <w:ind w:firstLine="567"/>
        <w:jc w:val="both"/>
      </w:pPr>
      <w:r>
        <w:rPr>
          <w:rFonts w:ascii="Times New Roman" w:cs="Traditional Arabic" w:eastAsia="Times New Roman" w:hAnsi="Times New Roman"/>
          <w:i w:val="false"/>
          <w:sz w:val="24"/>
          <w:szCs w:val="24"/>
        </w:rPr>
        <w:t xml:space="preserve">Yıldırım ve Şimşek'in doküman incelemesi için sıraladığı sorulardan biri bu düşünceye oldukça yakındır. Yazarlar araştırmacının araştırmaya konu olan kişi ya da kurumları yakından tanıdığı durumlarda, dokümanlardaki olayların ya da kişilerin tanımının gerçeğe uygun görünüp görünmediğini sormasını önermektedir.</w:t>
      </w:r>
      <w:r>
        <w:rPr>
          <w:rStyle w:val="FootnoteReference"/>
        </w:rPr>
        <w:footnoteReference w:id="27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Her iki metinde de değerlendirmenin dayanağı, değerlendirenin konuyu yakından tanımasıdır. Bir dönemin din eğitimi belgelerini yıllarca incelemiş bir araştırmacı, o döneme ait olduğu iddia edilen bir belgenin dilinin, kavramlarının ve önceliklerinin döneme uyup uymadığını sezebilmektedir.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“Araştırmacının araştırmaya konu olan kişi veya kurumları yakından tanıdığı durumlarda, dokümanlarda olayların veya kişilerin tanımı gerçeğe uygun görünüyor mu?”</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195, PDF s. 193]</w:t>
      </w:r>
    </w:p>
    <w:p>
      <w:pPr>
        <w:spacing w:after="120" w:line="360"/>
        <w:ind w:firstLine="567"/>
        <w:jc w:val="both"/>
      </w:pPr>
      <w:r>
        <w:rPr>
          <w:rFonts w:ascii="Times New Roman" w:cs="Traditional Arabic" w:eastAsia="Times New Roman" w:hAnsi="Times New Roman"/>
          <w:i w:val="false"/>
          <w:sz w:val="24"/>
          <w:szCs w:val="24"/>
        </w:rPr>
        <w:t xml:space="preserve">Bu benzerliğin iki sınırı vardır. Birincisi, İbnü'l-Kayyim'e yöneltilen soru</w:t>
      </w:r>
      <w:r>
        <w:rPr>
          <w:rStyle w:val="FootnoteReference"/>
        </w:rPr>
        <w:footnoteReference w:id="27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Hz. Peygamber'e nispet edilen sözlerin sıhhatine dairdir ve dinî bir otoritenin korunmasıyla ilgilidir. Doküman incelemesindeki soru ise sıradan bir belgenin aidiyetine dairdir. İkincisi, melekeye dayanan bir değerlendirme başkaları tarafından kolayca denetlenememektedir. Kanaatimizce nitel araştırmacı bu yüzden sezgisini tek başına bir delil olarak sunmamalı, sezgisini harekete geçiren dil, kavram ve bağlam işaretlerini raporunda açıkça göstermelidir. Ayrıca bu ölçüt katılımcıların görüşme anlatımlarına uygulanmamalıdır. Bir katılımcının anlatımının araştırmacının beklentisine uymaması, onun “uydurma” olduğunu değil, araştırmacının henüz bilmediği bir tecrübenin var olduğunu gösterebilir.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272.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9.6. Dokümanların Birbiriyle ve Diğer Verilerle Karşılaştırılması</w:t>
      </w:r>
    </w:p>
    <w:p>
      <w:pPr>
        <w:spacing w:after="120" w:line="360"/>
        <w:ind w:firstLine="567"/>
        <w:jc w:val="both"/>
      </w:pPr>
      <w:r>
        <w:rPr>
          <w:rFonts w:ascii="Times New Roman" w:cs="Traditional Arabic" w:eastAsia="Times New Roman" w:hAnsi="Times New Roman"/>
          <w:i w:val="false"/>
          <w:sz w:val="24"/>
          <w:szCs w:val="24"/>
        </w:rPr>
        <w:t xml:space="preserve">Yıldırım ve Şimşek dokümanların analizi sırasında bir dokümanda ifade edilen şeylerin başka dokümanlarla teyit edilip edilemediğini, dokümanlar arasında belli olay ve olgulara ilişkin farklı bakış açıları ve yorumlar bulunup bulunmadığını sormayı önermektedir. Yazarlara göre böyle farklılıklar, aynı olay ya da olgulara farklı kişi, kurum ya da birimler tarafından farklı anlamlar verildiğini gösterebilir.</w:t>
      </w:r>
      <w:r>
        <w:rPr>
          <w:rStyle w:val="FootnoteReference"/>
        </w:rPr>
        <w:footnoteReference w:id="27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Dokümanlar görüşme ve gözlemle birlikte kullanıldığında ise araştırmacı bunları, diğer yollarla elde ettiği verileri desteklemek, çürütmek ya da bulduğu sonuçlara alternatif açıklamalar getirmek amacıyla kullanabilmektedir.</w:t>
      </w:r>
      <w:r>
        <w:rPr>
          <w:rStyle w:val="FootnoteReference"/>
        </w:rPr>
        <w:footnoteReference w:id="27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“Bir dokümanda ifade edilen şeyler, başka dokümanlarda ifade edilenler yoluyla teyit edilebiliyor mu? Dokümanlar arasında belirli olay ve olgulara ilişkin olarak, farklı bakış açıları ve yorumlar mevcut mu? Eğer böylesi bir durum söz konusu ise bu durum, aynı olay veya olgulara; farklı kişi, kurum veya bölümler tarafından farklı anlamlar verildiğini gösterebilir.”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196, PDF s. 194]</w:t>
      </w:r>
    </w:p>
    <w:p>
      <w:pPr>
        <w:pStyle w:val="Dogrulama"/>
        <w:spacing w:after="20" w:line="276"/>
        <w:ind w:left="567"/>
        <w:jc w:val="both"/>
      </w:pPr>
      <w:r>
        <w:rPr>
          <w:rFonts w:ascii="Times New Roman" w:cs="Traditional Arabic" w:eastAsia="Times New Roman" w:hAnsi="Times New Roman"/>
          <w:i/>
          <w:iCs/>
          <w:sz w:val="22"/>
          <w:szCs w:val="22"/>
        </w:rPr>
        <w:t xml:space="preserve">“İkinci durumda, yani dokümanların diğer veri toplama yöntemleriyle birlikte kullanılması durumunda, karmaşık bir veri analizine ihtiyaç olmayabilir. Çünkü araştırmacı dokümanlardan elde edeceği verileri, görüşme veya gözlemler yoluyla elde edeceği verileri desteklemek, çürütmek veya bulduğu sonuçlara alternatif açıklamalar getirmek amacıyla kullanabilir.”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197, PDF s. 195]</w:t>
      </w:r>
    </w:p>
    <w:p>
      <w:pPr>
        <w:spacing w:after="120" w:line="360"/>
        <w:ind w:firstLine="567"/>
        <w:jc w:val="both"/>
      </w:pPr>
      <w:r>
        <w:rPr>
          <w:rFonts w:ascii="Times New Roman" w:cs="Traditional Arabic" w:eastAsia="Times New Roman" w:hAnsi="Times New Roman"/>
          <w:i w:val="false"/>
          <w:sz w:val="24"/>
          <w:szCs w:val="24"/>
        </w:rPr>
        <w:t xml:space="preserve">Bu yaklaşımda dokümanlar arasındaki farklılık bir kusur değil, bir veri olarak görülmektedir. Bir okulun resmî faaliyet raporunda “başarıyla tamamlandı” diye kaydedilen bir değerler eğitimi projesi, öğretmenlerin toplantı tutanaklarında farklı bir dille anlatılıyor olabilir. Araştırmacı bu farkı birinin doğru, ötekinin yanlış olduğunu göstermek için değil, aynı projenin farklı konumlardaki kişiler için ne anlam taşıdığını anlamak için incelemelidir.</w:t>
      </w:r>
    </w:p>
    <w:p>
      <w:pPr>
        <w:pStyle w:val="Heading2"/>
        <w:keepNext/>
        <w:spacing w:after="120" w:before="240"/>
      </w:pPr>
      <w:r>
        <w:rPr>
          <w:rFonts w:ascii="Times New Roman" w:cs="Traditional Arabic" w:eastAsia="Times New Roman" w:hAnsi="Times New Roman"/>
          <w:b/>
          <w:bCs/>
          <w:i w:val="false"/>
          <w:sz w:val="24"/>
          <w:szCs w:val="24"/>
        </w:rPr>
        <w:t xml:space="preserve">9.7. İzin ve Mahremiyet</w:t>
      </w:r>
    </w:p>
    <w:p>
      <w:pPr>
        <w:spacing w:after="120" w:line="360"/>
        <w:ind w:firstLine="567"/>
        <w:jc w:val="both"/>
      </w:pPr>
      <w:r>
        <w:rPr>
          <w:rFonts w:ascii="Times New Roman" w:cs="Traditional Arabic" w:eastAsia="Times New Roman" w:hAnsi="Times New Roman"/>
          <w:i w:val="false"/>
          <w:sz w:val="24"/>
          <w:szCs w:val="24"/>
        </w:rPr>
        <w:t xml:space="preserve">Dokümanların kullanımı etik sorular da doğurmaktadır. Yıldırım ve Şimşek, araştırmacının dokümanı sağlayan kişi ve kurumlara bu dokümanları raporunda kullanıp kullanamayacağını ve onlara açıkça atıf yapıp yapamayacağını da sorması gerektiğini belirtmektedir.</w:t>
      </w:r>
      <w:r>
        <w:rPr>
          <w:rStyle w:val="FootnoteReference"/>
        </w:rPr>
        <w:footnoteReference w:id="27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bir dokümanda adı geçen kişi, grup ya da kurumların isimleri gizli tutulmalı, raporda kullanılacaksa gerçek isimler yerine takma isimler kullanılmalıdır.</w:t>
      </w:r>
      <w:r>
        <w:rPr>
          <w:rStyle w:val="FootnoteReference"/>
        </w:rPr>
        <w:footnoteReference w:id="28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 alanında öğrenci yazıları, rehberlik kayıtları ya da veli yazışmaları gibi belgeler, kişisel ve kimi zaman mahrem bilgiler içerebilmektedir. Bu belgelerin kullanımı on üçüncü bölümde ele alınacak etik ilkelerin özellikle titizlikle uygulanmasını gerektirmektedir.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“Dokümanlar elde edilirken araştırmacı, dokümanı sağlayan kişi ve kurumlara, elde ettiği dokümanları araştırma raporunda kullanıp kullanamayacağını, bu dokümanlara açıkça referans verip veremeyeceğini de sormalıdır.”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196, PDF s. 194]</w:t>
      </w:r>
    </w:p>
    <w:p>
      <w:pPr>
        <w:pStyle w:val="Dogrulama"/>
        <w:spacing w:after="20" w:line="276"/>
        <w:ind w:left="567"/>
        <w:jc w:val="both"/>
      </w:pPr>
      <w:r>
        <w:rPr>
          <w:rFonts w:ascii="Times New Roman" w:cs="Traditional Arabic" w:eastAsia="Times New Roman" w:hAnsi="Times New Roman"/>
          <w:i/>
          <w:iCs/>
          <w:sz w:val="22"/>
          <w:szCs w:val="22"/>
        </w:rPr>
        <w:t xml:space="preserve">“İkinci olarak, bir dokümanda adı geçen veya konu edilen kişi, grup veya kurumların isimleri mutlaka gizli tutulmalı, eğer bir şekilde araştırma raporunda kullanılacaksa, gerçek isimler yerine takma isimler kullanılmalıdır.”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201, PDF s. 199]</w:t>
      </w:r>
    </w:p>
    <w:p>
      <w:pPr>
        <w:pStyle w:val="Heading2"/>
        <w:keepNext/>
        <w:spacing w:after="120" w:before="240"/>
      </w:pPr>
      <w:r>
        <w:rPr>
          <w:rFonts w:ascii="Times New Roman" w:cs="Traditional Arabic" w:eastAsia="Times New Roman" w:hAnsi="Times New Roman"/>
          <w:b/>
          <w:bCs/>
          <w:i w:val="false"/>
          <w:sz w:val="24"/>
          <w:szCs w:val="24"/>
        </w:rPr>
        <w:t xml:space="preserve">9.8. Din Eğitimi Uygulaması: Programlar, Kitaplar, Hutbeler ve Öğrenci Yazıları</w:t>
      </w:r>
    </w:p>
    <w:p>
      <w:pPr>
        <w:spacing w:after="120" w:line="360"/>
        <w:ind w:firstLine="567"/>
        <w:jc w:val="both"/>
      </w:pPr>
      <w:r>
        <w:rPr>
          <w:rFonts w:ascii="Times New Roman" w:cs="Traditional Arabic" w:eastAsia="Times New Roman" w:hAnsi="Times New Roman"/>
          <w:i w:val="false"/>
          <w:sz w:val="24"/>
          <w:szCs w:val="24"/>
        </w:rPr>
        <w:t xml:space="preserve">Din eğitimi araştırmacısının inceleyebileceği dokümanlar kabaca üç gruba ayrılabilir. Birinci grup resmî belgelerdir: öğretim programları, ders kitapları, yönetmelikler ve kurumsal raporlar. İkinci grup din hizmetlerinde üretilen metinlerdir: hutbeler, vaaz metinleri ve fetvalar. Üçüncü grup ise kişisel belgelerdir: öğrenci yazıları, öğretmenlerin ders planları ve günlükleri, ailelerin yazışmaları. Her grup, doküman incelemesinin farklı bir yönünü öne çıkarmaktadır. Resmî belgelerde değişikliklerin ve eklemelerin izlenmesi, din hizmetleri metinlerinde dilin ve muhatabın incelenmesi, kişisel belgelerde ise mahremiyetin korunması öncelik kazanmaktadır.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Bir doküman inceleme kayıt formu</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Belge: Bir ilçe müftülüğünün internet sayfasında yayımlanmış, gençlere yönelik bir cuma hutbesi metni.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Aidiyet: Metnin hazırlayanı sayfada belirtilmemiştir. Araştırmacı müftülükle iletişime geçerek metnin merkezden gönderilen bir metin mi yoksa yerel olarak mı hazırlandığını sormuştur. Cevap kaydedilmiştir.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Asıl ve kopya: İnternet sayfasındaki metin, camide okunan metinle karşılaştırılmıştır. Hutbeyi okuyan imamın izniyle alınan ses kaydında, imamın metne iki paragraf eklediği görülmüştür. Bu eklemeler raporda ayrı olarak gösterilecektir.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Bağlam: Hutbenin okunduğu tarih, o hafta yaşanan toplumsal olaylar ve caminin bulunduğu mahallenin özellikleri not edilmiştir.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Analiz notu: Metinde gençlere hitap eden kısımlarda “sizler” ve “biz” zamirlerinin kullanımı, gençlerin bir muhatap mı yoksa bir mesele mi olarak konumlandırıldığı sorusuyla incelenecektir.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örnekte araştırmacı, vicâdedeki aidiyet kaygısını, mukâbeledeki asıl ile kopyayı karşılaştırma alışkanlığını ve idrâc kavramının işaret ettiği ekleme sorununu bir arada uygulamaktadır. İmamın metne eklediği paragraflar, onun cemaatini nasıl tanıdığına dair değerli bir veridir. Ancak bu paragrafları merkezden gönderilen metnin parçası gibi sunmak, idrâc türünden bir hata olur.</w:t>
      </w:r>
    </w:p>
    <w:p>
      <w:pPr>
        <w:keepNext/>
        <w:spacing w:after="80" w:before="200"/>
      </w:pPr>
      <w:r>
        <w:rPr>
          <w:rFonts w:ascii="Times New Roman" w:cs="Traditional Arabic" w:eastAsia="Times New Roman" w:hAnsi="Times New Roman"/>
          <w:b/>
          <w:bCs/>
          <w:i w:val="false"/>
          <w:sz w:val="22"/>
          <w:szCs w:val="22"/>
        </w:rPr>
        <w:t xml:space="preserve">Tablo 9.1. Dokuzuncu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1348"/>
        <w:gridCol w:w="857"/>
        <w:gridCol w:w="1470"/>
        <w:gridCol w:w="1838"/>
        <w:gridCol w:w="2206"/>
        <w:gridCol w:w="1348"/>
      </w:tblGrid>
      <w:tr>
        <w:trPr>
          <w:cantSplit/>
          <w:tblHeader/>
        </w:trPr>
        <w:tc>
          <w:tcPr>
            <w:tcW w:type="dxa" w:w="134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857"/>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47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83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2206"/>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34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Belgenin değeri</w:t>
            </w:r>
          </w:p>
        </w:tc>
        <w:tc>
          <w:tcPr>
            <w:tcW w:type="dxa" w:w="85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Yazının haberin bir türü olması</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Bîrûnî, Tahkîku mâ li'l-Hind, 13 (Şamile 11655)</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Görülemeyen geçmişin yazı yoluyla bilinmesi</w:t>
            </w:r>
          </w:p>
        </w:tc>
        <w:tc>
          <w:tcPr>
            <w:tcW w:type="dxa" w:w="220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Bîrûnî içeriği nakletmek için, nitel araştırmacı bağlamı anlamak için okur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Din eğitimi tarihine dair belgelerin incelenmesi</w:t>
            </w:r>
          </w:p>
        </w:tc>
      </w:tr>
      <w:tr>
        <w:trPr>
          <w:cantSplit/>
        </w:trPr>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Belgenin aidiyeti ve elde ediliş yolunun bildirilmesi</w:t>
            </w:r>
          </w:p>
        </w:tc>
        <w:tc>
          <w:tcPr>
            <w:tcW w:type="dxa" w:w="85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Vicâde</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178 (Şamile 22870)</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Hattın kime ait olduğunun bilinmesi ve elde ediliş yolunun açıkça söylenmesi</w:t>
            </w:r>
          </w:p>
        </w:tc>
        <w:tc>
          <w:tcPr>
            <w:tcW w:type="dxa" w:w="220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Vicâde içeriği rivayet etmeye, doküman incelemesi belgeyi veri olarak incelemeye yöneliktir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Belgelerin kaynağının raporda açıkça belirtilmesi</w:t>
            </w:r>
          </w:p>
        </w:tc>
      </w:tr>
      <w:tr>
        <w:trPr>
          <w:cantSplit/>
        </w:trPr>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Kopyanın asılla karşılaştırılması ve denetim izi</w:t>
            </w:r>
          </w:p>
        </w:tc>
        <w:tc>
          <w:tcPr>
            <w:tcW w:type="dxa" w:w="85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Mukâbele</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190 (Şamile 22870)</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Kopya ile asıl arasındaki farkların giderilmesi</w:t>
            </w:r>
          </w:p>
        </w:tc>
        <w:tc>
          <w:tcPr>
            <w:tcW w:type="dxa" w:w="220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Mukâbele rivayetin sıhhati içindir, denetim izi araştırmanın şeffaflığı içindir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Döküm ile ses kaydının karşılaştırılması</w:t>
            </w:r>
          </w:p>
        </w:tc>
      </w:tr>
      <w:tr>
        <w:trPr>
          <w:cantSplit/>
        </w:trPr>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Veri güvenliği</w:t>
            </w:r>
          </w:p>
        </w:tc>
        <w:tc>
          <w:tcPr>
            <w:tcW w:type="dxa" w:w="85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Korunmuş kitap</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213 (Şamile 22870)</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Kaydın değiştirilmeye karşı korunması</w:t>
            </w:r>
          </w:p>
        </w:tc>
        <w:tc>
          <w:tcPr>
            <w:tcW w:type="dxa" w:w="220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Modern araştırmaya mahremiyet kaygısı eklenmektedir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Ses kayıtlarının ve dökümlerin korunması</w:t>
            </w:r>
          </w:p>
        </w:tc>
      </w:tr>
      <w:tr>
        <w:trPr>
          <w:cantSplit/>
        </w:trPr>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Belgeye sonradan eklenenlerin ayırt edilmesi</w:t>
            </w:r>
          </w:p>
        </w:tc>
        <w:tc>
          <w:tcPr>
            <w:tcW w:type="dxa" w:w="85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İdrâc (müdrec)</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95 (Şamile 22870)</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Eklemenin asıl söze nispet edilmesinin önlenmesi</w:t>
            </w:r>
          </w:p>
        </w:tc>
        <w:tc>
          <w:tcPr>
            <w:tcW w:type="dxa" w:w="220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İdrâc bir kusurdur, doküman incelemesinde ekleme kendi başına bir veri olabilir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Program ve kitap baskılarının karşılaştırılması</w:t>
            </w:r>
          </w:p>
        </w:tc>
      </w:tr>
      <w:tr>
        <w:trPr>
          <w:cantSplit/>
        </w:trPr>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İçerikten hareketle değerlendirme</w:t>
            </w:r>
          </w:p>
        </w:tc>
        <w:tc>
          <w:tcPr>
            <w:tcW w:type="dxa" w:w="85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Meleke</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İbnü'l-Kayyim, el-Menârü'l-münîf, 43-44 (Şamile 8566)</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Uzun yakınlıktan doğan değerlendirme gücü</w:t>
            </w:r>
          </w:p>
        </w:tc>
        <w:tc>
          <w:tcPr>
            <w:tcW w:type="dxa" w:w="220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Meleke başkalarınca denetlenemez, araştırmacı gerekçelerini göstermelidir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Tarihî belgelerin döneme uygunluğunun sınanması</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ONUNCU BÖLÜM</w:t>
      </w:r>
    </w:p>
    <w:p>
      <w:pPr>
        <w:pStyle w:val="Heading1"/>
        <w:spacing w:after="360"/>
        <w:jc w:val="center"/>
      </w:pPr>
      <w:r>
        <w:rPr>
          <w:rFonts w:ascii="Times New Roman" w:cs="Traditional Arabic" w:eastAsia="Times New Roman" w:hAnsi="Times New Roman"/>
          <w:b/>
          <w:bCs/>
          <w:i w:val="false"/>
          <w:color w:val="1F3864"/>
          <w:sz w:val="28"/>
          <w:szCs w:val="28"/>
        </w:rPr>
        <w:t xml:space="preserve">10. Mecazlar Yoluyla Veri Toplama</w:t>
      </w:r>
    </w:p>
    <w:p>
      <w:pPr>
        <w:spacing w:after="120" w:line="360"/>
        <w:ind w:firstLine="567"/>
        <w:jc w:val="both"/>
      </w:pPr>
      <w:r>
        <w:rPr>
          <w:rFonts w:ascii="Times New Roman" w:cs="Traditional Arabic" w:eastAsia="Times New Roman" w:hAnsi="Times New Roman"/>
          <w:i w:val="false"/>
          <w:sz w:val="24"/>
          <w:szCs w:val="24"/>
        </w:rPr>
        <w:t xml:space="preserve">İnsanlar soyut ve zor ifade edilen tecrübelerini benzetmelerle de anlatmaktadır. Bir öğrencinin din kültürü dersini “bir pencere” olarak, bir başkasının “bir sınav salonu” olarak anması, bu dersle kurdukları ilişkiyi uzun açıklamalardan daha çarpıcı biçimde ortaya koyabilir. Nitel araştırmada mecazı merkeze alan veri toplama çalışmalarının bulunması bu bakımdan şaşırtıcı değildir.</w:t>
      </w:r>
      <w:r>
        <w:rPr>
          <w:rStyle w:val="FootnoteReference"/>
        </w:rPr>
        <w:footnoteReference w:id="28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Klasik gelenek ise Kur'an'daki meselleri ve temsilin anlatımdaki gücünü ayrıntılı biçimde incelemiştir. Bu bölümde mecazın bir veri olarak değeri, mecaz yoluyla veri toplamanın usulü ve sınırları ele alınmakta, klasik gelenekteki mesel ve temsil anlayışıyla karşılaştırılmaktadır.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“Mecazı merkeze alan veri toplama çalışmaları süreç olarak açık uçlu sorulara dayalı bireysel veya odak grup görüşmelerinden pek farklı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212, PDF s. 210]</w:t>
      </w:r>
    </w:p>
    <w:p>
      <w:pPr>
        <w:pStyle w:val="Heading2"/>
        <w:keepNext/>
        <w:spacing w:after="120" w:before="240"/>
      </w:pPr>
      <w:r>
        <w:rPr>
          <w:rFonts w:ascii="Times New Roman" w:cs="Traditional Arabic" w:eastAsia="Times New Roman" w:hAnsi="Times New Roman"/>
          <w:b/>
          <w:bCs/>
          <w:i w:val="false"/>
          <w:sz w:val="24"/>
          <w:szCs w:val="24"/>
        </w:rPr>
        <w:t xml:space="preserve">10.1. Mecazın Gücü</w:t>
      </w:r>
    </w:p>
    <w:p>
      <w:pPr>
        <w:spacing w:after="120" w:line="360"/>
        <w:ind w:firstLine="567"/>
        <w:jc w:val="both"/>
      </w:pPr>
      <w:r>
        <w:rPr>
          <w:rFonts w:ascii="Times New Roman" w:cs="Traditional Arabic" w:eastAsia="Times New Roman" w:hAnsi="Times New Roman"/>
          <w:i w:val="false"/>
          <w:sz w:val="24"/>
          <w:szCs w:val="24"/>
        </w:rPr>
        <w:t xml:space="preserve">Yıldırım ve Şimşek, mecazın gücünü örneklerle açıklarken, Bedri Rahmi'nin ve Mehmet Akif'in şiirlerinden aldıkları örneklerde ortak noktanın, anlatılmak istenen ve genellikle somut olmayan bir şeyin, genellikle iyi bilinen, tanınan ve somut olan başka bir şeyle açıklanması olduğunu belirtmektedir.</w:t>
      </w:r>
      <w:r>
        <w:rPr>
          <w:rStyle w:val="FootnoteReference"/>
        </w:rPr>
        <w:footnoteReference w:id="28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mecazlar hayatımızın her alanındadır. Bilimden siyasete, edebiyattan ekonomiye en karmaşık düşünceler, anlamlar ve ilişkilendirmeler mecazlar yoluyla anlaşılabilir hale gelmekte, farklı bilişsel düzeylerdeki insanlar da birbirlerini mecazlar sayesinde anlayabilmektedir.</w:t>
      </w:r>
      <w:r>
        <w:rPr>
          <w:rStyle w:val="FootnoteReference"/>
        </w:rPr>
        <w:footnoteReference w:id="28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mecazların bize gerçeğin bir resmini verdiği gibi topluluk bireyleri açısından gerçeğin oluşturulmasının da araçları olduğunu ve bir anlamda toplumun, bireyin ya da belli bir topluluğun bilinçaltını yansıttığını da vurgulamaktadır.</w:t>
      </w:r>
      <w:r>
        <w:rPr>
          <w:rStyle w:val="FootnoteReference"/>
        </w:rPr>
        <w:footnoteReference w:id="28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“Diğer yandan, Bedri Rahmi’nin ve Mehmet Akif’in şiirlerinden alınan örneklerde ortak nokta, anlatılmak istenen genellikle somut olmayan bir şeyin veya şeylerin başka genellikle iyi bilinen, tanınan, somut olan şey veya şeylerle açıklanmasıdır.”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206, PDF s. 204]</w:t>
      </w:r>
    </w:p>
    <w:p>
      <w:pPr>
        <w:pStyle w:val="Dogrulama"/>
        <w:spacing w:after="20" w:line="276"/>
        <w:ind w:left="567"/>
        <w:jc w:val="both"/>
      </w:pPr>
      <w:r>
        <w:rPr>
          <w:rFonts w:ascii="Times New Roman" w:cs="Traditional Arabic" w:eastAsia="Times New Roman" w:hAnsi="Times New Roman"/>
          <w:i/>
          <w:iCs/>
          <w:sz w:val="22"/>
          <w:szCs w:val="22"/>
        </w:rPr>
        <w:t xml:space="preserve">“Mecazlar hayatımızın her alanındadır. Bilimden siyasete, edebiyattan ekonomiye en karmaşık düşünceler, anlamlar, açıklamalar, ilişkilendirmeler mecazlar yoluyla anlaşılabilir hale gelir, farklı entellektüel ve bilişsel düzeydeki insanlar birbirlerini anlar hale gelirler.”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207, PDF s. 205] Not: “entellektüel” yazımı baskıdaki gibidir.</w:t>
      </w:r>
    </w:p>
    <w:p>
      <w:pPr>
        <w:pStyle w:val="Dogrulama"/>
        <w:spacing w:after="20" w:line="276"/>
        <w:ind w:left="567"/>
        <w:jc w:val="both"/>
      </w:pPr>
      <w:r>
        <w:rPr>
          <w:rFonts w:ascii="Times New Roman" w:cs="Traditional Arabic" w:eastAsia="Times New Roman" w:hAnsi="Times New Roman"/>
          <w:i/>
          <w:iCs/>
          <w:sz w:val="22"/>
          <w:szCs w:val="22"/>
        </w:rPr>
        <w:t xml:space="preserve">“Bu bölümün başından beri vurguladığımız gibi mecazlar bize gerçeğin bir resmini verdiği gibi topluluk bireyleri açısından”gerçeğin yaratılması veya oluşturulmasının” da araçlarıdır. Bir anlamda mecazlar toplum, birey veya belirli bir topluluğun “bilinç altını” yansıtır.”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214, PDF s. 212] Not: “bilinç altını” yazımı baskıdaki gibidir.</w:t>
      </w:r>
    </w:p>
    <w:p>
      <w:pPr>
        <w:spacing w:after="120" w:line="360"/>
        <w:ind w:firstLine="567"/>
        <w:jc w:val="both"/>
      </w:pPr>
      <w:r>
        <w:rPr>
          <w:rFonts w:ascii="Times New Roman" w:cs="Traditional Arabic" w:eastAsia="Times New Roman" w:hAnsi="Times New Roman"/>
          <w:i w:val="false"/>
          <w:sz w:val="24"/>
          <w:szCs w:val="24"/>
        </w:rPr>
        <w:t xml:space="preserve">Kur'an ilimlerinde mesel, Kur'an'ın anlatım yollarından biri olarak ayrı bir başlık altında incelenmiştir. Zerkeşî </w:t>
      </w:r>
      <w:r>
        <w:rPr>
          <w:rFonts w:ascii="Times New Roman" w:cs="Traditional Arabic" w:eastAsia="Times New Roman" w:hAnsi="Times New Roman"/>
          <w:i/>
          <w:iCs/>
          <w:sz w:val="24"/>
          <w:szCs w:val="24"/>
        </w:rPr>
        <w:t xml:space="preserve">el-Burhân</w:t>
      </w:r>
      <w:r>
        <w:rPr>
          <w:rFonts w:ascii="Times New Roman" w:cs="Traditional Arabic" w:eastAsia="Times New Roman" w:hAnsi="Times New Roman"/>
          <w:i w:val="false"/>
          <w:sz w:val="24"/>
          <w:szCs w:val="24"/>
        </w:rPr>
        <w:t xml:space="preserve">'da meselin hakikatini, daha kapalı olanı daha açık olana çıkarmak olarak tanımlamaktadır.</w:t>
      </w:r>
      <w:r>
        <w:rPr>
          <w:rStyle w:val="FootnoteReference"/>
        </w:rPr>
        <w:footnoteReference w:id="28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Zerkeşî'ye göre Kur'an'da mesel getirilmesinden pek çok fayda elde edilmektedir. Hatırlatma, öğüt, teşvik, sakındırma, ibret alma, bir hususu zihne yerleştirme ve kastedilen manayı akıl için düzenleyip onu duyulur bir şeyin suretinde tasvir etme bu faydalar arasındadır.</w:t>
      </w:r>
      <w:r>
        <w:rPr>
          <w:rStyle w:val="FootnoteReference"/>
        </w:rPr>
        <w:footnoteReference w:id="28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“وَحَقِيقَتُهُ إِخْرَاجُ الْأَغْمَضِ إِلَى الْأَظْهَرِ”</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11436, page_id 503, basılı cilt/sayfa 1/486]</w:t>
      </w:r>
    </w:p>
    <w:p>
      <w:pPr>
        <w:pStyle w:val="DogrulamaAR"/>
        <w:bidi/>
        <w:spacing w:after="20" w:line="300"/>
        <w:ind w:end="567"/>
        <w:jc w:val="both"/>
      </w:pPr>
      <w:r>
        <w:rPr>
          <w:rFonts w:ascii="Times New Roman" w:cs="Traditional Arabic" w:eastAsia="Times New Roman" w:hAnsi="Times New Roman"/>
          <w:i/>
          <w:iCs/>
          <w:sz w:val="24"/>
          <w:szCs w:val="30"/>
          <w:rtl/>
        </w:rPr>
        <w:t xml:space="preserve">“وَضَرْبُ الْأَمْثَالِ فِي الْقُرْآنِ يُسْتَفَادُ مِنْهُ أُمُورٌ كَثِيرَةٌ التَّذْكِيرُ وَالْوَعْظُ وَالْحَثُّ وَالزَّجْرُ وَالِاعْتِبَارُ وَالتَّقْرِيرُ وَتَرْتِيبُ الْمُرَادِ لِلْعَقْلِ وَتَصْوِيرُهُ فِي صُورَةِ الْمَحْسُوسِ بِحَيْثُ يَكُونُ نِسْبَتُهُ لِلْفِعْلِ كَنِسْبَةِ الْمَحْسُوسِ إِلَى الْحِسِّ”</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11436, page_id 503-504, basılı cilt/sayfa 1/486-487] Not: Alıntı iki sayfaya yayılmaktadır: “وَالْحَثُّ” kelimesi 1/ 486'nın sonunda, “وَالزَّجْرُ” ile başlayan kısım 1/ 487'dedir.</w:t>
      </w:r>
    </w:p>
    <w:p>
      <w:pPr>
        <w:spacing w:after="120" w:line="360"/>
        <w:ind w:firstLine="567"/>
        <w:jc w:val="both"/>
      </w:pPr>
      <w:r>
        <w:rPr>
          <w:rFonts w:ascii="Times New Roman" w:cs="Traditional Arabic" w:eastAsia="Times New Roman" w:hAnsi="Times New Roman"/>
          <w:i w:val="false"/>
          <w:sz w:val="24"/>
          <w:szCs w:val="24"/>
        </w:rPr>
        <w:t xml:space="preserve">Abdülkâhir el-Cürcânî </w:t>
      </w:r>
      <w:r>
        <w:rPr>
          <w:rFonts w:ascii="Times New Roman" w:cs="Traditional Arabic" w:eastAsia="Times New Roman" w:hAnsi="Times New Roman"/>
          <w:i/>
          <w:iCs/>
          <w:sz w:val="24"/>
          <w:szCs w:val="24"/>
        </w:rPr>
        <w:t xml:space="preserve">Esrârü'l-belâğa</w:t>
      </w:r>
      <w:r>
        <w:rPr>
          <w:rFonts w:ascii="Times New Roman" w:cs="Traditional Arabic" w:eastAsia="Times New Roman" w:hAnsi="Times New Roman"/>
          <w:i w:val="false"/>
          <w:sz w:val="24"/>
          <w:szCs w:val="24"/>
        </w:rPr>
        <w:t xml:space="preserve">'da temsilin anlatımdaki etkisini daha da güçlü bir dille ifade etmektedir. Ona göre akıl sahiplerinin üzerinde ittifak ettiği bir husus şudur: Temsil manaların ardından geldiğinde ya da manalar kısaca onun kalıbında ortaya çıkıp asıl suretlerinden temsilin suretine nakledildiğinde, temsil onlara bir heybet giydirmekte, onlara meziyet kazandırmakta, kadirlerini yükseltmekte, ateşlerini alevlendirmekte, nefisleri onlara doğru harekete geçiren güçlerini katlamakta ve kalpleri onlara çağırmaktadır.</w:t>
      </w:r>
      <w:r>
        <w:rPr>
          <w:rStyle w:val="FootnoteReference"/>
        </w:rPr>
        <w:footnoteReference w:id="28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“واعلم أنّ مما اتفق العقلاءُ عليه، أن التمثيل إذا جاءَ في أعقاب المعاني، أو بَرَزَتْ هي باختصار في مَعرِضه، ونُقِلت عن صُوَرها الأصلية إلى صورته، كساها أُبَّهةً، وكَسَبها مَنْقَبةً، ورفع من أقدارها، وشَبَّ من نارها، وضاعف قُواها في تحريك النُّفوس لها، ودعا القُلوب إليها،”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8187, page_id 113, basılı s. 115]</w:t>
      </w:r>
    </w:p>
    <w:p>
      <w:pPr>
        <w:spacing w:after="120" w:line="360"/>
        <w:ind w:firstLine="567"/>
        <w:jc w:val="both"/>
      </w:pPr>
      <w:r>
        <w:rPr>
          <w:rFonts w:ascii="Times New Roman" w:cs="Traditional Arabic" w:eastAsia="Times New Roman" w:hAnsi="Times New Roman"/>
          <w:i w:val="false"/>
          <w:sz w:val="24"/>
          <w:szCs w:val="24"/>
        </w:rPr>
        <w:t xml:space="preserve">İbn Haldûn ise öğrenmenin başlangıcında duyulur örneklerin (el-emsâlü'l-hissiyye) yerine işaret etmektedir. Ona göre ilmi kabul etme ve anlama istidadı tedricen oluşmaktadır. Öğrenci işin başında, pek azı dışında anlamaktan bütünüyle âcizdir ve o azı da ancak yaklaştırma, özetleme ve duyulur örnekler yoluyla anlayabilir.</w:t>
      </w:r>
      <w:r>
        <w:rPr>
          <w:rStyle w:val="FootnoteReference"/>
        </w:rPr>
        <w:footnoteReference w:id="28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“فإنّ قبول العلم والاستعدادات لفهمه تنشأ تدريجا ويكون المتعلّم أوّل الأمر عاجزا عن الفهم بالجملة إلّا في الأقلّ وعلى سبيل التّقريب والإجمال والأمثال الحسّيّة.”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733, basılı cilt/sayfa 1/735]</w:t>
      </w:r>
    </w:p>
    <w:p>
      <w:pPr>
        <w:spacing w:after="120" w:line="360"/>
        <w:ind w:firstLine="567"/>
        <w:jc w:val="both"/>
      </w:pPr>
      <w:r>
        <w:rPr>
          <w:rFonts w:ascii="Times New Roman" w:cs="Traditional Arabic" w:eastAsia="Times New Roman" w:hAnsi="Times New Roman"/>
          <w:i w:val="false"/>
          <w:sz w:val="24"/>
          <w:szCs w:val="24"/>
        </w:rPr>
        <w:t xml:space="preserve">Kanaatimizce bu metinler, Yıldırım ve Şimşek'in şiir örneklerinden çıkardıkları ortak noktayla</w:t>
      </w:r>
      <w:r>
        <w:rPr>
          <w:rStyle w:val="FootnoteReference"/>
        </w:rPr>
        <w:footnoteReference w:id="28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aynı temel düşünceyi paylaşmaktadır. Soyut olan somut olanla, kapalı olan açık olanla anlaşılır hale gelmektedir. Cürcânî'nin temsilin “kalpleri çağırması” ve “nefisleri harekete geçirmesi” üzerine söyledikleri ise mecazın yalnızca bilişsel değil, duygusal bir güç de taşıdığını göstermektedir. Nitel araştırmacı açısından bu tespit önemlidir. Bir katılımcının seçtiği mecaz, onun bir konu hakkında ne düşündüğünü olduğu kadar ne hissettiğini de ele vermektedir.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282.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10.2. Yönün Tersine Dönmesi: Meselden Veriye</w:t>
      </w:r>
    </w:p>
    <w:p>
      <w:pPr>
        <w:spacing w:after="120" w:line="360"/>
        <w:ind w:firstLine="567"/>
        <w:jc w:val="both"/>
      </w:pPr>
      <w:r>
        <w:rPr>
          <w:rFonts w:ascii="Times New Roman" w:cs="Traditional Arabic" w:eastAsia="Times New Roman" w:hAnsi="Times New Roman"/>
          <w:i w:val="false"/>
          <w:sz w:val="24"/>
          <w:szCs w:val="24"/>
        </w:rPr>
        <w:t xml:space="preserve">Klasik metinler ile nitel araştırma arasındaki en önemli fark, mecazın hangi yönde işlediğiyle ilgilidir. Kur'an'daki mesellerde ve Cürcânî'nin incelediği temsilde mecazı kuran, sözün sahibidir. Mesel, dinleyenin anlaması ve etkilenmesi için konuşan tarafından getirilmektedir. İbn Haldûn'un duyulur örnekleri de öğretmenin öğrenci için kullandığı araçlardır. Nitel araştırmada ise yön tersine dönmektedir. Mecazı katılımcı üretmekte, araştırmacı ise bu mecazdan katılımcının dünyasını öğrenmeye çalışmaktadır.</w:t>
      </w:r>
    </w:p>
    <w:p>
      <w:pPr>
        <w:spacing w:after="120" w:line="360"/>
        <w:ind w:firstLine="567"/>
        <w:jc w:val="both"/>
      </w:pPr>
      <w:r>
        <w:rPr>
          <w:rFonts w:ascii="Times New Roman" w:cs="Traditional Arabic" w:eastAsia="Times New Roman" w:hAnsi="Times New Roman"/>
          <w:i w:val="false"/>
          <w:sz w:val="24"/>
          <w:szCs w:val="24"/>
        </w:rPr>
        <w:t xml:space="preserve">Kanaatimizce bu fark, din eğitimcisinin mecazla kurduğu ilişkiyi de dönüştürmelidir. Din eğitimcisi mecazı daha çok bir öğretim aracı olarak, kendi anlatmak istediğini öğrenciye ulaştırmak için kullanmaya alışkın olabilir. Mecaz araştırmasında ise öğretmen dinleyen konumuna geçmekte, öğrencinin kendi mecazlarıyla anlattığı dünyaya kulak vermektedir. İki kullanım birbirini dışlamamaktadır. Hatta öğrencilerin mecazlarını tanıyan bir öğretmen, onlara anlamlı gelecek mesellerle konuşmanın yollarını da daha iyi bulabilir. Zerkeşî'nin saydığı “manayı akıl için düzenleme” faydası, ancak muhatabın aklının nasıl çalıştığı bilindiğinde tam olarak gerçekleşebilir.</w:t>
      </w:r>
    </w:p>
    <w:p>
      <w:pPr>
        <w:pStyle w:val="Heading2"/>
        <w:keepNext/>
        <w:spacing w:after="120" w:before="240"/>
      </w:pPr>
      <w:r>
        <w:rPr>
          <w:rFonts w:ascii="Times New Roman" w:cs="Traditional Arabic" w:eastAsia="Times New Roman" w:hAnsi="Times New Roman"/>
          <w:b/>
          <w:bCs/>
          <w:i w:val="false"/>
          <w:sz w:val="24"/>
          <w:szCs w:val="24"/>
        </w:rPr>
        <w:t xml:space="preserve">10.3. Mecaz Yoluyla Veri Toplamanın Usulü</w:t>
      </w:r>
    </w:p>
    <w:p>
      <w:pPr>
        <w:spacing w:after="120" w:line="360"/>
        <w:ind w:firstLine="567"/>
        <w:jc w:val="both"/>
      </w:pPr>
      <w:r>
        <w:rPr>
          <w:rFonts w:ascii="Times New Roman" w:cs="Traditional Arabic" w:eastAsia="Times New Roman" w:hAnsi="Times New Roman"/>
          <w:i w:val="false"/>
          <w:sz w:val="24"/>
          <w:szCs w:val="24"/>
        </w:rPr>
        <w:t xml:space="preserve">Yıldırım ve Şimşek mecazı merkeze alan veri toplama çalışmalarının süreç olarak açık uçlu sorulara dayalı bireysel ya da odak grup görüşmelerinden pek farklı olmadığını belirtmektedir.</w:t>
      </w:r>
      <w:r>
        <w:rPr>
          <w:rStyle w:val="FootnoteReference"/>
        </w:rPr>
        <w:footnoteReference w:id="29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Yazarların verdiği bir soru örneği bu usulü göstermektedir. Kurum kültürünü araştırmak için katılımcılara şu soru sorulabilir: “Çalıştığınız bu kurumu bir nesne, bir şekil, bir hayvan, bir masal kahramanı, bir tarihsel kimlik, ya da bir canlıya benzetmenizi istesem neye benzetirdiniz?”</w:t>
      </w:r>
      <w:r>
        <w:rPr>
          <w:rStyle w:val="FootnoteReference"/>
        </w:rPr>
        <w:footnoteReference w:id="29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281. dipnottaki doğrulama bloğunda verilmiştir.]</w:t>
      </w:r>
    </w:p>
    <w:p>
      <w:pPr>
        <w:pStyle w:val="Dogrulama"/>
        <w:spacing w:after="20" w:line="276"/>
        <w:ind w:left="567"/>
        <w:jc w:val="both"/>
      </w:pPr>
      <w:r>
        <w:rPr>
          <w:rFonts w:ascii="Times New Roman" w:cs="Traditional Arabic" w:eastAsia="Times New Roman" w:hAnsi="Times New Roman"/>
          <w:i/>
          <w:iCs/>
          <w:sz w:val="22"/>
          <w:szCs w:val="22"/>
        </w:rPr>
        <w:t xml:space="preserve">“Kurum kültürü için:”Çalıştığınız bu kurumu bir nesne, bir şekil, bir hayvan, bir masal kahramanı, bir tarihsel kimlik, ya da bir canlıya benzetmenizi istesem neye benzetirdiniz?““</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213, PDF s. 211]</w:t>
      </w:r>
    </w:p>
    <w:p>
      <w:pPr>
        <w:spacing w:after="120" w:line="360"/>
        <w:ind w:firstLine="567"/>
        <w:jc w:val="both"/>
      </w:pPr>
      <w:r>
        <w:rPr>
          <w:rFonts w:ascii="Times New Roman" w:cs="Traditional Arabic" w:eastAsia="Times New Roman" w:hAnsi="Times New Roman"/>
          <w:i w:val="false"/>
          <w:sz w:val="24"/>
          <w:szCs w:val="24"/>
        </w:rPr>
        <w:t xml:space="preserve">Yazarlar mecazın kendisinin tek başına yeterli olmadığını özellikle vurgulamaktadır. Onlara göre mecaz, betimsel ve görsel gücünü tek başına yeterince ortaya çıkaramamaktadır ve bu nedenle mutlaka “niçin” ya da “neden” sorusu da sorulmalıdır.</w:t>
      </w:r>
      <w:r>
        <w:rPr>
          <w:rStyle w:val="FootnoteReference"/>
        </w:rPr>
        <w:footnoteReference w:id="29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Her birey aynı mecaza farklı anlamlar yükleyebilmekte ve bu farklar ya da mecazın hangi amaçla kullanıldığı ancak “niçin” sorusunun cevabıyla anlaşılabilmektedir.</w:t>
      </w:r>
      <w:r>
        <w:rPr>
          <w:rStyle w:val="FootnoteReference"/>
        </w:rPr>
        <w:footnoteReference w:id="29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İki öğrencinin din kültürü dersini “yol haritası” diye anması, birinin onu hayatına yön veren bir kılavuz, diğerinin ise sınavda yolunu bulması gereken karmaşık bir şema olarak görmesinden kaynaklanabilir. Mecaz aynıdır, anlam farklıdır.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“Ancak mecazın kendisi tek başına mecazların betimsel ve görsel gücünü yeteri kadar ortaya çıkaramayacaktır. Bunu takiben mutlaka”NİÇİN” veya “NEDEN” sorusu da sorulmalıdır.”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213, PDF s. 211]</w:t>
      </w:r>
    </w:p>
    <w:p>
      <w:pPr>
        <w:pStyle w:val="Dogrulama"/>
        <w:spacing w:after="20" w:line="276"/>
        <w:ind w:left="567"/>
        <w:jc w:val="both"/>
      </w:pPr>
      <w:r>
        <w:rPr>
          <w:rFonts w:ascii="Times New Roman" w:cs="Traditional Arabic" w:eastAsia="Times New Roman" w:hAnsi="Times New Roman"/>
          <w:i/>
          <w:iCs/>
          <w:sz w:val="22"/>
          <w:szCs w:val="22"/>
        </w:rPr>
        <w:t xml:space="preserve">“Her birey aynı mecaza farklı anlamlar yükleyebilir. Yüklenen bu farklar veya bir mecazı kullanırken hangi amaçla kullanıldığı ancak”niçin” sorusunun yanıtı yoluyla elde edilebilir.”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213, PDF s. 211]</w:t>
      </w:r>
    </w:p>
    <w:p>
      <w:pPr>
        <w:spacing w:after="120" w:line="360"/>
        <w:ind w:firstLine="567"/>
        <w:jc w:val="both"/>
      </w:pPr>
      <w:r>
        <w:rPr>
          <w:rFonts w:ascii="Times New Roman" w:cs="Traditional Arabic" w:eastAsia="Times New Roman" w:hAnsi="Times New Roman"/>
          <w:i w:val="false"/>
          <w:sz w:val="24"/>
          <w:szCs w:val="24"/>
        </w:rPr>
        <w:t xml:space="preserve">Yazarlar mecazların, göreli basitlik ve kolaylıklarının yanı sıra, çalışılan konu hakkında çok sağlam ve zengin bir resim sunduğunu ve görsel bir imaj sağladığını belirtmektedir.</w:t>
      </w:r>
      <w:r>
        <w:rPr>
          <w:rStyle w:val="FootnoteReference"/>
        </w:rPr>
        <w:footnoteReference w:id="29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Çocuklarla çalışan araştırmacı için ise ayrı bir imkândan söz etmektedir. Onlara göre çocukların belli konulardaki iç dünyalarını anlamak için mecazlar en etkili yöntemlerden biri olabilir. Çocuklara resim çizdirmek bunun sık kullanılan bir yoludur ve burada asıl veri, resimde neyin çizildiğinden çok çocuğun resmini nasıl açıkladığı ve yorumladığıdır.</w:t>
      </w:r>
      <w:r>
        <w:rPr>
          <w:rStyle w:val="FootnoteReference"/>
        </w:rPr>
        <w:footnoteReference w:id="295"/>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“Bütün bu göreli basitlik ve kolaylığının yanı sıra mecazlar çalışılan konu, olgu, olay ve durum hakkında çok sağlam, zengin bir resim sunar, görsel bir imaj sağlar.”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212, PDF s. 210]</w:t>
      </w:r>
    </w:p>
    <w:p>
      <w:pPr>
        <w:pStyle w:val="Dogrulama"/>
        <w:spacing w:after="20" w:line="276"/>
        <w:ind w:left="567"/>
        <w:jc w:val="both"/>
      </w:pPr>
      <w:r>
        <w:rPr>
          <w:rFonts w:ascii="Times New Roman" w:cs="Traditional Arabic" w:eastAsia="Times New Roman" w:hAnsi="Times New Roman"/>
          <w:i/>
          <w:iCs/>
          <w:sz w:val="22"/>
          <w:szCs w:val="22"/>
        </w:rPr>
        <w:t xml:space="preserve">“Çocukların belirli konular hakkında iç dünyalarını anlamak, belirli olay, kişi, olgu, durumlar hakkında ne düşündüklerini öğrenmek, yine belirli olay, kişi, olgu ve durumlara ne tepki verdiklerini öğrenmek için yine mecazlar en etkili veri toplama yöntemlerinden birisi olabilir. Örneğin çocuklara resim çizdirmek en sık kullanılan yöntemlerden birisidir. Burada resimde nelerin çizildiğinden veya resmin basit veya karmaşık olmasından ziyade çocuğun çizdiği resmini nasıl açıkladığı veya nasıl yorumladığı asıl veriyi oluşturur.”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214, PDF s. 212]</w:t>
      </w:r>
    </w:p>
    <w:p>
      <w:pPr>
        <w:pStyle w:val="Heading2"/>
        <w:keepNext/>
        <w:spacing w:after="120" w:before="240"/>
      </w:pPr>
      <w:r>
        <w:rPr>
          <w:rFonts w:ascii="Times New Roman" w:cs="Traditional Arabic" w:eastAsia="Times New Roman" w:hAnsi="Times New Roman"/>
          <w:b/>
          <w:bCs/>
          <w:i w:val="false"/>
          <w:sz w:val="24"/>
          <w:szCs w:val="24"/>
        </w:rPr>
        <w:t xml:space="preserve">10.4. Mecazın Sınırları ve İlahiyatçının Hassasiyeti</w:t>
      </w:r>
    </w:p>
    <w:p>
      <w:pPr>
        <w:spacing w:after="120" w:line="360"/>
        <w:ind w:firstLine="567"/>
        <w:jc w:val="both"/>
      </w:pPr>
      <w:r>
        <w:rPr>
          <w:rFonts w:ascii="Times New Roman" w:cs="Traditional Arabic" w:eastAsia="Times New Roman" w:hAnsi="Times New Roman"/>
          <w:i w:val="false"/>
          <w:sz w:val="24"/>
          <w:szCs w:val="24"/>
        </w:rPr>
        <w:t xml:space="preserve">Mecazın gücü aynı zamanda bir sınır taşımaktadır. Yıldırım ve Şimşek, mecazların doğası gereği sınırlılıklar içerdiğini ve yanlış ortam ve ilişkilere uygulandığında yanlış anlamlar oluşturabileceğini hatırlatmaktadır.</w:t>
      </w:r>
      <w:r>
        <w:rPr>
          <w:rStyle w:val="FootnoteReference"/>
        </w:rPr>
        <w:footnoteReference w:id="29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benzetme, benzetilen şeyin bazı yönlerini öne çıkarırken diğerlerini gölgede bırakmaktadır. Araştırmacı bir katılımcının mecazını onun bütün tecrübesinin özeti gibi okumamalı, mecazı katılımcının diğer anlatımlarıyla birlikte değerlendirmelidir.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“Bu durum, daha önce sözünü ettiğimiz gibi, mecazların doğası gereği sınırlılıklar içerdiğini, yanlış ortam ve ilişkilere uygulandığında yanlış anlamlar oluşturabileceği durumlara örnektir.”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212, PDF s. 210]</w:t>
      </w:r>
    </w:p>
    <w:p>
      <w:pPr>
        <w:spacing w:after="120" w:line="360"/>
        <w:ind w:firstLine="567"/>
        <w:jc w:val="both"/>
      </w:pPr>
      <w:r>
        <w:rPr>
          <w:rFonts w:ascii="Times New Roman" w:cs="Traditional Arabic" w:eastAsia="Times New Roman" w:hAnsi="Times New Roman"/>
          <w:i w:val="false"/>
          <w:sz w:val="24"/>
          <w:szCs w:val="24"/>
        </w:rPr>
        <w:t xml:space="preserve">Din eğitimi araştırmalarında mecaz kullanımının ilahiyatçıyı ilgilendiren özel bir hassasiyeti de bulunmaktadır. Katılımcılardan bir ibadeti, bir mekânı ya da bir dersi bir şeye benzetmelerini istemek ile onlardan Allah'ı bir şeye benzetmelerini istemek aynı şey değildir. Kanaatimizce ilahiyatçı araştırmacı, Allah tasavvuru gibi konularda mecaz istemenin tenzih hassasiyeti bakımından taşıdığı anlamı ayrıca düşünmeli ve bu konuları doğrudan benzetme sorularıyla değil, katılımcıların kendi tecrübelerini anlattıkları açık uçlu sorularla araştırmayı tercih etmelidir. Bu, bir yasak değil, bir duyarlılık önerisidir. Katılımcı kendiliğinden bir benzetmeye başvurursa, bu benzetme elbette bir veri olarak kaydedilmelidir.</w:t>
      </w:r>
    </w:p>
    <w:p>
      <w:pPr>
        <w:pStyle w:val="Heading2"/>
        <w:keepNext/>
        <w:spacing w:after="120" w:before="240"/>
      </w:pPr>
      <w:r>
        <w:rPr>
          <w:rFonts w:ascii="Times New Roman" w:cs="Traditional Arabic" w:eastAsia="Times New Roman" w:hAnsi="Times New Roman"/>
          <w:b/>
          <w:bCs/>
          <w:i w:val="false"/>
          <w:sz w:val="24"/>
          <w:szCs w:val="24"/>
        </w:rPr>
        <w:t xml:space="preserve">10.5. Mecaz Verisinin Analizi ve Dokümanlardaki Mecazlar</w:t>
      </w:r>
    </w:p>
    <w:p>
      <w:pPr>
        <w:spacing w:after="120" w:line="360"/>
        <w:ind w:firstLine="567"/>
        <w:jc w:val="both"/>
      </w:pPr>
      <w:r>
        <w:rPr>
          <w:rFonts w:ascii="Times New Roman" w:cs="Traditional Arabic" w:eastAsia="Times New Roman" w:hAnsi="Times New Roman"/>
          <w:i w:val="false"/>
          <w:sz w:val="24"/>
          <w:szCs w:val="24"/>
        </w:rPr>
        <w:t xml:space="preserve">Yıldırım ve Şimşek mecaz verisinin analizini diğer nitel veri türlerine göre daha kolay bulmaktadır. Onlara göre mecazlar farklı sözcüklerden oluştuğu için ayrıştırılmaları araştırmacı için bir sorun oluşturmamakta, benzerlik ve farklılıklar bakımından belli tematik başlıklar altında toplanmaları da oldukça kolay olmaktadır.</w:t>
      </w:r>
      <w:r>
        <w:rPr>
          <w:rStyle w:val="FootnoteReference"/>
        </w:rPr>
        <w:footnoteReference w:id="29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Ancak yazarlar aynı zamanda mecazın gerçek betimsel gücünün, mecazın kendisi kadar ona yüklenen anlamda, yani “niçin” ve “neden” sorularına verilen açıklamada bulunduğunu da vurgulamaktadır.</w:t>
      </w:r>
      <w:r>
        <w:rPr>
          <w:rStyle w:val="FootnoteReference"/>
        </w:rPr>
        <w:footnoteReference w:id="29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“Veri toplama aşamasının göreli olarak kolay olmasının yanı sıra toplanan verinin analizi de diğer nitel türlere göre daha kolaydır. Çünkü mecazlar farklı sözcüklerden oluşur, bu nedenle ayrıştırılması araştırmacı için bir sorun oluşturmaz. Dahası, benzerlik ve farklılıklar anlamında belirli tematik başlıklar altında toplamak oldukça kolaydır.”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212, PDF s. 210]</w:t>
      </w:r>
    </w:p>
    <w:p>
      <w:pPr>
        <w:pStyle w:val="Dogrulama"/>
        <w:spacing w:after="20" w:line="276"/>
        <w:ind w:left="567"/>
        <w:jc w:val="both"/>
      </w:pPr>
      <w:r>
        <w:rPr>
          <w:rFonts w:ascii="Times New Roman" w:cs="Traditional Arabic" w:eastAsia="Times New Roman" w:hAnsi="Times New Roman"/>
          <w:i/>
          <w:iCs/>
          <w:sz w:val="22"/>
          <w:szCs w:val="22"/>
        </w:rPr>
        <w:t xml:space="preserve">“Her iki örnekte de mecazın gerçek betimsel gücü mecazın kendisi olduğu kadar o mecaza yüklenen anlam; yani”niçin” ve “neden” sorusuna karşılık gelen açıklamadır.”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214, PDF s. 212]</w:t>
      </w:r>
    </w:p>
    <w:p>
      <w:pPr>
        <w:spacing w:after="120" w:line="360"/>
        <w:ind w:firstLine="567"/>
        <w:jc w:val="both"/>
      </w:pPr>
      <w:r>
        <w:rPr>
          <w:rFonts w:ascii="Times New Roman" w:cs="Traditional Arabic" w:eastAsia="Times New Roman" w:hAnsi="Times New Roman"/>
          <w:i w:val="false"/>
          <w:sz w:val="24"/>
          <w:szCs w:val="24"/>
        </w:rPr>
        <w:t xml:space="preserve">Bu iki tespit birlikte okunduğunda analizin iki katmanı belirmektedir. Birinci katmanda mecazlar, yani “pusula”, “müze” ya da “sınav salonu” gibi benzetilen şeyler, kolayca listelenebilir ve sayılabilir. İkinci katmanda ise bu mecazlara yüklenen anlamlar incelenir ve asıl yorum bu katmanda yapılır. Kanaatimizce mecaz analizinin kolaylığı birinci katman için geçerlidir. İkinci katman, diğer nitel analizlerde olduğu gibi dikkatli bir kodlama ve karşılaştırma gerektirmektedir. Aynı mecazı kullanan iki katılımcının farklı anlamlar kastetmesi ya da farklı mecazları kullanan iki katılımcının aynı anlamı ifade etmesi, ancak bu ikinci katmanda fark edilebilir.</w:t>
      </w:r>
    </w:p>
    <w:p>
      <w:pPr>
        <w:spacing w:after="120" w:line="360"/>
        <w:ind w:firstLine="567"/>
        <w:jc w:val="both"/>
      </w:pPr>
      <w:r>
        <w:rPr>
          <w:rFonts w:ascii="Times New Roman" w:cs="Traditional Arabic" w:eastAsia="Times New Roman" w:hAnsi="Times New Roman"/>
          <w:i w:val="false"/>
          <w:sz w:val="24"/>
          <w:szCs w:val="24"/>
        </w:rPr>
        <w:t xml:space="preserve">Mecaz araştırması yalnızca katılımcılardan toplanan mecazlarla sınırlı değildir. Yıldırım ve Şimşek dokümanlarda da çok zengin mecazlar bulunduğunu ve bir araştırmacının ilgilendiği konudaki dokümanlarda kullanılan mecazların sayısını, niteliğini ve içeriğini inceleyerek bir araştırma yapabileceğini belirtmektedir.</w:t>
      </w:r>
      <w:r>
        <w:rPr>
          <w:rStyle w:val="FootnoteReference"/>
        </w:rPr>
        <w:footnoteReference w:id="29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 alanında hutbeler, vaaz metinleri, ders kitapları ve çocuklara yönelik dinî yayınlar bu tür bir inceleme için zengin kaynaklardır. Örneğin gençlere hitap eden hutbelerde dünya hayatının, gençliğin ya da ibadetin hangi benzetmelerle anlatıldığı incelenebilir. Cürcânî'nin temsilin “kalpleri çağırma” gücüne dair tespiti, bu tür bir incelemede araştırmacıya önemli bir soru kazandırmaktadır: Bu metinlerdeki mecazlar, muhataplarının kalplerini hangi duygulara çağırmaktadır? Korkuya mı, ümide mi, aidiyete mi, sorumluluğa mı? Bu soru, din hizmetlerinde kullanılan dilin gençler üzerinde bırakabileceği izlere dair önemli ipuçları verebilir.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“Dokümanlarda da çok zengin mecazlar bulunur. Bir araştırmacı ilgilendiği konu veya konularda elde bulunan veya ulaşılabilecek dokümanlarda kullanılan mecazların hem sayısını hem de niteliği ve içeriğini çalışarak bir araştırma yapabilir.”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214, PDF s. 212]</w:t>
      </w:r>
    </w:p>
    <w:p>
      <w:pPr>
        <w:pStyle w:val="Heading2"/>
        <w:keepNext/>
        <w:spacing w:after="120" w:before="240"/>
      </w:pPr>
      <w:r>
        <w:rPr>
          <w:rFonts w:ascii="Times New Roman" w:cs="Traditional Arabic" w:eastAsia="Times New Roman" w:hAnsi="Times New Roman"/>
          <w:b/>
          <w:bCs/>
          <w:i w:val="false"/>
          <w:sz w:val="24"/>
          <w:szCs w:val="24"/>
        </w:rPr>
        <w:t xml:space="preserve">10.6. Din Eğitimi Uygulaması: Öğrencilerin Din Kültürü Dersine Dair Mecazları</w:t>
      </w:r>
    </w:p>
    <w:p>
      <w:pPr>
        <w:spacing w:after="120" w:line="360"/>
        <w:ind w:firstLine="567"/>
        <w:jc w:val="both"/>
      </w:pPr>
      <w:r>
        <w:rPr>
          <w:rFonts w:ascii="Times New Roman" w:cs="Traditional Arabic" w:eastAsia="Times New Roman" w:hAnsi="Times New Roman"/>
          <w:i w:val="false"/>
          <w:sz w:val="24"/>
          <w:szCs w:val="24"/>
        </w:rPr>
        <w:t xml:space="preserve">Aşağıdaki kurgusal örnek, mecaz yoluyla veri toplamanın bir ortaokulda nasıl uygulanabileceğini ve mecazların nasıl gruplanabileceğini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“Din kültürü dersi … gibidir, çünkü …”</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Bir araştırmacı, yedinci sınıf öğrencilerinden velilerinin izniyle ve kendi rızalarıyla şu cümleyi tamamlamalarını istemektedir: “Din kültürü ve ahlak bilgisi dersi … gibidir, çünkü …”. Her öğrenciye yalnızca bir mecaz yazması ve gerekçesini birkaç cümleyle açıklaması söylenmektedir. Ardından gönüllü öğrencilerle kısa görüşmeler yapılarak bazı mecazların anlamı derinleştirilmektedir.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Örnek cevaplar: “Bir pusula gibidir, çünkü ne yapacağımı bilmediğim zaman aklıma geliyor.” “Bir müze gibidir, çünkü çok eski ve güzel şeyler anlatılıyor ama dokunamıyoruz.” “Anneannemin evi gibidir, çünkü orada duyduklarımı burada da duyuyorum.” “Bir sınav salonu gibidir, çünkü hep doğru cevabı bilmek zorundayız.”</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Araştırmacı mecazları kendi önceden belirlediği kategorilere değil, gerekçelerde ortaya çıkan anlamlara göre gruplamaktadır: yön gösterme (pusula), mesafe ve hayranlık (müze), süreklilik ve aidiyet (anneannemin evi), değerlendirilme kaygısı (sınav salonu). “Müze” mecazını kullanan öğrenciyle yapılan görüşmede, öğrencinin dersteki konuları sevdiğini, fakat bunların kendi hayatıyla bağlantısını kuramadığını söylediği görülmektedir.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örnekte “sınav salonu” mecazı, yedinci bölümde ele alınan “doğru cevap” baskısının bir başka biçimde ortaya çıkışı olarak okunabilir. “Anneannemin evi” mecazı ise kanaatimizce ikinci bölümde ele alınan, Gazzâlî'nin ana-babanın ve hocaların taklidiyle sonradan arız olan akidelere dair sözünü hatırlatmaktadır. Ancak Gazzâlî bu akidelerin hakikatini aramaya ve bu taklitler arasında ayırım yapmaya yönelmiştir.</w:t>
      </w:r>
      <w:r>
        <w:rPr>
          <w:rStyle w:val="FootnoteReference"/>
        </w:rPr>
        <w:footnoteReference w:id="30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Öğrencinin mecazı ise bir sorgulamayı değil, bir aidiyet duygusunu dile getirmektedir. Mecazlar, araştırmacıya yalnızca öğrencilerin derse dair düşüncelerini değil, dersin onların hayatında hangi yere oturduğunu da göstermektedir.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17. dipnottaki doğrulama bloğunda verilmiştir.]</w:t>
      </w:r>
    </w:p>
    <w:p>
      <w:pPr>
        <w:keepNext/>
        <w:spacing w:after="80" w:before="200"/>
      </w:pPr>
      <w:r>
        <w:rPr>
          <w:rFonts w:ascii="Times New Roman" w:cs="Traditional Arabic" w:eastAsia="Times New Roman" w:hAnsi="Times New Roman"/>
          <w:b/>
          <w:bCs/>
          <w:i w:val="false"/>
          <w:sz w:val="22"/>
          <w:szCs w:val="22"/>
        </w:rPr>
        <w:t xml:space="preserve">Tablo 10.1. Onuncu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980"/>
        <w:gridCol w:w="1103"/>
        <w:gridCol w:w="1593"/>
        <w:gridCol w:w="1715"/>
        <w:gridCol w:w="2083"/>
        <w:gridCol w:w="1593"/>
      </w:tblGrid>
      <w:tr>
        <w:trPr>
          <w:cantSplit/>
          <w:tblHeader/>
        </w:trPr>
        <w:tc>
          <w:tcPr>
            <w:tcW w:type="dxa" w:w="98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110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59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71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208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59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Mecaz</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Mesel</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Zerkeşî, el-Burhân, 1/486-487 (Şamile 11436)</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Kapalı olanı açık olana çıkarma, soyutu duyulur suretle anlatma</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Meseli söz sahibi getirir, mecaz araştırmasında katılımcı üretir</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Öğrencilerin dinî kavramlara dair mecazlarının toplanması</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Mecazın duygusal gücü</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Temsil</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Abdülkâhir el-Cürcânî, Esrârü'l-belâğa, 115 (Şamile 8187)</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Benzetmenin nefisleri harekete geçirmesi</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Cürcânî ikna ve etkileme gücünü inceler, araştırmacı mecazdan anlam öğrenir</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Mecazların duygusal tonunun analizi</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Öğretimde somut örnek</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Duyulur örnekler (el-emsâlü'l-hissiyye)</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Târîh, 1/735 (Şamile 12320)</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Anlamanın somut örnekle başlaması</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öğretmenin aracını, mecaz araştırması katılımcının ifadesini konu edinir</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Öğrencilerin mecazlarının öğretimde kullanılması</w:t>
            </w:r>
          </w:p>
        </w:tc>
      </w:tr>
      <w:tr>
        <w:trPr>
          <w:cantSplit/>
        </w:trPr>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Mecazın gerekçesinin sorulması</w:t>
            </w:r>
          </w:p>
        </w:tc>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Karşılık tespit edilemedi</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SAĞLANAN BELGELERDE KAYNAK BULUNAMADI</w:t>
            </w:r>
          </w:p>
        </w:tc>
        <w:tc>
          <w:tcPr>
            <w:tcW w:type="dxa" w:w="17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Yok</w:t>
            </w:r>
          </w:p>
        </w:tc>
        <w:tc>
          <w:tcPr>
            <w:tcW w:type="dxa" w:w="208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Yok</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“Niçin” sorusunun her mecazla birlikte sorulması</w:t>
            </w:r>
          </w:p>
        </w:tc>
      </w:tr>
    </w:tbl>
    <w:p>
      <w:pPr>
        <w:spacing w:after="160"/>
      </w:pPr>
    </w:p>
    <w:p>
      <w:pPr>
        <w:pageBreakBefore/>
        <w:spacing w:after="240" w:before="3600"/>
        <w:jc w:val="center"/>
      </w:pPr>
      <w:r>
        <w:rPr>
          <w:rFonts w:ascii="Times New Roman" w:cs="Traditional Arabic" w:eastAsia="Times New Roman" w:hAnsi="Times New Roman"/>
          <w:b/>
          <w:bCs/>
          <w:i w:val="false"/>
          <w:color w:val="1F3864"/>
          <w:sz w:val="32"/>
          <w:szCs w:val="32"/>
        </w:rPr>
        <w:t xml:space="preserve">ÜÇÜNCÜ KISIM</w:t>
      </w:r>
    </w:p>
    <w:p>
      <w:pPr>
        <w:spacing w:after="240"/>
        <w:jc w:val="center"/>
      </w:pPr>
      <w:r>
        <w:rPr>
          <w:rFonts w:ascii="Times New Roman" w:cs="Traditional Arabic" w:eastAsia="Times New Roman" w:hAnsi="Times New Roman"/>
          <w:b/>
          <w:bCs/>
          <w:i w:val="false"/>
          <w:sz w:val="28"/>
          <w:szCs w:val="28"/>
        </w:rPr>
        <w:t xml:space="preserve">VERİYİ ANLAMA VE SUNMA: NAZAR</w:t>
      </w:r>
    </w:p>
    <w:p>
      <w:pPr>
        <w:pageBreakBefore/>
        <w:spacing w:after="120" w:before="600"/>
        <w:jc w:val="center"/>
      </w:pPr>
      <w:r>
        <w:rPr>
          <w:rFonts w:ascii="Times New Roman" w:cs="Traditional Arabic" w:eastAsia="Times New Roman" w:hAnsi="Times New Roman"/>
          <w:b/>
          <w:bCs/>
          <w:i w:val="false"/>
          <w:color w:val="595959"/>
          <w:sz w:val="22"/>
          <w:szCs w:val="22"/>
        </w:rPr>
        <w:t xml:space="preserve">ON BİRİNCİ BÖLÜM</w:t>
      </w:r>
    </w:p>
    <w:p>
      <w:pPr>
        <w:pStyle w:val="Heading1"/>
        <w:spacing w:after="360"/>
        <w:jc w:val="center"/>
      </w:pPr>
      <w:r>
        <w:rPr>
          <w:rFonts w:ascii="Times New Roman" w:cs="Traditional Arabic" w:eastAsia="Times New Roman" w:hAnsi="Times New Roman"/>
          <w:b/>
          <w:bCs/>
          <w:i w:val="false"/>
          <w:color w:val="1F3864"/>
          <w:sz w:val="28"/>
          <w:szCs w:val="28"/>
        </w:rPr>
        <w:t xml:space="preserve">11. Nitel Veri Analizi</w:t>
      </w:r>
    </w:p>
    <w:p>
      <w:pPr>
        <w:spacing w:after="120" w:line="360"/>
        <w:ind w:firstLine="567"/>
        <w:jc w:val="both"/>
      </w:pPr>
      <w:r>
        <w:rPr>
          <w:rFonts w:ascii="Times New Roman" w:cs="Traditional Arabic" w:eastAsia="Times New Roman" w:hAnsi="Times New Roman"/>
          <w:i w:val="false"/>
          <w:sz w:val="24"/>
          <w:szCs w:val="24"/>
        </w:rPr>
        <w:t xml:space="preserve">Görüşme dökümleri, gözlem notları ve dokümanlar bir araya geldiğinde araştırmacının önünde yüzlerce sayfalık bir metin yığını birikebilmektedir. Bu yığından anlamlı bir açıklamaya ulaşmak, nitel araştırmanın en zor aşamalarından biridir. Mâtürîdî'nin ʿiyân, ahbâr ve nazar üçlüsünde</w:t>
      </w:r>
      <w:r>
        <w:rPr>
          <w:rStyle w:val="FootnoteReference"/>
        </w:rPr>
        <w:footnoteReference w:id="30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aşama nazar alanına karşılık gelmektedir. Bu bölümde nitel veri analizinin niteliği, betimsel analiz, içerik analizi, kodlama, tema oluşturma ve yorum ele alınmaktadır. Klasik gelenekten ise bab başlıklarıyla yapılan tasnif, istikrâ, fark ve benzerlik üzerinden yürüyen karşılaştırma ve zâhir ile bâtın arasındaki ilişkiye dair metinler bu süreçle birlikte okunmaktadır.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11.1. Analizin Niteliği</w:t>
      </w:r>
    </w:p>
    <w:p>
      <w:pPr>
        <w:spacing w:after="120" w:line="360"/>
        <w:ind w:firstLine="567"/>
        <w:jc w:val="both"/>
      </w:pPr>
      <w:r>
        <w:rPr>
          <w:rFonts w:ascii="Times New Roman" w:cs="Traditional Arabic" w:eastAsia="Times New Roman" w:hAnsi="Times New Roman"/>
          <w:i w:val="false"/>
          <w:sz w:val="24"/>
          <w:szCs w:val="24"/>
        </w:rPr>
        <w:t xml:space="preserve">Yıldırım ve Şimşek veri analizinin nitel araştırmacıların en çok güçlük çektiği aşamalardan biri olduğunu belirtmektedir.</w:t>
      </w:r>
      <w:r>
        <w:rPr>
          <w:rStyle w:val="FootnoteReference"/>
        </w:rPr>
        <w:footnoteReference w:id="30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nitel araştırmada veri analizi çeşitlilik, yaratıcılık ve esneklik anlamına gelmektedir. Her nitel araştırma farklı özellikler taşımakta ve veri analizinde yeni yaklaşımlar gerektirmektedir.</w:t>
      </w:r>
      <w:r>
        <w:rPr>
          <w:rStyle w:val="FootnoteReference"/>
        </w:rPr>
        <w:footnoteReference w:id="30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analizin temel işlevini de şöyle tanımlamaktadır: Veri setinde doğrudan görülemeyen, fakat kavramsal kodlama ve sınıflama yoluyla temaların ve bu temalar arasındaki anlamlı ilişkilerin ortaya çıkarılması.</w:t>
      </w:r>
      <w:r>
        <w:rPr>
          <w:rStyle w:val="FootnoteReference"/>
        </w:rPr>
        <w:footnoteReference w:id="30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Yorum aşamasında ise öznelliğin kaçınılmaz olduğunu kabul etmektedirler. Onlara göre verilerin anlamlandırılması öznel bir süreçtir ve bu nedenle yorumların herkes tarafından aynen kabul edilmesi beklenemez.</w:t>
      </w:r>
      <w:r>
        <w:rPr>
          <w:rStyle w:val="FootnoteReference"/>
        </w:rPr>
        <w:footnoteReference w:id="305"/>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“Veri analizi, nitel araştırmacıların en fazla güçlük çektikleri aşamalardan biridir.”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[221], PDF s. 219] Not: 221 numaralı sayfada basılı sayfa numarası görünmemektedir (bölüm açılış sayfası). Köşeli ayraç içindeki numara, önceki ve sonraki sayfaların basılı numaralarından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“Nitel araştırmada veri analizi çeşitlilik, yaratıcılık ve esneklik anlamına gelir. Her nitel araştırma farklı birtakım özellikler taşır ve veri analizinde birtakım yeni yaklaşımları gerektirir.”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[221], PDF s. 219] Not: 221 numaralı sayfada basılı sayfa numarası görünmemektedir (bölüm açılış sayfası). Köşeli ayraç içindeki numara, önceki ve sonraki sayfaların basılı numaralarından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“Veri setinde doğrudan görülemeyen, ancak kavramsal kodlama ve sınıflama yoluyla temaların ve bu temalar arası anlamlı ilişkilerin ortaya çıkarılması, analiz sürecinin temel işlevidir.”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222, PDF s. 220]</w:t>
      </w:r>
    </w:p>
    <w:p>
      <w:pPr>
        <w:pStyle w:val="Dogrulama"/>
        <w:spacing w:after="20" w:line="276"/>
        <w:ind w:left="567"/>
        <w:jc w:val="both"/>
      </w:pPr>
      <w:r>
        <w:rPr>
          <w:rFonts w:ascii="Times New Roman" w:cs="Traditional Arabic" w:eastAsia="Times New Roman" w:hAnsi="Times New Roman"/>
          <w:i/>
          <w:iCs/>
          <w:sz w:val="22"/>
          <w:szCs w:val="22"/>
        </w:rPr>
        <w:t xml:space="preserve">“Verilerin anlamlandırılması öznel bir süreçtir ve bu nedenle yorumların herkes tarafından aynen kabul edilmesi beklenemez.”</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222, PDF s. 220]</w:t>
      </w:r>
    </w:p>
    <w:p>
      <w:pPr>
        <w:spacing w:after="120" w:line="360"/>
        <w:ind w:firstLine="567"/>
        <w:jc w:val="both"/>
      </w:pPr>
      <w:r>
        <w:rPr>
          <w:rFonts w:ascii="Times New Roman" w:cs="Traditional Arabic" w:eastAsia="Times New Roman" w:hAnsi="Times New Roman"/>
          <w:i w:val="false"/>
          <w:sz w:val="24"/>
          <w:szCs w:val="24"/>
        </w:rPr>
        <w:t xml:space="preserve">Analizin öznel bir yorum içermesi, onun keyfî olduğu anlamına gelmemektedir. Yorum, verinin kendisine bağlı kalmak zorundadır. Gazzâlî </w:t>
      </w:r>
      <w:r>
        <w:rPr>
          <w:rFonts w:ascii="Times New Roman" w:cs="Traditional Arabic" w:eastAsia="Times New Roman" w:hAnsi="Times New Roman"/>
          <w:i/>
          <w:iCs/>
          <w:sz w:val="24"/>
          <w:szCs w:val="24"/>
        </w:rPr>
        <w:t xml:space="preserve">İhyâ</w:t>
      </w:r>
      <w:r>
        <w:rPr>
          <w:rFonts w:ascii="Times New Roman" w:cs="Traditional Arabic" w:eastAsia="Times New Roman" w:hAnsi="Times New Roman"/>
          <w:i w:val="false"/>
          <w:sz w:val="24"/>
          <w:szCs w:val="24"/>
        </w:rPr>
        <w:t xml:space="preserve">'da bir metindeki “ev” ve “köpek” lafızlarına dair yaptığı yorumu açıklarken bu dengeyi açık bir biçimde ifade etmektedir. Gazzâlî, “ev” lafzıyla kastedilenin kalp, “köpek” ile kastedilenin öfke ve yerilmiş sıfatlar olduğunu söylemediğini, fakat lafzın buna bir tenbih, yani dikkat çekme olduğunu söylediğini belirtmektedir. Ona göre zâhirden bâtına geçmek ile zâhiri yerinde bırakarak zâhirin anılmasından bâtına dikkat çekmek arasında fark vardır.</w:t>
      </w:r>
      <w:r>
        <w:rPr>
          <w:rStyle w:val="FootnoteReference"/>
        </w:rPr>
        <w:footnoteReference w:id="30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“ولست أقول المراد بلفظ البيت هو القلب وبالكلب هو الغضب والصفات المذمومة ولكني أقول هو تنبيه عليه وفرق بين تعبير الظواهر إلى البواطن وبين التنبيه للبواطن من ذكر الظواهر مع تقرير الظواهر”</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9472, page_id 49, basılı cilt/sayfa 1/49]</w:t>
      </w:r>
    </w:p>
    <w:p>
      <w:pPr>
        <w:spacing w:after="120" w:line="360"/>
        <w:ind w:firstLine="567"/>
        <w:jc w:val="both"/>
      </w:pPr>
      <w:r>
        <w:rPr>
          <w:rFonts w:ascii="Times New Roman" w:cs="Traditional Arabic" w:eastAsia="Times New Roman" w:hAnsi="Times New Roman"/>
          <w:i w:val="false"/>
          <w:sz w:val="24"/>
          <w:szCs w:val="24"/>
        </w:rPr>
        <w:t xml:space="preserve">Bu ayrım nitel yorum için değerli bir ölçü sunmaktadır. Araştırmacı bir katılımcının sözünden daha derin bir anlam çıkarabilir. Ancak bu anlam katılımcının sözünün yerine geçmemeli, onun yanında ve onu koruyarak ifade edilmelidir. Bir öğrencinin “cuma namazına babamla gidiyorum” sözünden baba ile kurulan bağın dinî tecrübedeki yerine dair bir yorum çıkarılabilir. Fakat bu yorum, öğrencinin sözünü “öğrenci için namaz babasıyla ilişkisinden ibarettir” diye dönüştürmemelidir. Kanaatimizce Gazzâlî'nin tenbih ile taʿbîr arasında yaptığı ayrım, yorumun veriye eklenen bir katman olduğunu ve verinin zâhirini ortadan kaldırmadığını hatırlatmaktadır. İki bağlam arasındaki fark ise açıktır. Gazzâlî dinî bir metnin manevi işaretlerini yorumlamaktadır. Nitel araştırmacı ise insanların kendi tecrübelerine dair anlatımlarını yorumlamaktadır.</w:t>
      </w:r>
    </w:p>
    <w:p>
      <w:pPr>
        <w:spacing w:after="120" w:line="360"/>
        <w:ind w:firstLine="567"/>
        <w:jc w:val="both"/>
      </w:pPr>
      <w:r>
        <w:rPr>
          <w:rFonts w:ascii="Times New Roman" w:cs="Traditional Arabic" w:eastAsia="Times New Roman" w:hAnsi="Times New Roman"/>
          <w:i w:val="false"/>
          <w:sz w:val="24"/>
          <w:szCs w:val="24"/>
        </w:rPr>
        <w:t xml:space="preserve">Analizin yorumla bu iç içeliği, onun doğrusal değil döngüsel bir süreç olmasının da sebebidir. Creswell nitel analizin amacını metin ve imge verilerinden bir anlam çıkarmak olarak tanımlamakta ve bunun veriyi bir soğanın katlarını ayırır gibi bölümlere ayırmayı ve sonra yeniden bir araya getirmeyi içerdiğini söylemektedir. Ona göre analiz özelden genele doğru ilerlemekle birlikte pratikte çok daha etkileşimlidir ve basamaklar her zaman sunuldukları sırada gerçekleşmemektedir.</w:t>
      </w:r>
      <w:r>
        <w:rPr>
          <w:rStyle w:val="FootnoteReference"/>
        </w:rPr>
        <w:footnoteReference w:id="30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Gadamer bu döngüyü anlamanın kendi yapısı olarak tarif etmektedir. Anlama hareketi sürekli bütünden parçaya, parçadan bütüne doğru işlemekte ve ayrıntıların bütünle uyumu doğru anlamanın ölçütü olmaktadır. Bu uyumu gerçekleştirememek anlamanın başarısız kalması demektir.</w:t>
      </w:r>
      <w:r>
        <w:rPr>
          <w:rStyle w:val="FootnoteReference"/>
        </w:rPr>
        <w:footnoteReference w:id="30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araştırmacı için bu ölçüt somut bir sınama imkânı sunmaktadır. Bir tema, onu oluşturan tek tek anlatımlarla uyum içinde değilse ya da bir anlatım ancak bağlamından koparılarak bir temaya yerleştirilebiliyorsa, analiz henüz tamamlanmamıştır.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“Genelde; amaç, metin ve imge verilerinden bir anlam çıkarmaktır. Bu durum veriyi bölümlere ve parçalara ayırmayı (bir soğanın katlarını ayırır gibi) ve daha sonra tekrar bir araya getirmeyi içermektedir.”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194-195, PDF s. 225-226]</w:t>
      </w:r>
    </w:p>
    <w:p>
      <w:pPr>
        <w:pStyle w:val="Dogrulama"/>
        <w:spacing w:after="20" w:line="276"/>
        <w:ind w:left="567"/>
        <w:jc w:val="both"/>
      </w:pPr>
      <w:r>
        <w:rPr>
          <w:rFonts w:ascii="Times New Roman" w:cs="Traditional Arabic" w:eastAsia="Times New Roman" w:hAnsi="Times New Roman"/>
          <w:i/>
          <w:iCs/>
          <w:sz w:val="22"/>
          <w:szCs w:val="22"/>
        </w:rPr>
        <w:t xml:space="preserve">“Bu resim, alttan yukarıya doğru doğrusal ve hiyerarşik bir yaklaşımı önermektedir, fakat bu pratikte çok daha fazla etkileşime açık, çeşitli basamaklar birbiriyle ilişkilidir ve daima sunulan sırada gerçekleşmez.”</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196, PDF s. 227]</w:t>
      </w:r>
    </w:p>
    <w:p>
      <w:pPr>
        <w:pStyle w:val="Dogrulama"/>
        <w:spacing w:after="20" w:line="276"/>
        <w:ind w:left="567"/>
        <w:jc w:val="both"/>
      </w:pPr>
      <w:r>
        <w:rPr>
          <w:rFonts w:ascii="Times New Roman" w:cs="Traditional Arabic" w:eastAsia="Times New Roman" w:hAnsi="Times New Roman"/>
          <w:i/>
          <w:iCs/>
          <w:sz w:val="22"/>
          <w:szCs w:val="22"/>
        </w:rPr>
        <w:t xml:space="preserve">“Kaldı ki anlama hareketi de sürekli bütünden parçaya, parçadan bütüne doğru işler. Görevimiz manayı anlamanın birliğini merkezkaç şekilde genişletmektir. Detayların bütünle armonisi doğru anlamanın kriteridir. Bu armoniyi gerçekleştirememek anlamanın başarısız kalması demektir.”</w:t>
      </w:r>
    </w:p>
    <w:p>
      <w:pPr>
        <w:pStyle w:val="Dogrulama"/>
        <w:spacing w:after="80" w:line="240"/>
        <w:ind w:left="567"/>
      </w:pPr>
      <w:r>
        <w:rPr>
          <w:rFonts w:ascii="Times New Roman" w:cs="Traditional Arabic" w:eastAsia="Times New Roman" w:hAnsi="Times New Roman"/>
          <w:i w:val="false"/>
          <w:color w:val="7F7F7F"/>
          <w:sz w:val="18"/>
          <w:szCs w:val="18"/>
        </w:rPr>
        <w:t xml:space="preserve">[Dosya: Hans-Georg Gadamer - Hakikat ve Yöntem Cilt 2 2 (2009, Paradigma Yayıncılık) - libgen.li.pdf, basılı s. 41, PDF s. 49]</w:t>
      </w:r>
    </w:p>
    <w:p>
      <w:pPr>
        <w:pStyle w:val="Heading2"/>
        <w:keepNext/>
        <w:spacing w:after="120" w:before="240"/>
      </w:pPr>
      <w:r>
        <w:rPr>
          <w:rFonts w:ascii="Times New Roman" w:cs="Traditional Arabic" w:eastAsia="Times New Roman" w:hAnsi="Times New Roman"/>
          <w:b/>
          <w:bCs/>
          <w:i w:val="false"/>
          <w:sz w:val="24"/>
          <w:szCs w:val="24"/>
        </w:rPr>
        <w:t xml:space="preserve">11.2. Betimsel Analiz ve Sunumun Tertibi</w:t>
      </w:r>
    </w:p>
    <w:p>
      <w:pPr>
        <w:spacing w:after="120" w:line="360"/>
        <w:ind w:firstLine="567"/>
        <w:jc w:val="both"/>
      </w:pPr>
      <w:r>
        <w:rPr>
          <w:rFonts w:ascii="Times New Roman" w:cs="Traditional Arabic" w:eastAsia="Times New Roman" w:hAnsi="Times New Roman"/>
          <w:i w:val="false"/>
          <w:sz w:val="24"/>
          <w:szCs w:val="24"/>
        </w:rPr>
        <w:t xml:space="preserve">Yıldırım ve Şimşek betimsel analizi, elde edilen verilerin daha önceden belirlenen temalara göre özetlenmesi ve yorumlanması olarak tanımlamaktadır.</w:t>
      </w:r>
      <w:r>
        <w:rPr>
          <w:rStyle w:val="FootnoteReference"/>
        </w:rPr>
        <w:footnoteReference w:id="30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betimsel analizde görüşülen ya da gözlenen kişilerin görüşlerini çarpıcı biçimde yansıtmak için doğrudan alıntılara sık sık yer verilmektedir.</w:t>
      </w:r>
      <w:r>
        <w:rPr>
          <w:rStyle w:val="FootnoteReference"/>
        </w:rPr>
        <w:footnoteReference w:id="31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“Bu yaklaşıma göre, elde edilen veriler, daha önceden belirlenen temalara göre özetlenir ve yorumlanır.”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224, PDF s. 222]</w:t>
      </w:r>
    </w:p>
    <w:p>
      <w:pPr>
        <w:pStyle w:val="Dogrulama"/>
        <w:spacing w:after="20" w:line="276"/>
        <w:ind w:left="567"/>
        <w:jc w:val="both"/>
      </w:pPr>
      <w:r>
        <w:rPr>
          <w:rFonts w:ascii="Times New Roman" w:cs="Traditional Arabic" w:eastAsia="Times New Roman" w:hAnsi="Times New Roman"/>
          <w:i/>
          <w:iCs/>
          <w:sz w:val="22"/>
          <w:szCs w:val="22"/>
        </w:rPr>
        <w:t xml:space="preserve">“Betimsel analizde, görüşülen ya da gözlenen bireylerin görüşlerini çarpıcı bir biçimde yansıtmak amacıyla doğrudan alıntılara sık sık yer verilir.”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224, PDF s. 222]</w:t>
      </w:r>
    </w:p>
    <w:p>
      <w:pPr>
        <w:spacing w:after="120" w:line="360"/>
        <w:ind w:firstLine="567"/>
        <w:jc w:val="both"/>
      </w:pPr>
      <w:r>
        <w:rPr>
          <w:rFonts w:ascii="Times New Roman" w:cs="Traditional Arabic" w:eastAsia="Times New Roman" w:hAnsi="Times New Roman"/>
          <w:i w:val="false"/>
          <w:sz w:val="24"/>
          <w:szCs w:val="24"/>
        </w:rPr>
        <w:t xml:space="preserve">Betimsel analizde verilerin hangi düzene göre sunulacağı önemli bir karardır. Şehristânî </w:t>
      </w:r>
      <w:r>
        <w:rPr>
          <w:rFonts w:ascii="Times New Roman" w:cs="Traditional Arabic" w:eastAsia="Times New Roman" w:hAnsi="Times New Roman"/>
          <w:i/>
          <w:iCs/>
          <w:sz w:val="24"/>
          <w:szCs w:val="24"/>
        </w:rPr>
        <w:t xml:space="preserve">el-Milel ve'n-nihal</w:t>
      </w:r>
      <w:r>
        <w:rPr>
          <w:rFonts w:ascii="Times New Roman" w:cs="Traditional Arabic" w:eastAsia="Times New Roman" w:hAnsi="Times New Roman"/>
          <w:i w:val="false"/>
          <w:sz w:val="24"/>
          <w:szCs w:val="24"/>
        </w:rPr>
        <w:t xml:space="preserve">'de makalât kitaplarının yazarlarının tertipte iki yol izlediğini belirtmektedir. Birinci yolda meseleler esas alınmakta ve her meselede farklı grupların görüşleri sırayla zikredilmektedir. İkinci yolda ise kişiler ve görüş sahipleri esas alınmakta, onların görüşleri mesele mesele aktarılmaktadır.</w:t>
      </w:r>
      <w:r>
        <w:rPr>
          <w:rStyle w:val="FootnoteReference"/>
        </w:rPr>
        <w:footnoteReference w:id="31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Şehristânî kendi eserinin tertibini ikinci yola göre yaptığını, çünkü bu yolu kısımları daha iyi zabteden ve sayıma daha uygun bulduğunu söylemektedir.</w:t>
      </w:r>
      <w:r>
        <w:rPr>
          <w:rStyle w:val="FootnoteReference"/>
        </w:rPr>
        <w:footnoteReference w:id="31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“ولأصحاب كتب المقالات طريقان في الترتيب: أحدهما: أنهم وضعوا المسائل أصولا. ثم أوردوا في كل مسألة مذهب طائفة طائفة وفرقة فرقة. والثاني: أنهم وضعوا الرجال وأصحاب المقالات أصولا، ثم أوردوا مذاهبهم، في مسألة مسألة.”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11812, page_id 12, basılı cilt/sayfa 1/14]</w:t>
      </w:r>
    </w:p>
    <w:p>
      <w:pPr>
        <w:pStyle w:val="DogrulamaAR"/>
        <w:bidi/>
        <w:spacing w:after="20" w:line="300"/>
        <w:ind w:end="567"/>
        <w:jc w:val="both"/>
      </w:pPr>
      <w:r>
        <w:rPr>
          <w:rFonts w:ascii="Times New Roman" w:cs="Traditional Arabic" w:eastAsia="Times New Roman" w:hAnsi="Times New Roman"/>
          <w:i/>
          <w:iCs/>
          <w:sz w:val="24"/>
          <w:szCs w:val="30"/>
          <w:rtl/>
        </w:rPr>
        <w:t xml:space="preserve">“وترتيب هذا المختصر على الطريقة الأخيرة، لأني وجدتها أضبط للأقسام، وأليق بباب الحساب.”</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11812, page_id 12, basılı cilt/sayfa 1/14]</w:t>
      </w:r>
    </w:p>
    <w:p>
      <w:pPr>
        <w:spacing w:after="120" w:line="360"/>
        <w:ind w:firstLine="567"/>
        <w:jc w:val="both"/>
      </w:pPr>
      <w:r>
        <w:rPr>
          <w:rFonts w:ascii="Times New Roman" w:cs="Traditional Arabic" w:eastAsia="Times New Roman" w:hAnsi="Times New Roman"/>
          <w:i w:val="false"/>
          <w:sz w:val="24"/>
          <w:szCs w:val="24"/>
        </w:rPr>
        <w:t xml:space="preserve">Bu iki tertip yolu, nitel araştırma raporlarında karşılaşılan iki sunum biçimine büyük ölçüde benzemektedir. Birincisi tema temelli sunumdur. Araştırmacı her temayı ayrı bir başlık altında ele almakta ve o tema hakkında farklı katılımcıların söylediklerini bir araya getirmektedir. İkincisi durum ya da katılımcı temelli sunumdur. Araştırmacı her katılımcıyı ya da her durumu ayrı ayrı tanıtmakta ve onun farklı konulardaki görüşlerini bir bütün olarak sunmaktadır. Şehristânî'nin tercihini gerekçelendirmesi de öğreticidir. Hangi tertibin seçileceği, araştırmanın amacına ve verinin yapısına göre belirlenmeli ve bu seçimin gerekçesi açıklanmalıdır.</w:t>
      </w:r>
    </w:p>
    <w:p>
      <w:pPr>
        <w:spacing w:after="120" w:line="360"/>
        <w:ind w:firstLine="567"/>
        <w:jc w:val="both"/>
      </w:pPr>
      <w:r>
        <w:rPr>
          <w:rFonts w:ascii="Times New Roman" w:cs="Traditional Arabic" w:eastAsia="Times New Roman" w:hAnsi="Times New Roman"/>
          <w:i w:val="false"/>
          <w:sz w:val="24"/>
          <w:szCs w:val="24"/>
        </w:rPr>
        <w:t xml:space="preserve">Benzerliğin sınırı ise Şehristânî'nin tertibinin inanç gruplarının görüşlerini düzenlemeye yönelik olmasıdır. Onun “meseleleri” kelâmî sorulardır. Nitel araştırmanın temaları ise önceden belirlenmiş sorular olabileceği gibi verinin içinden çıkan anlamlar da olabilir.</w:t>
      </w:r>
    </w:p>
    <w:p>
      <w:pPr>
        <w:pStyle w:val="Heading2"/>
        <w:keepNext/>
        <w:spacing w:after="120" w:before="240"/>
      </w:pPr>
      <w:r>
        <w:rPr>
          <w:rFonts w:ascii="Times New Roman" w:cs="Traditional Arabic" w:eastAsia="Times New Roman" w:hAnsi="Times New Roman"/>
          <w:b/>
          <w:bCs/>
          <w:i w:val="false"/>
          <w:sz w:val="24"/>
          <w:szCs w:val="24"/>
        </w:rPr>
        <w:t xml:space="preserve">11.3. İçerik Analizi ve Kodlama</w:t>
      </w:r>
    </w:p>
    <w:p>
      <w:pPr>
        <w:spacing w:after="120" w:line="360"/>
        <w:ind w:firstLine="567"/>
        <w:jc w:val="both"/>
      </w:pPr>
      <w:r>
        <w:rPr>
          <w:rFonts w:ascii="Times New Roman" w:cs="Traditional Arabic" w:eastAsia="Times New Roman" w:hAnsi="Times New Roman"/>
          <w:i w:val="false"/>
          <w:sz w:val="24"/>
          <w:szCs w:val="24"/>
        </w:rPr>
        <w:t xml:space="preserve">Yıldırım ve Şimşek içerik analizinde temel amacın toplanan verileri açıklayabilecek kavramlara ve ilişkilere ulaşmak olduğunu belirtmektedir.</w:t>
      </w:r>
      <w:r>
        <w:rPr>
          <w:rStyle w:val="FootnoteReference"/>
        </w:rPr>
        <w:footnoteReference w:id="31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Onlara göre içerik analizinde yapılan temel işlem, birbirine benzeyen verileri belli kavramlar ve temalar çerçevesinde bir araya getirmek ve bunları okurun anlayabileceği biçimde düzenleyerek yorumlamaktır.</w:t>
      </w:r>
      <w:r>
        <w:rPr>
          <w:rStyle w:val="FootnoteReference"/>
        </w:rPr>
        <w:footnoteReference w:id="31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nitel verilerin dört aşamada analiz edildiğini ifade etmektedir: verilerin kodlanması, temaların bulunması, kodların ve temaların düzenlenmesi ve bulguların tanımlanıp yorumlanması.</w:t>
      </w:r>
      <w:r>
        <w:rPr>
          <w:rStyle w:val="FootnoteReference"/>
        </w:rPr>
        <w:footnoteReference w:id="315"/>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“İçerik analizinde temel amaç, toplanan verileri açıklayabilecek kavramlara ve ilişkilere ulaşmaktır.”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227, PDF s. 225]</w:t>
      </w:r>
    </w:p>
    <w:p>
      <w:pPr>
        <w:pStyle w:val="Dogrulama"/>
        <w:spacing w:after="20" w:line="276"/>
        <w:ind w:left="567"/>
        <w:jc w:val="both"/>
      </w:pPr>
      <w:r>
        <w:rPr>
          <w:rFonts w:ascii="Times New Roman" w:cs="Traditional Arabic" w:eastAsia="Times New Roman" w:hAnsi="Times New Roman"/>
          <w:i/>
          <w:iCs/>
          <w:sz w:val="22"/>
          <w:szCs w:val="22"/>
        </w:rPr>
        <w:t xml:space="preserve">“İçerik analizinde temelde yapılan işlem, birbirine benzeyen verileri belirli kavramlar ve temalar çerçevesinde bir araya getirmek ve bunları okuyucunun anlayabileceği bir biçimde düzenleyerek yorumlamaktır.”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227, PDF s. 225]</w:t>
      </w:r>
    </w:p>
    <w:p>
      <w:pPr>
        <w:pStyle w:val="Dogrulama"/>
        <w:spacing w:after="20" w:line="276"/>
        <w:ind w:left="567"/>
        <w:jc w:val="both"/>
      </w:pPr>
      <w:r>
        <w:rPr>
          <w:rFonts w:ascii="Times New Roman" w:cs="Traditional Arabic" w:eastAsia="Times New Roman" w:hAnsi="Times New Roman"/>
          <w:i/>
          <w:iCs/>
          <w:sz w:val="22"/>
          <w:szCs w:val="22"/>
        </w:rPr>
        <w:t xml:space="preserve">“Nitel araştırma verileri dört aşamada analiz edilir: (1) verilerin kodlanması, (2) temaların bulunması, (3) kodların ve temaların düzenlenmesi, (4) bulguların tanımlanması ve yorumlanması.”</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228, PDF s. 226]</w:t>
      </w:r>
    </w:p>
    <w:p>
      <w:pPr>
        <w:spacing w:after="120" w:line="360"/>
        <w:ind w:firstLine="567"/>
        <w:jc w:val="both"/>
      </w:pPr>
      <w:r>
        <w:rPr>
          <w:rFonts w:ascii="Times New Roman" w:cs="Traditional Arabic" w:eastAsia="Times New Roman" w:hAnsi="Times New Roman"/>
          <w:i w:val="false"/>
          <w:sz w:val="24"/>
          <w:szCs w:val="24"/>
        </w:rPr>
        <w:t xml:space="preserve">İçerik analizinin ilk aşaması kodlamadır. Bu aşamada araştırmacı elde ettiği bilgileri inceleyerek onları anlamlı bölümlere ayırmaya ve her bölümün kavramsal olarak ne anlam ifade ettiğini bulmaya çalışmaktadır.</w:t>
      </w:r>
      <w:r>
        <w:rPr>
          <w:rStyle w:val="FootnoteReference"/>
        </w:rPr>
        <w:footnoteReference w:id="31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kodlamada kullanılan kavramlar araştırmacının kendisinden, okuduğu alan yazından ya da verinin içinden gelebilir. Araştırmacı anlamlı bir bölümü kodlarken o bölümdeki anlamı en iyi yansıtabilecek bir kavram bulmaya çalışmakta ve gerekirse bu kavramı daha sonra değiştirmektedir.</w:t>
      </w:r>
      <w:r>
        <w:rPr>
          <w:rStyle w:val="FootnoteReference"/>
        </w:rPr>
        <w:footnoteReference w:id="31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“İçerik analizinin ilk aşaması verilerin kodlanmasıdır. Bu aşamada araştırmacı, elde ettiği bilgileri inceleyerek, anlamlı bölümlere ayırmaya ve her bölümün kavramsal olarak ne anlam ifade ettiğini bulmaya çalışır.”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228, PDF s. 226]</w:t>
      </w:r>
    </w:p>
    <w:p>
      <w:pPr>
        <w:pStyle w:val="Dogrulama"/>
        <w:spacing w:after="20" w:line="276"/>
        <w:ind w:left="567"/>
        <w:jc w:val="both"/>
      </w:pPr>
      <w:r>
        <w:rPr>
          <w:rFonts w:ascii="Times New Roman" w:cs="Traditional Arabic" w:eastAsia="Times New Roman" w:hAnsi="Times New Roman"/>
          <w:i/>
          <w:iCs/>
          <w:sz w:val="22"/>
          <w:szCs w:val="22"/>
        </w:rPr>
        <w:t xml:space="preserve">“Kodlamada kullanılan kavramlar, araştırmacının kendisinden, okuduğu alanyazından ya da verinin içinden gelebilir. Araştırmacı, veriler arasında saptadığı anlamlı bir bölümü kavramlaştırırken ya da kodlarken, o bölümdeki anlamı en iyi yansıtabilecek bir kavram bulmaya çalışır. Gerekirse bu kavram daha sonra değiştirilebilir.”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229, PDF s. 227]</w:t>
      </w:r>
    </w:p>
    <w:p>
      <w:pPr>
        <w:spacing w:after="120" w:line="360"/>
        <w:ind w:firstLine="567"/>
        <w:jc w:val="both"/>
      </w:pPr>
      <w:r>
        <w:rPr>
          <w:rFonts w:ascii="Times New Roman" w:cs="Traditional Arabic" w:eastAsia="Times New Roman" w:hAnsi="Times New Roman"/>
          <w:i w:val="false"/>
          <w:sz w:val="24"/>
          <w:szCs w:val="24"/>
        </w:rPr>
        <w:t xml:space="preserve">Klasik gelenekte büyük metin topluluklarını anlamlı başlıklar altında düzenlemenin en etkileyici örneklerinden biri hadis musannefâtındaki bab başlıklarıdır. Daha önce altıncı bölümde anılan başlıkta Buhârî, babı “Söz ve amelden önce ilim” diye adlandırmakta, ardından bu başlığı bir âyetle gerekçelendirmekte ve âyetten hareketle Allah'ın ilimle başladığını belirtmektedir.</w:t>
      </w:r>
      <w:r>
        <w:rPr>
          <w:rStyle w:val="FootnoteReference"/>
        </w:rPr>
        <w:footnoteReference w:id="31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önceki babın başlığı ise “Nebî'nin ‘Kendisine tebliğ edilen nice kimse vardır ki işitenden daha iyi kavrar’ sözü” şeklindedir.</w:t>
      </w:r>
      <w:r>
        <w:rPr>
          <w:rStyle w:val="FootnoteReference"/>
        </w:rPr>
        <w:footnoteReference w:id="31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başlığın altındaki rivayette ise aynı anlam farklı kelimelerle geçmektedir: “Burada bulunan, bulunmayana tebliğ etsin. Çünkü burada bulunan, kendisinden daha iyi kavrayacak birine tebliğ edebilir.”</w:t>
      </w:r>
      <w:r>
        <w:rPr>
          <w:rStyle w:val="FootnoteReference"/>
        </w:rPr>
        <w:footnoteReference w:id="32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177. dipnottaki doğrulama bloğunda verilmiştir.]</w:t>
      </w:r>
    </w:p>
    <w:p>
      <w:pPr>
        <w:pStyle w:val="DogrulamaAR"/>
        <w:bidi/>
        <w:spacing w:after="20" w:line="300"/>
        <w:ind w:end="567"/>
        <w:jc w:val="both"/>
      </w:pPr>
      <w:r>
        <w:rPr>
          <w:rFonts w:ascii="Times New Roman" w:cs="Traditional Arabic" w:eastAsia="Times New Roman" w:hAnsi="Times New Roman"/>
          <w:i/>
          <w:iCs/>
          <w:sz w:val="24"/>
          <w:szCs w:val="30"/>
          <w:rtl/>
        </w:rPr>
        <w:t xml:space="preserve">“٩ - بَابُ قَوْلِ النَّبِيِّ ﷺ: "رُبَّ مُبَلَّغٍ أَوْعَى مِنْ سَامِعٍ"”</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1284, page_id 215, basılı cilt/sayfa 1/242]</w:t>
      </w:r>
    </w:p>
    <w:p>
      <w:pPr>
        <w:pStyle w:val="DogrulamaAR"/>
        <w:bidi/>
        <w:spacing w:after="20" w:line="300"/>
        <w:ind w:end="567"/>
        <w:jc w:val="both"/>
      </w:pPr>
      <w:r>
        <w:rPr>
          <w:rFonts w:ascii="Times New Roman" w:cs="Traditional Arabic" w:eastAsia="Times New Roman" w:hAnsi="Times New Roman"/>
          <w:i/>
          <w:iCs/>
          <w:sz w:val="24"/>
          <w:szCs w:val="30"/>
          <w:rtl/>
        </w:rPr>
        <w:t xml:space="preserve">“لِيُبَلِّغِ الشَّاهِدُ الْغَائِبَ؛ فَإِنَّ الشَّاهِدَ عَسَى أَنْ يُبَلِّغَ مَنْ هُوَ أَوْعَى لَهُ مِنْهُ”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1284, page_id 216, basılı cilt/sayfa 1/243] Not: Ebû Bekre rivayeti, eserdeki numarası [٦٨]. Senet page_id 215'te (1/ 242) başlamaktadır.</w:t>
      </w:r>
    </w:p>
    <w:p>
      <w:pPr>
        <w:spacing w:after="120" w:line="360"/>
        <w:ind w:firstLine="567"/>
        <w:jc w:val="both"/>
      </w:pPr>
      <w:r>
        <w:rPr>
          <w:rFonts w:ascii="Times New Roman" w:cs="Traditional Arabic" w:eastAsia="Times New Roman" w:hAnsi="Times New Roman"/>
          <w:i w:val="false"/>
          <w:sz w:val="24"/>
          <w:szCs w:val="24"/>
        </w:rPr>
        <w:t xml:space="preserve">Bu iki örnek, bab başlıklarının iki farklı işlevini göstermektedir. İlkinde başlık, Buhârî'nin metinlerden çıkardığı bir hükmü ifade etmektedir ve başlığın hemen ardından bu hükmün gerekçesi verilmektedir. Bu yönüyle başlık, araştırmacının veriden çıkardığı kavramsal bir koda benzemektedir. Kodun gerekçesinin açıkça yazılması ise iyi bir analiz kaydının özelliğidir. İkinci örnekte başlık, altındaki rivayetin anlamını onun kelimelerini tekrar etmeden, özlü bir ifadeyle yoğunlaştırmaktadır. Bu da bir veri parçasının anlamını yansıtan özlü bir kodun işlevine benzemektedir.</w:t>
      </w:r>
    </w:p>
    <w:p>
      <w:pPr>
        <w:spacing w:after="120" w:line="360"/>
        <w:ind w:firstLine="567"/>
        <w:jc w:val="both"/>
      </w:pPr>
      <w:r>
        <w:rPr>
          <w:rFonts w:ascii="Times New Roman" w:cs="Traditional Arabic" w:eastAsia="Times New Roman" w:hAnsi="Times New Roman"/>
          <w:i w:val="false"/>
          <w:sz w:val="24"/>
          <w:szCs w:val="24"/>
        </w:rPr>
        <w:t xml:space="preserve">Bab başlıkları ile kodlar arasındaki farklar da önemlidir. Buhârî'nin burada incelenen ilk başlığı, bir âyetle gerekçelendirilen dinî bir hükmü ifade etmektedir.</w:t>
      </w:r>
      <w:r>
        <w:rPr>
          <w:rStyle w:val="FootnoteReference"/>
        </w:rPr>
        <w:footnoteReference w:id="32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araştırmanın kodları ise insanların tecrübelerine dair anlatımlar üzerine kurulan analitik etiketlerdir ve Yıldırım ve Şimşek'in belirttiği gibi gerekirse daha sonra değiştirilebilmektedir.</w:t>
      </w:r>
      <w:r>
        <w:rPr>
          <w:rStyle w:val="FootnoteReference"/>
        </w:rPr>
        <w:footnoteReference w:id="32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bab başlıklarının din eğitimcisine öğrettiği şey, kodlamanın sıradan bir etiketleme değil, bir yorum ve istinbat faaliyeti olduğudur. Kod, araştırmacının veriye sorduğu sorunun ve veriden anladığı şeyin özlü ifadesidir.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177.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317.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Üçüncü bölümde ele alınan tahkîku’l-menât kavramı, kodlamanın bu yorum boyutunu usûl diliyle ifade etmektedir. Gazzâlî’nin tespitine göre bir ölçüt bilinir hâle geldiğinde de o ölçütün her bir vakada gerçekleşip gerçekleşmediğinin tespiti bir ictihada muhtaçtır.</w:t>
      </w:r>
      <w:r>
        <w:rPr>
          <w:rStyle w:val="FootnoteReference"/>
        </w:rPr>
        <w:footnoteReference w:id="32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kod tanımı ne kadar açık yazılırsa yazılsın, bir görüşme parçasının o koda girip girmediğine karar vermek araştırmacının hükmünü gerektirmektedir. Bu sebeple nitel araştırmacı, özellikle sınırda kalan veri parçaları için verdiği kodlama kararlarını ve bunların gerekçelerini bir analiz günlüğüne kaydetmelidir. Bu kayıt, hem araştırmacının kendi tutarlılığını sınamasına hem de başka bir araştırmacının analizi denetleyebilmesine imkân verir.</w:t>
      </w:r>
    </w:p>
    <w:p>
      <w:pPr>
        <w:pStyle w:val="Heading2"/>
        <w:keepNext/>
        <w:spacing w:after="120" w:before="240"/>
      </w:pPr>
      <w:r>
        <w:rPr>
          <w:rFonts w:ascii="Times New Roman" w:cs="Traditional Arabic" w:eastAsia="Times New Roman" w:hAnsi="Times New Roman"/>
          <w:b/>
          <w:bCs/>
          <w:i w:val="false"/>
          <w:sz w:val="24"/>
          <w:szCs w:val="24"/>
        </w:rPr>
        <w:t xml:space="preserve">11.4. Temaların Bulunması ve İstikrâ</w:t>
      </w:r>
    </w:p>
    <w:p>
      <w:pPr>
        <w:spacing w:after="120" w:line="360"/>
        <w:ind w:firstLine="567"/>
        <w:jc w:val="both"/>
      </w:pPr>
      <w:r>
        <w:rPr>
          <w:rFonts w:ascii="Times New Roman" w:cs="Traditional Arabic" w:eastAsia="Times New Roman" w:hAnsi="Times New Roman"/>
          <w:i w:val="false"/>
          <w:sz w:val="24"/>
          <w:szCs w:val="24"/>
        </w:rPr>
        <w:t xml:space="preserve">Kodlamanın ardından araştırmacı kodları bir araya getirerek temalara ulaşmaya çalışmaktadır. Yıldırım ve Şimşek'e göre toplanan verilerin kodlanması ve bu kodlara göre sınıflandırılması yeterli değildir. İlk aşamada ortaya çıkan kodlardan yola çıkarak verileri genel düzeyde açıklayabilen ve kodları belli kategoriler altında toplayabilen temaların bulunması gerekmektedir.</w:t>
      </w:r>
      <w:r>
        <w:rPr>
          <w:rStyle w:val="FootnoteReference"/>
        </w:rPr>
        <w:footnoteReference w:id="32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tematik kodlama yaparken birkaç ilkeyi göz önünde bulundurmanın yararlı olduğunu belirtmektedir. Bunlardan ilki “iç tutarlık”la ilgilidir: Ortaya çıkan temanın altında yer alan verilerin anlamlı bir bütün oluşturup oluşturmadığı, tematik kodlamada dikkate alınması gereken önemli bir ögedir.</w:t>
      </w:r>
      <w:r>
        <w:rPr>
          <w:rStyle w:val="FootnoteReference"/>
        </w:rPr>
        <w:footnoteReference w:id="32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İkinci ilke, ortaya çıkan temaların tümünün araştırmada elde edilen verileri anlamlı bir biçimde açıklayabilmesidir. Temalar birbirinden farklı olmakla birlikte kendi aralarında anlamlı bir bütün oluşturabilmelidir. Yazarlar bu ilkenin “dış tutarlık”ı yansıttığını belirtmektedir.</w:t>
      </w:r>
      <w:r>
        <w:rPr>
          <w:rStyle w:val="FootnoteReference"/>
        </w:rPr>
        <w:footnoteReference w:id="32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veri setinin önemli bir bölümü ortaya çıkan temaların dışında kalıyorsa tematik kodlamanın etkili işlemediğini de belirtmektedir.</w:t>
      </w:r>
      <w:r>
        <w:rPr>
          <w:rStyle w:val="FootnoteReference"/>
        </w:rPr>
        <w:footnoteReference w:id="32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“Toplanan verilerin kodlanması ve bu kodlara göre sınıflandırılması yeterli değildir. İlk aşamada ortaya çıkan kodlardan yola çıkarak verileri, genel düzeyde açıklayabilen ve kodları belirli kategoriler altında toplayabilen temaların bulunması gerekmektedir.”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236, PDF s. 234]</w:t>
      </w:r>
    </w:p>
    <w:p>
      <w:pPr>
        <w:pStyle w:val="Dogrulama"/>
        <w:spacing w:after="20" w:line="276"/>
        <w:ind w:left="567"/>
        <w:jc w:val="both"/>
      </w:pPr>
      <w:r>
        <w:rPr>
          <w:rFonts w:ascii="Times New Roman" w:cs="Traditional Arabic" w:eastAsia="Times New Roman" w:hAnsi="Times New Roman"/>
          <w:i/>
          <w:iCs/>
          <w:sz w:val="22"/>
          <w:szCs w:val="22"/>
        </w:rPr>
        <w:t xml:space="preserve">“Tematik kodlama yaparken birkaç ilkeyi gözönünde bulundurmakta yarar vardır. Bunlardan ilki”iç tutarlığa” ilişkindir. Yani, ortaya çıkan temanın altında yer alan verilerin anlamlı bir bütün oluşturup oluşturmadığı, tematik kodlamada dikkate alınması gereken önemli bir ögedir.”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237, PDF s. 235]</w:t>
      </w:r>
    </w:p>
    <w:p>
      <w:pPr>
        <w:pStyle w:val="Dogrulama"/>
        <w:spacing w:after="20" w:line="276"/>
        <w:ind w:left="567"/>
        <w:jc w:val="both"/>
      </w:pPr>
      <w:r>
        <w:rPr>
          <w:rFonts w:ascii="Times New Roman" w:cs="Traditional Arabic" w:eastAsia="Times New Roman" w:hAnsi="Times New Roman"/>
          <w:i/>
          <w:iCs/>
          <w:sz w:val="22"/>
          <w:szCs w:val="22"/>
        </w:rPr>
        <w:t xml:space="preserve">“İkinci ilke ise, ortaya çıkan temaların tümünün araştırmada elde edilen verileri anlamlı bir biçimde açıklayabilmesine ilişkindir. Yani bu temaların, birbirlerinden farklı olmakla birlikte, kendi aralarında anlamlı bir bütün oluşturabilmesi gerekmektedir. Bu ilke de, tematik kodlamada”dış tutarlığı” yansıtır.”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237, PDF s. 235]</w:t>
      </w:r>
    </w:p>
    <w:p>
      <w:pPr>
        <w:pStyle w:val="Dogrulama"/>
        <w:spacing w:after="20" w:line="276"/>
        <w:ind w:left="567"/>
        <w:jc w:val="both"/>
      </w:pPr>
      <w:r>
        <w:rPr>
          <w:rFonts w:ascii="Times New Roman" w:cs="Traditional Arabic" w:eastAsia="Times New Roman" w:hAnsi="Times New Roman"/>
          <w:i/>
          <w:iCs/>
          <w:sz w:val="22"/>
          <w:szCs w:val="22"/>
        </w:rPr>
        <w:t xml:space="preserve">“Eğer veri setinin önemli bir bölümü ortaya çıkan temaların dışında kalıyorsa, tematik kodlama etkili bir biçimde işlemiyor demektir.”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237, PDF s. 235]</w:t>
      </w:r>
    </w:p>
    <w:p>
      <w:pPr>
        <w:spacing w:after="120" w:line="360"/>
        <w:ind w:firstLine="567"/>
        <w:jc w:val="both"/>
      </w:pPr>
      <w:r>
        <w:rPr>
          <w:rFonts w:ascii="Times New Roman" w:cs="Traditional Arabic" w:eastAsia="Times New Roman" w:hAnsi="Times New Roman"/>
          <w:i w:val="false"/>
          <w:sz w:val="24"/>
          <w:szCs w:val="24"/>
        </w:rPr>
        <w:t xml:space="preserve">Yıldırım ve Şimşek’in iç ve dış tutarlık ölçütleri, üçüncü bölümde Şinkîtî’den aktarılan taksîmin iki sıhhat şartıyla dikkat çekici bir uyum içindedir. Şinkîtî’ye göre sahih bir taksîm, taksîm edilenin bütün kısımlarını kuşatmalı ve onun kısımlarından olmayan bir şeyin girmesine mani olmalıdır.</w:t>
      </w:r>
      <w:r>
        <w:rPr>
          <w:rStyle w:val="FootnoteReference"/>
        </w:rPr>
        <w:footnoteReference w:id="32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Veri setinin önemli bir bölümünün temaların dışında kalması kuşatıcılık şartının, bir veri parçasının birden fazla temaya aynı ölçüde girebilmesi ise karışmama şartının ihlalidir. Şinkîtî’nin istikrâî taksîm için yaptığı kayıt da burada önemlidir. Veriden çıkan kategoriler ancak sahada mevcut olanları kuşatabilir. Araştırmacı temalarının kuşatıcılığını iddia ederken, bu kuşatıcılığın kendi veri setiyle sınırlı olduğunu da belirtmelidir.</w:t>
      </w:r>
    </w:p>
    <w:p>
      <w:pPr>
        <w:spacing w:after="120" w:line="360"/>
        <w:ind w:firstLine="567"/>
        <w:jc w:val="both"/>
      </w:pPr>
      <w:r>
        <w:rPr>
          <w:rFonts w:ascii="Times New Roman" w:cs="Traditional Arabic" w:eastAsia="Times New Roman" w:hAnsi="Times New Roman"/>
          <w:i w:val="false"/>
          <w:sz w:val="24"/>
          <w:szCs w:val="24"/>
        </w:rPr>
        <w:t xml:space="preserve">Dördüncü bölümde Şâtıbî'nin maʿnevî istikrâsı, temanın birbirine eklenen ve farklı amaçlara sahip delillerin toplamından doğması bakımından ele alınmıştı.</w:t>
      </w:r>
      <w:r>
        <w:rPr>
          <w:rStyle w:val="FootnoteReference"/>
        </w:rPr>
        <w:footnoteReference w:id="32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Gazzâlî'nin </w:t>
      </w:r>
      <w:r>
        <w:rPr>
          <w:rFonts w:ascii="Times New Roman" w:cs="Traditional Arabic" w:eastAsia="Times New Roman" w:hAnsi="Times New Roman"/>
          <w:i/>
          <w:iCs/>
          <w:sz w:val="24"/>
          <w:szCs w:val="24"/>
        </w:rPr>
        <w:t xml:space="preserve">el-Munkız</w:t>
      </w:r>
      <w:r>
        <w:rPr>
          <w:rFonts w:ascii="Times New Roman" w:cs="Traditional Arabic" w:eastAsia="Times New Roman" w:hAnsi="Times New Roman"/>
          <w:i w:val="false"/>
          <w:sz w:val="24"/>
          <w:szCs w:val="24"/>
        </w:rPr>
        <w:t xml:space="preserve">'da kendi imanının nasıl sağlamlaştığını anlattığı bir cümle de bu düşünceye yakındır. Gazzâlî imanın üç esasının nefsinde belirli ve yalın bir delille değil, ayrıntıları sayılamayacak sebepler, karineler ve tecrübelerle yerleştiğini söylemektedir.</w:t>
      </w:r>
      <w:r>
        <w:rPr>
          <w:rStyle w:val="FootnoteReference"/>
        </w:rPr>
        <w:footnoteReference w:id="33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ifade, sağlam bir kanaatin tek bir çarpıcı delilden değil, birbirini destekleyen pek çok işaretin birikiminden doğabileceğini göstermektedir. Nitel analizde de güçlü bir tema, tek bir katılımcının etkileyici bir cümlesine değil, farklı katılımcıların farklı bağlamlardaki anlatımlarının birikimine dayanmalıdır.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138. dipnottaki doğrulama bloğunda verilmiştir.]</w:t>
      </w:r>
    </w:p>
    <w:p>
      <w:pPr>
        <w:pStyle w:val="DogrulamaAR"/>
        <w:bidi/>
        <w:spacing w:after="20" w:line="300"/>
        <w:ind w:end="567"/>
        <w:jc w:val="both"/>
      </w:pPr>
      <w:r>
        <w:rPr>
          <w:rFonts w:ascii="Times New Roman" w:cs="Traditional Arabic" w:eastAsia="Times New Roman" w:hAnsi="Times New Roman"/>
          <w:i/>
          <w:iCs/>
          <w:sz w:val="24"/>
          <w:szCs w:val="30"/>
          <w:rtl/>
        </w:rPr>
        <w:t xml:space="preserve">“فهذه الأصول الثلاثة من الإيمان كانت قد رسخت في نفسي، لا بدليل معين مجرد، بل بأسباب وقرائن وتجارب لا تدخل تحت الحصر تفاصيلها.”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9246, page_id 59, basılı s. 173]</w:t>
      </w:r>
    </w:p>
    <w:p>
      <w:pPr>
        <w:spacing w:after="120" w:line="360"/>
        <w:ind w:firstLine="567"/>
        <w:jc w:val="both"/>
      </w:pPr>
      <w:r>
        <w:rPr>
          <w:rFonts w:ascii="Times New Roman" w:cs="Traditional Arabic" w:eastAsia="Times New Roman" w:hAnsi="Times New Roman"/>
          <w:i w:val="false"/>
          <w:sz w:val="24"/>
          <w:szCs w:val="24"/>
        </w:rPr>
        <w:t xml:space="preserve">Şerîf el-Cürcânî'nin </w:t>
      </w:r>
      <w:r>
        <w:rPr>
          <w:rFonts w:ascii="Times New Roman" w:cs="Traditional Arabic" w:eastAsia="Times New Roman" w:hAnsi="Times New Roman"/>
          <w:i/>
          <w:iCs/>
          <w:sz w:val="24"/>
          <w:szCs w:val="24"/>
        </w:rPr>
        <w:t xml:space="preserve">et-Taʿrîfât</w:t>
      </w:r>
      <w:r>
        <w:rPr>
          <w:rFonts w:ascii="Times New Roman" w:cs="Traditional Arabic" w:eastAsia="Times New Roman" w:hAnsi="Times New Roman"/>
          <w:i w:val="false"/>
          <w:sz w:val="24"/>
          <w:szCs w:val="24"/>
        </w:rPr>
        <w:t xml:space="preserve">'ındaki istikrâ maddesi ise tümevarımın sınırını açık bir örnekle göstermektedir. Eserde istikrâ, bir küllî hakkında cüzlerinin çoğunda bulunmasına dayanarak hüküm vermek olarak tanımlanmaktadır. Buna istikrâ denmesinin sebebi, öncüllerinin ancak cüzlerin tek tek takip edilmesiyle elde edilmesidir. Verilen örnek şudur: Her hayvan çiğnerken alt çenesini hareket ettirir, çünkü insan, behâim (davarlar) ve yırtıcılar böyledir. Eserde bunun nâkıs bir istikrâ olduğu ve yakîn ifade etmediği, çünkü istikrâ edilmemiş bir cüzün bulunabileceği ve onun hükmünün istikrâ edilene aykırı olabileceği belirtilmektedir. Bunun örneği de timsahtır, çünkü timsah çiğnerken üst çenesini hareket ettirmektedir.</w:t>
      </w:r>
      <w:r>
        <w:rPr>
          <w:rStyle w:val="FootnoteReference"/>
        </w:rPr>
        <w:footnoteReference w:id="33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“الاستقراء: هو الحكم على كليٍّ بوجوده في أكثر جزئياته، وإنما قال: في أكثر جزئياته؛ لأن الحكم لو كان في جميع جزئياته لم يكن استقراءً، بل قياسًا مقسمًا، ويسمى هذا: استقراء؛ لأن مقدماته لا تحصل إلا بتتبع الجزئيات، كقولنا: كل حيوان يحرك فكه الأسفل عند المضغ؛ لأن الإنسان والبهائم والسباع كذلك، وهو استقراء ناقص لا يفيد اليقين لجواز وجود جزئي لم يستقرأ، ويكون حكمه مخالفًا لما استقرئ كالتمساح؛ فإنه يحرك فكه الأعلى عند المضغ.”</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7312, page_id 13, basılı s. 18]</w:t>
      </w:r>
    </w:p>
    <w:p>
      <w:pPr>
        <w:spacing w:after="120" w:line="360"/>
        <w:ind w:firstLine="567"/>
        <w:jc w:val="both"/>
      </w:pPr>
      <w:r>
        <w:rPr>
          <w:rFonts w:ascii="Times New Roman" w:cs="Traditional Arabic" w:eastAsia="Times New Roman" w:hAnsi="Times New Roman"/>
          <w:i w:val="false"/>
          <w:sz w:val="24"/>
          <w:szCs w:val="24"/>
        </w:rPr>
        <w:t xml:space="preserve">Timsah örneği, nitel analizde aykırı durumların önemini hatırlatan akılda kalıcı bir örnektir. Araştırmacı bir tema oluşturduğunda, o temaya uymayan anlatımları görmezden gelmemeli, onları ayrıca incelemelidir. Bir aykırı durum bazen temanın sınırını gösterir, bazen de yeni bir temanın habercisi olur. Benzerliğin sınırı ise </w:t>
      </w:r>
      <w:r>
        <w:rPr>
          <w:rFonts w:ascii="Times New Roman" w:cs="Traditional Arabic" w:eastAsia="Times New Roman" w:hAnsi="Times New Roman"/>
          <w:i/>
          <w:iCs/>
          <w:sz w:val="24"/>
          <w:szCs w:val="24"/>
        </w:rPr>
        <w:t xml:space="preserve">et-Taʿrîfât</w:t>
      </w:r>
      <w:r>
        <w:rPr>
          <w:rFonts w:ascii="Times New Roman" w:cs="Traditional Arabic" w:eastAsia="Times New Roman" w:hAnsi="Times New Roman"/>
          <w:i w:val="false"/>
          <w:sz w:val="24"/>
          <w:szCs w:val="24"/>
        </w:rPr>
        <w:t xml:space="preserve">'taki istikrâ tanımının mantıkta bir küllî önermenin geçerliliğini konu edinmesidir. Nitel analizde amaç bütün katılımcılar için geçerli bir önerme kurmak değil, tecrübenin farklı biçimlerini görünür kılmaktır. Bu nedenle nitel araştırmacı için aykırı durum, bir genellemeyi bozan istisna olmaktan çok, tecrübenin çeşitliliğini gösteren bir veridir.</w:t>
      </w:r>
    </w:p>
    <w:p>
      <w:pPr>
        <w:pStyle w:val="Heading2"/>
        <w:keepNext/>
        <w:spacing w:after="120" w:before="240"/>
      </w:pPr>
      <w:r>
        <w:rPr>
          <w:rFonts w:ascii="Times New Roman" w:cs="Traditional Arabic" w:eastAsia="Times New Roman" w:hAnsi="Times New Roman"/>
          <w:b/>
          <w:bCs/>
          <w:i w:val="false"/>
          <w:sz w:val="24"/>
          <w:szCs w:val="24"/>
        </w:rPr>
        <w:t xml:space="preserve">11.5. Sürekli Karşılaştırma: Fark ve Benzerlik</w:t>
      </w:r>
    </w:p>
    <w:p>
      <w:pPr>
        <w:spacing w:after="120" w:line="360"/>
        <w:ind w:firstLine="567"/>
        <w:jc w:val="both"/>
      </w:pPr>
      <w:r>
        <w:rPr>
          <w:rFonts w:ascii="Times New Roman" w:cs="Traditional Arabic" w:eastAsia="Times New Roman" w:hAnsi="Times New Roman"/>
          <w:i w:val="false"/>
          <w:sz w:val="24"/>
          <w:szCs w:val="24"/>
        </w:rPr>
        <w:t xml:space="preserve">Nitel analizin temel işlemlerinden biri, veri parçalarını, kodları ve kategorileri birbiriyle sürekli olarak karşılaştırmaktır. Klasik fıkıh düşüncesinde bu işleme benzeyen bir yöntem furûk eserlerinde görülmektedir. Karâfî </w:t>
      </w:r>
      <w:r>
        <w:rPr>
          <w:rFonts w:ascii="Times New Roman" w:cs="Traditional Arabic" w:eastAsia="Times New Roman" w:hAnsi="Times New Roman"/>
          <w:i/>
          <w:iCs/>
          <w:sz w:val="24"/>
          <w:szCs w:val="24"/>
        </w:rPr>
        <w:t xml:space="preserve">el-Furûk</w:t>
      </w:r>
      <w:r>
        <w:rPr>
          <w:rFonts w:ascii="Times New Roman" w:cs="Traditional Arabic" w:eastAsia="Times New Roman" w:hAnsi="Times New Roman"/>
          <w:i w:val="false"/>
          <w:sz w:val="24"/>
          <w:szCs w:val="24"/>
        </w:rPr>
        <w:t xml:space="preserve">'ta kaidelere dair bahislerin başlangıçlarını iki fer' ya da iki kaide arasındaki farkları zikrederek ve bu farkları sorarak yaptığını belirtmektedir.</w:t>
      </w:r>
      <w:r>
        <w:rPr>
          <w:rStyle w:val="FootnoteReference"/>
        </w:rPr>
        <w:footnoteReference w:id="33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bir kaideyi, zâhirde ona benzeyen ve bâtında ona zıt olan şeyle birlikte ele almak daha uygundur.</w:t>
      </w:r>
      <w:r>
        <w:rPr>
          <w:rStyle w:val="FootnoteReference"/>
        </w:rPr>
        <w:footnoteReference w:id="33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Karâfî, kaidelerin bir arada sunulmasının etkisine de dikkat çekmekte ve onlara vâkıf olanın nefsinin, onları dağınık gördüğü durumdan daha fazla, toplu halde onlardan etkilendiğini söylemektedir.</w:t>
      </w:r>
      <w:r>
        <w:rPr>
          <w:rStyle w:val="FootnoteReference"/>
        </w:rPr>
        <w:footnoteReference w:id="33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“وَجَعَلْتُ مَبَادِئَ الْمَبَاحِثِ فِي الْقَوَاعِدِ بِذِكْرِ الْفُرُوقِ وَالسُّؤَالِ عَنْهَا بَيْنَ فَرَعَيْنَ أَوْ قَاعِدَتَيْنِ”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2215, page_id 2, basılı cilt/sayfa 1/3]</w:t>
      </w:r>
    </w:p>
    <w:p>
      <w:pPr>
        <w:pStyle w:val="DogrulamaAR"/>
        <w:bidi/>
        <w:spacing w:after="20" w:line="300"/>
        <w:ind w:end="567"/>
        <w:jc w:val="both"/>
      </w:pPr>
      <w:r>
        <w:rPr>
          <w:rFonts w:ascii="Times New Roman" w:cs="Traditional Arabic" w:eastAsia="Times New Roman" w:hAnsi="Times New Roman"/>
          <w:i/>
          <w:iCs/>
          <w:sz w:val="24"/>
          <w:szCs w:val="30"/>
          <w:rtl/>
        </w:rPr>
        <w:t xml:space="preserve">“فَإِنَّ ضَمَّ الْقَاعِدَةِ إلَى مَا يُشَاكِلُهَا فِي الظَّاهِرِ وَيُضَادُّهَا فِي الْبَاطِنِ أَوْلَى”</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2215, page_id 2, basılı cilt/sayfa 1/3]</w:t>
      </w:r>
    </w:p>
    <w:p>
      <w:pPr>
        <w:pStyle w:val="DogrulamaAR"/>
        <w:bidi/>
        <w:spacing w:after="20" w:line="300"/>
        <w:ind w:end="567"/>
        <w:jc w:val="both"/>
      </w:pPr>
      <w:r>
        <w:rPr>
          <w:rFonts w:ascii="Times New Roman" w:cs="Traditional Arabic" w:eastAsia="Times New Roman" w:hAnsi="Times New Roman"/>
          <w:i/>
          <w:iCs/>
          <w:sz w:val="24"/>
          <w:szCs w:val="30"/>
          <w:rtl/>
        </w:rPr>
        <w:t xml:space="preserve">“وَتَكَيَّفَتْ نَفْسُ الْوَاقِفِ عَلَيْهَا بِهَا مُجْتَمِعَةً أَكْثَرَ مِمَّا إذَا رَآهَا مُفَرَّقَةً،”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2215, page_id 2, basılı cilt/sayfa 1/3]</w:t>
      </w:r>
    </w:p>
    <w:p>
      <w:pPr>
        <w:spacing w:after="120" w:line="360"/>
        <w:ind w:firstLine="567"/>
        <w:jc w:val="both"/>
      </w:pPr>
      <w:r>
        <w:rPr>
          <w:rFonts w:ascii="Times New Roman" w:cs="Traditional Arabic" w:eastAsia="Times New Roman" w:hAnsi="Times New Roman"/>
          <w:i w:val="false"/>
          <w:sz w:val="24"/>
          <w:szCs w:val="24"/>
        </w:rPr>
        <w:t xml:space="preserve">Bu üç cümle, nitel analizdeki sürekli karşılaştırmanın üç yönüne karşılık gelmektedir. Birincisi, iki benzer kodun arasındaki farkı sormaktır. “Dinî sorumluluk” ile “dinî korku” kodları ilk bakışta aynı veriyi işaretliyor gibi görünebilir. Araştırmacı bu ikisinin farkını sorduğunda, katılımcıların ibadete yüklediği farklı anlamları görmeye başlayabilir. İkincisi, dışta benzeyip içte ayrılan durumları özellikle karşılaştırmaktır. İki öğrencinin aynı sıklıkta camiye gitmesi, ikinci bölümdeki kurgusal örnekte olduğu gibi farklı anlamlara dayanabilir. Üçüncüsü, ilgili verileri bir araya getirmenin kendisinin bir kavrayış üretmesidir. Dağınık halde fark edilmeyen bir örüntü, ilgili veri parçaları bir tabloda yan yana getirildiğinde görünür hale gelebilir.</w:t>
      </w:r>
    </w:p>
    <w:p>
      <w:pPr>
        <w:spacing w:after="120" w:line="360"/>
        <w:ind w:firstLine="567"/>
        <w:jc w:val="both"/>
      </w:pPr>
      <w:r>
        <w:rPr>
          <w:rFonts w:ascii="Times New Roman" w:cs="Traditional Arabic" w:eastAsia="Times New Roman" w:hAnsi="Times New Roman"/>
          <w:i w:val="false"/>
          <w:sz w:val="24"/>
          <w:szCs w:val="24"/>
        </w:rPr>
        <w:t xml:space="preserve">Benzerliğin sınırı ise Karâfî'nin karşılaştırmalarının, zâhirde benzeyip bâtında ayrılan fıkhî kaideler ve fer'ler arasındaki farkları ortaya koymaya yönelik olmasıdır.</w:t>
      </w:r>
      <w:r>
        <w:rPr>
          <w:rStyle w:val="FootnoteReference"/>
        </w:rPr>
        <w:footnoteReference w:id="335"/>
      </w:r>
      <w:r>
        <w:rPr>
          <w:rStyle w:val="FootnoteReference"/>
        </w:rPr>
        <w:footnoteReference w:id="33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araştırmacının karşılaştırması ise kategorileri veriden inşa etmeye ve tecrübenin farklı biçimlerini ayırt etmeye yöneliktir. Karâfî'nin vardığı kaideler normatiftir, nitel araştırmacının vardığı kategoriler ise betimleyici ve yorumlayıcıdır.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332.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333.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11.6. Bulguların Yorumlanması</w:t>
      </w:r>
    </w:p>
    <w:p>
      <w:pPr>
        <w:spacing w:after="120" w:line="360"/>
        <w:ind w:firstLine="567"/>
        <w:jc w:val="both"/>
      </w:pPr>
      <w:r>
        <w:rPr>
          <w:rFonts w:ascii="Times New Roman" w:cs="Traditional Arabic" w:eastAsia="Times New Roman" w:hAnsi="Times New Roman"/>
          <w:i w:val="false"/>
          <w:sz w:val="24"/>
          <w:szCs w:val="24"/>
        </w:rPr>
        <w:t xml:space="preserve">Analizin son aşaması yorumdur. Yıldırım ve Şimşek, araştırmacının nitel araştırmada bilgi toplama sürecinin doğal bir parçası olduğunu ve onun incelenen konuyla ilgili düşüncelerinin büyük önem taşıdığını kabul etmekle birlikte, bu düşüncelerin daha önce sunulan verilerin tanımıyla tutarlı olmak zorunda olduğunu vurgulamaktadır. Onlara göre ilk elden toplanmış verilerle desteklenmeyen görüşlerin bir araştırmada sunulması uygun değildir.</w:t>
      </w:r>
      <w:r>
        <w:rPr>
          <w:rStyle w:val="FootnoteReference"/>
        </w:rPr>
        <w:footnoteReference w:id="33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“Daha önceki bölümlerde de tartışıldığı gibi araştırmacı, nitel araştırmada bilgi toplama sürecinin doğal bir parçasıdır ve onun incelenen konuyla ilgili düşünceleri büyük önem taşır. Ancak bu düşünceler, üçüncü aşamada sunulan verilerin tanımıyla tutarlı olmak zorundadır. Yani, ilk elden toplanmış verilerle desteklenmeyen görüşlerin bir araştırmada sunulması uygun değildir.”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238, PDF s. 236]</w:t>
      </w:r>
    </w:p>
    <w:p>
      <w:pPr>
        <w:spacing w:after="120" w:line="360"/>
        <w:ind w:firstLine="567"/>
        <w:jc w:val="both"/>
      </w:pPr>
      <w:r>
        <w:rPr>
          <w:rFonts w:ascii="Times New Roman" w:cs="Traditional Arabic" w:eastAsia="Times New Roman" w:hAnsi="Times New Roman"/>
          <w:i w:val="false"/>
          <w:sz w:val="24"/>
          <w:szCs w:val="24"/>
        </w:rPr>
        <w:t xml:space="preserve">Bu ilke, ikinci bölümde ele alınan İsrâ 17/36'daki “bilgin olmayan şeyin peşine düşme” uyarısının analiz aşamasındaki karşılığıdır. Araştırmacının kendi kanaatleri, inançları ya da önceki tecrübeleri ne kadar güçlü olursa olsun, veriye dayanmayan bir yorum bulgu gibi sunulamaz. Bu sınır, din eğitimi araştırmacısı için özellikle önemlidir. Araştırmacı, katılımcıların dinî tecrübelerini yorumlarken kendi teolojik kanaatlerini onların tecrübesine yüklememelidir. Bu kanaatler, raporda ayrı bir değerlendirme kısmında ve yazarın görüşü olarak açıkça ifade edilebilir.</w:t>
      </w:r>
    </w:p>
    <w:p>
      <w:pPr>
        <w:pStyle w:val="Heading2"/>
        <w:keepNext/>
        <w:spacing w:after="120" w:before="240"/>
      </w:pPr>
      <w:r>
        <w:rPr>
          <w:rFonts w:ascii="Times New Roman" w:cs="Traditional Arabic" w:eastAsia="Times New Roman" w:hAnsi="Times New Roman"/>
          <w:b/>
          <w:bCs/>
          <w:i w:val="false"/>
          <w:sz w:val="24"/>
          <w:szCs w:val="24"/>
        </w:rPr>
        <w:t xml:space="preserve">11.7. Din Eğitimi Uygulaması: Bir Görüşme Dökümünün Kodlanması</w:t>
      </w:r>
    </w:p>
    <w:p>
      <w:pPr>
        <w:spacing w:after="120" w:line="360"/>
        <w:ind w:firstLine="567"/>
        <w:jc w:val="both"/>
      </w:pPr>
      <w:r>
        <w:rPr>
          <w:rFonts w:ascii="Times New Roman" w:cs="Traditional Arabic" w:eastAsia="Times New Roman" w:hAnsi="Times New Roman"/>
          <w:i w:val="false"/>
          <w:sz w:val="24"/>
          <w:szCs w:val="24"/>
        </w:rPr>
        <w:t xml:space="preserve">Aşağıdaki kurgusal örnek, din kültürü ve ahlak bilgisi öğretmenleriyle yapılan görüşmelerden alınmış varsayımsal bir parçanın nasıl kodlanabileceğini ve kodların nasıl temalara dönüşebileceğini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Değerler eğitimi üzerine bir görüşme parçası</w:t>
      </w:r>
    </w:p>
    <w:p>
      <w:pPr>
        <w:shd w:fill="F2F2F2" w:color="auto" w:val="clear"/>
        <w:spacing w:after="60" w:line="300"/>
        <w:ind w:left="794" w:right="454"/>
        <w:jc w:val="both"/>
      </w:pPr>
      <w:r>
        <w:rPr>
          <w:rFonts w:ascii="Times New Roman" w:cs="Traditional Arabic" w:eastAsia="Times New Roman" w:hAnsi="Times New Roman"/>
          <w:i/>
          <w:iCs/>
          <w:sz w:val="22"/>
          <w:szCs w:val="22"/>
        </w:rPr>
        <w:t xml:space="preserve">“Sınıfta ‘doğruluk’ konusunu işlerken çocuklara hep peygamber kıssalarından örnek veriyordum. Bir gün bir öğrenci ‘hocam, ama babam işyerinde doğruyu söylerse işten atılırmış’ dedi. O an ne diyeceğimi bilemedim. O günden beri dersin başında önce onların hayatından bir durum soruyorum, kıssayı sonra anlatıyorum. Bazen de hiç anlatamadan ders bitiyor ama çocuklar daha çok konuşuyor.” (Öğretmen K3)</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Açık kodlar: kıssa ile öğretme, öğrencinin itirazı, değer ile gerçek hayat arasındaki gerilim, öğretmenin çaresizlik anı, öğretim sırasını değiştirme, öğrencinin hayatından başlama, programı yetiştirememe, katılımın artması.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Kategoriler: “Değer ile hayat arasındaki gerilim” (öğrencinin itirazı, değer ile gerçek hayat arasındaki gerilim, öğretmenin çaresizlik anı). “Öğretimin yeniden düzenlenmesi” (öğretim sırasını değiştirme, öğrencinin hayatından başlama). “Bedel ve kazanım” (programı yetiştirememe, katılımın artması).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Tema taslağı: “Kıssadan hayata, hayattan kıssaya: Öğretmenlerin değer öğretiminde sırayı tersine çevirmesi.” Araştırmacı bu temayı diğer öğretmenlerin anlatımlarıyla karşılaştırmakta ve sırayı tersine çevirmeyen öğretmenlerin anlatımlarını aykırı durumlar olarak ayrıca incelemektedir.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Analiz notu: Araştırmacı, öğretmenin “ne diyeceğimi bilemedim” ifadesini bir yetersizlik olarak değil, öğretmenin kendi uygulamasını sorgulamaya başladığı an olarak yorumlamaktadır. Bu yorum öğretmene geri götürülerek teyit edilecektir.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örnekte kodlar önce verinin kendi diline yakın tutulmakta, ardından araştırmacının kavramlarıyla kategorilere dönüştürülmektedir. Tema adı, Buhârî'nin bab başlıklarında görüldüğü gibi, verinin anlamını özlü bir ifadeyle yoğunlaştırmaktadır. Aykırı durumların ayrıca incelenmesi ise </w:t>
      </w:r>
      <w:r>
        <w:rPr>
          <w:rFonts w:ascii="Times New Roman" w:cs="Traditional Arabic" w:eastAsia="Times New Roman" w:hAnsi="Times New Roman"/>
          <w:i/>
          <w:iCs/>
          <w:sz w:val="24"/>
          <w:szCs w:val="24"/>
        </w:rPr>
        <w:t xml:space="preserve">et-Taʿrîfât</w:t>
      </w:r>
      <w:r>
        <w:rPr>
          <w:rFonts w:ascii="Times New Roman" w:cs="Traditional Arabic" w:eastAsia="Times New Roman" w:hAnsi="Times New Roman"/>
          <w:i w:val="false"/>
          <w:sz w:val="24"/>
          <w:szCs w:val="24"/>
        </w:rPr>
        <w:t xml:space="preserve">'taki timsah örneğinin işaret ettiği ihtiyatın uygulamasıdır.</w:t>
      </w:r>
    </w:p>
    <w:p>
      <w:pPr>
        <w:keepNext/>
        <w:spacing w:after="80" w:before="200"/>
      </w:pPr>
      <w:r>
        <w:rPr>
          <w:rFonts w:ascii="Times New Roman" w:cs="Traditional Arabic" w:eastAsia="Times New Roman" w:hAnsi="Times New Roman"/>
          <w:b/>
          <w:bCs/>
          <w:i w:val="false"/>
          <w:sz w:val="22"/>
          <w:szCs w:val="22"/>
        </w:rPr>
        <w:t xml:space="preserve">Tablo 11.1. On birinci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967"/>
        <w:gridCol w:w="967"/>
        <w:gridCol w:w="1814"/>
        <w:gridCol w:w="1572"/>
        <w:gridCol w:w="2297"/>
        <w:gridCol w:w="1451"/>
      </w:tblGrid>
      <w:tr>
        <w:trPr>
          <w:cantSplit/>
          <w:tblHeader/>
        </w:trPr>
        <w:tc>
          <w:tcPr>
            <w:tcW w:type="dxa" w:w="967"/>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967"/>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814"/>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572"/>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2297"/>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45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Veriye bağlı yorum</w:t>
            </w:r>
          </w:p>
        </w:tc>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Tenbih ile taʿbîr ayrımı</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İhyâ, 1/49 (Şamile 9472)</w:t>
            </w:r>
          </w:p>
        </w:tc>
        <w:tc>
          <w:tcPr>
            <w:tcW w:type="dxa" w:w="157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Derin anlamın yüzey metni koruyarak ifade edilmesi</w:t>
            </w:r>
          </w:p>
        </w:tc>
        <w:tc>
          <w:tcPr>
            <w:tcW w:type="dxa" w:w="229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dinî metni, araştırmacı insan anlatımını yorumlar</w:t>
            </w:r>
          </w:p>
        </w:tc>
        <w:tc>
          <w:tcPr>
            <w:tcW w:type="dxa" w:w="1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 sözünün yorumla değiştirilmemesi</w:t>
            </w:r>
          </w:p>
        </w:tc>
      </w:tr>
      <w:tr>
        <w:trPr>
          <w:cantSplit/>
        </w:trPr>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Tema temelli ve durum temelli sunum</w:t>
            </w:r>
          </w:p>
        </w:tc>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Meselelere ve kişilere göre tertip</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Şehristânî, el-Milel ve'n-nihal, 1/14 (Şamile 11812)</w:t>
            </w:r>
          </w:p>
        </w:tc>
        <w:tc>
          <w:tcPr>
            <w:tcW w:type="dxa" w:w="157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Sunum düzeninin amaca göre seçilmesi ve gerekçelendirilmesi</w:t>
            </w:r>
          </w:p>
        </w:tc>
        <w:tc>
          <w:tcPr>
            <w:tcW w:type="dxa" w:w="229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Şehristânî kelâmî görüşleri düzenler, betimsel analiz katılımcı görüşlerini düzenler</w:t>
            </w:r>
          </w:p>
        </w:tc>
        <w:tc>
          <w:tcPr>
            <w:tcW w:type="dxa" w:w="1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Betimsel analiz raporunun planlanması</w:t>
            </w:r>
          </w:p>
        </w:tc>
      </w:tr>
      <w:tr>
        <w:trPr>
          <w:cantSplit/>
        </w:trPr>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Kodlama</w:t>
            </w:r>
          </w:p>
        </w:tc>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Bab başlıkları (terâcim)</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Buhârî, Sahîhu'l-Buhârî, 1/242-243 (Şamile 1284)</w:t>
            </w:r>
          </w:p>
        </w:tc>
        <w:tc>
          <w:tcPr>
            <w:tcW w:type="dxa" w:w="157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Metinlerin anlamını özlü bir başlıkta yoğunlaştırma ve gerekçelendirme</w:t>
            </w:r>
          </w:p>
        </w:tc>
        <w:tc>
          <w:tcPr>
            <w:tcW w:type="dxa" w:w="229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Bab başlıkları sahih rivayetlere ve normatif hükümlere dayanır, kodlar değişebilir analitik etiketlerdir</w:t>
            </w:r>
          </w:p>
        </w:tc>
        <w:tc>
          <w:tcPr>
            <w:tcW w:type="dxa" w:w="1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dökümlerinin kodlanması</w:t>
            </w:r>
          </w:p>
        </w:tc>
      </w:tr>
      <w:tr>
        <w:trPr>
          <w:cantSplit/>
        </w:trPr>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Tema oluşturma</w:t>
            </w:r>
          </w:p>
        </w:tc>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Maʿnevî istikrâ ve karinelerin birikimi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Şâtıbî, el-Muvâfakât, 2/81 (Şamile 11435), Gazzâlî, el-Munkız, 173 (Şamile 9246)</w:t>
            </w:r>
          </w:p>
        </w:tc>
        <w:tc>
          <w:tcPr>
            <w:tcW w:type="dxa" w:w="157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Kanaatin çok sayıda işaretin birikiminden doğması</w:t>
            </w:r>
          </w:p>
        </w:tc>
        <w:tc>
          <w:tcPr>
            <w:tcW w:type="dxa" w:w="229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metinlerde ulaşılan sonuç bağlayıcı bir ilke ya da iman kanaatidir</w:t>
            </w:r>
          </w:p>
        </w:tc>
        <w:tc>
          <w:tcPr>
            <w:tcW w:type="dxa" w:w="1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Temaların farklı katılımcıların anlatımlarına dayandırılması</w:t>
            </w:r>
          </w:p>
        </w:tc>
      </w:tr>
      <w:tr>
        <w:trPr>
          <w:cantSplit/>
        </w:trPr>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Aykırı durum analizi</w:t>
            </w:r>
          </w:p>
        </w:tc>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Eksik istikrâ ve timsah örneği</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Şerîf el-Cürcânî, et-Taʿrîfât, 18 (Şamile 7312)</w:t>
            </w:r>
          </w:p>
        </w:tc>
        <w:tc>
          <w:tcPr>
            <w:tcW w:type="dxa" w:w="157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İncelenmemiş bir cüzün hükmü bozabileceğinin bilinmesi</w:t>
            </w:r>
          </w:p>
        </w:tc>
        <w:tc>
          <w:tcPr>
            <w:tcW w:type="dxa" w:w="229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Mantıkta istisna önermeyi bozar, nitel analizde çeşitliliği gösterir</w:t>
            </w:r>
          </w:p>
        </w:tc>
        <w:tc>
          <w:tcPr>
            <w:tcW w:type="dxa" w:w="1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Temaya uymayan anlatımların ayrıca incelenmesi</w:t>
            </w:r>
          </w:p>
        </w:tc>
      </w:tr>
      <w:tr>
        <w:trPr>
          <w:cantSplit/>
        </w:trPr>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Sürekli karşılaştırma</w:t>
            </w:r>
          </w:p>
        </w:tc>
        <w:tc>
          <w:tcPr>
            <w:tcW w:type="dxa" w:w="96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Furûk</w:t>
            </w:r>
          </w:p>
        </w:tc>
        <w:tc>
          <w:tcPr>
            <w:tcW w:type="dxa" w:w="1814"/>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Karâfî, el-Furûk, 1/3 (Şamile 2215)</w:t>
            </w:r>
          </w:p>
        </w:tc>
        <w:tc>
          <w:tcPr>
            <w:tcW w:type="dxa" w:w="157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Zâhirde benzeyip bâtında ayrılan şeylerin karşılaştırılması</w:t>
            </w:r>
          </w:p>
        </w:tc>
        <w:tc>
          <w:tcPr>
            <w:tcW w:type="dxa" w:w="229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Furûk normatif kaideleri, sürekli karşılaştırma betimleyici kategorileri hedefler</w:t>
            </w:r>
          </w:p>
        </w:tc>
        <w:tc>
          <w:tcPr>
            <w:tcW w:type="dxa" w:w="1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Benzer kodların farklarının sorulması</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ON İKİNCİ BÖLÜM</w:t>
      </w:r>
    </w:p>
    <w:p>
      <w:pPr>
        <w:pStyle w:val="Heading1"/>
        <w:spacing w:after="360"/>
        <w:jc w:val="center"/>
      </w:pPr>
      <w:r>
        <w:rPr>
          <w:rFonts w:ascii="Times New Roman" w:cs="Traditional Arabic" w:eastAsia="Times New Roman" w:hAnsi="Times New Roman"/>
          <w:b/>
          <w:bCs/>
          <w:i w:val="false"/>
          <w:color w:val="1F3864"/>
          <w:sz w:val="28"/>
          <w:szCs w:val="28"/>
        </w:rPr>
        <w:t xml:space="preserve">12. Geçerlik ve Güvenirlik</w:t>
      </w:r>
    </w:p>
    <w:p>
      <w:pPr>
        <w:spacing w:after="120" w:line="360"/>
        <w:ind w:firstLine="567"/>
        <w:jc w:val="both"/>
      </w:pPr>
      <w:r>
        <w:rPr>
          <w:rFonts w:ascii="Times New Roman" w:cs="Traditional Arabic" w:eastAsia="Times New Roman" w:hAnsi="Times New Roman"/>
          <w:i w:val="false"/>
          <w:sz w:val="24"/>
          <w:szCs w:val="24"/>
        </w:rPr>
        <w:t xml:space="preserve">Bir araştırmanın değeri, okurun onun sonuçlarına ne ölçüde güvenebileceğiyle yakından ilgilidir. Yıldırım ve Şimşek sonuçların inandırıcılığının bilimsel araştırmanın en önemli ölçütlerinden biri olarak kabul edildiğini belirtmektedir.</w:t>
      </w:r>
      <w:r>
        <w:rPr>
          <w:rStyle w:val="FootnoteReference"/>
        </w:rPr>
        <w:footnoteReference w:id="33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Yazarların kaydettiğine göre nitel araştırmaya yöneltilen en önemli eleştirilerden biri, özellikle güvenirlik konusunda nicel araştırmalardaki gibi yaygın olarak kullanılan tanımların, yöntemlerin ve testlerin bulunmayışıdır.</w:t>
      </w:r>
      <w:r>
        <w:rPr>
          <w:rStyle w:val="FootnoteReference"/>
        </w:rPr>
        <w:footnoteReference w:id="33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ise nitel araştırmada da geçerlik ve güvenirlik için birtakım önlemler alındığını, ancak bu önlemlerin nicel araştırmadakilerden önemli ölçüde farklı olduğunu vurgulamaktadır.</w:t>
      </w:r>
      <w:r>
        <w:rPr>
          <w:rStyle w:val="FootnoteReference"/>
        </w:rPr>
        <w:footnoteReference w:id="34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bölümde bu önlemler, hadis usulünün râvi ve rivayet tenkidi için geliştirdiği kavramlarla ve İbn Haldûn'un haber tenkidine dair uyarılarıyla birlikte ele alınmaktadır. Girişte belirtilen daraltma bu bölümün merkezindedir. Klasik tenkit ölçütleri burada katılımcıya değil, araştırmacıya ve onun kayıt, analiz ve yorum süreçlerine uygulanmaktadır.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“Sonuçların inandırıcılığı, bilimsel araştırmanın en önemli ölçütlerinden biri olarak kabul edilir.”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[255], PDF s. 253] Not: 255 numaralı sayfada basılı sayfa numarası görünmemektedir (bölüm açılış sayfası). Köşeli ayraç içindeki numara, önceki ve sonraki sayfaların basılı numaralarından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“Nitel araştırmaya yöneltilen en önemli eleştirilerden birisi, özellikle güvenirlik konusunda nicel araştırmalarda olduğu gibi yaygın olarak kullanılan tanımların, yöntemlerin ve testlerin olmayışıdır.”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[255], PDF s. 253] Not: 255 numaralı sayfada basılı sayfa numarası görünmemektedir (bölüm açılış sayfası). Köşeli ayraç içindeki numara, önceki ve sonraki sayfaların basılı numaralarından çıkarılmıştır.</w:t>
      </w:r>
    </w:p>
    <w:p>
      <w:pPr>
        <w:pStyle w:val="Dogrulama"/>
        <w:spacing w:after="20" w:line="276"/>
        <w:ind w:left="567"/>
        <w:jc w:val="both"/>
      </w:pPr>
      <w:r>
        <w:rPr>
          <w:rFonts w:ascii="Times New Roman" w:cs="Traditional Arabic" w:eastAsia="Times New Roman" w:hAnsi="Times New Roman"/>
          <w:i/>
          <w:iCs/>
          <w:sz w:val="22"/>
          <w:szCs w:val="22"/>
        </w:rPr>
        <w:t xml:space="preserve">“Oysa nitel araştırmada gerek güvenirlik gerekse geçerlik ile ilgili alınan birtakım önlemler vardır. Ancak bu önlemler nicel araştırmadaki önlemlerden önemli ölçüde farklıdır.”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[255], PDF s. 253] Not: 255 numaralı sayfada basılı sayfa numarası görünmemektedir (bölüm açılış sayfası). Köşeli ayraç içindeki numara, önceki ve sonraki sayfaların basılı numaralarından çıkarılmıştır.</w:t>
      </w:r>
    </w:p>
    <w:p>
      <w:pPr>
        <w:pStyle w:val="Heading2"/>
        <w:keepNext/>
        <w:spacing w:after="120" w:before="240"/>
      </w:pPr>
      <w:r>
        <w:rPr>
          <w:rFonts w:ascii="Times New Roman" w:cs="Traditional Arabic" w:eastAsia="Times New Roman" w:hAnsi="Times New Roman"/>
          <w:b/>
          <w:bCs/>
          <w:i w:val="false"/>
          <w:sz w:val="24"/>
          <w:szCs w:val="24"/>
        </w:rPr>
        <w:t xml:space="preserve">12.1. Nitel Araştırmada İnandırıcılığın Kaynakları</w:t>
      </w:r>
    </w:p>
    <w:p>
      <w:pPr>
        <w:spacing w:after="120" w:line="360"/>
        <w:ind w:firstLine="567"/>
        <w:jc w:val="both"/>
      </w:pPr>
      <w:r>
        <w:rPr>
          <w:rFonts w:ascii="Times New Roman" w:cs="Traditional Arabic" w:eastAsia="Times New Roman" w:hAnsi="Times New Roman"/>
          <w:i w:val="false"/>
          <w:sz w:val="24"/>
          <w:szCs w:val="24"/>
        </w:rPr>
        <w:t xml:space="preserve">Yıldırım ve Şimşek nitel araştırmanın bazı temel özelliklerinin geçerlik açısından önemli avantajlar sunduğunu belirtmektedir. Onlara göre araştırma alanına yakınlık, yüz yüze görüşmelerle ayrıntılı bilgi toplama, gözlemlerle doğal ortamda doğrudan bilgi toplama, uzun süreli bilgi toplama ve bulguları teyit etmek için alana geri dönebilme imkânı, nitel araştırmada geçerliği sağlayan önemli özelliklerdir.</w:t>
      </w:r>
      <w:r>
        <w:rPr>
          <w:rStyle w:val="FootnoteReference"/>
        </w:rPr>
        <w:footnoteReference w:id="34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toplanan verilerin ayrıntılı olarak raporlanmasını ve araştırmacının sonuçlara nasıl ulaştığını açıklamasını da nitel araştırmada geçerliğin önemli ölçütleri arasında saymaktadır.</w:t>
      </w:r>
      <w:r>
        <w:rPr>
          <w:rStyle w:val="FootnoteReference"/>
        </w:rPr>
        <w:footnoteReference w:id="34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“Aynı şekilde, araştırma alanına olan yakınlık, yüz yüze görüşmeler yoluyla ayrıntılı ve derinlemesine bilgi toplama, gözlemler yoluyla doğrudan ve olayın gerçekleştiği doğal ortam içinde bilgi toplama, uzun süreli bilgi toplama ve elde edilen bulguların teyit edilmesi için alana geri gidebilme ve ek bilgi toplama olanağının olması nitel araştırmada geçerliği oluşturmayı sağlayan önemli özelliklerdir.”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256, PDF s. 254]</w:t>
      </w:r>
    </w:p>
    <w:p>
      <w:pPr>
        <w:pStyle w:val="Dogrulama"/>
        <w:spacing w:after="20" w:line="276"/>
        <w:ind w:left="567"/>
        <w:jc w:val="both"/>
      </w:pPr>
      <w:r>
        <w:rPr>
          <w:rFonts w:ascii="Times New Roman" w:cs="Traditional Arabic" w:eastAsia="Times New Roman" w:hAnsi="Times New Roman"/>
          <w:i/>
          <w:iCs/>
          <w:sz w:val="22"/>
          <w:szCs w:val="22"/>
        </w:rPr>
        <w:t xml:space="preserve">“Toplanan verilerin ayrıntılı olarak rapor edilmesi ve araştırmacının sonuçlara nasıl ulaştığını açıklaması nitel bir araştırmada geçerliğin önemli ölçütleri arasında yer almaktadır.”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257, PDF s. 255]</w:t>
      </w:r>
    </w:p>
    <w:p>
      <w:pPr>
        <w:spacing w:after="120" w:line="360"/>
        <w:ind w:firstLine="567"/>
        <w:jc w:val="both"/>
      </w:pPr>
      <w:r>
        <w:rPr>
          <w:rFonts w:ascii="Times New Roman" w:cs="Traditional Arabic" w:eastAsia="Times New Roman" w:hAnsi="Times New Roman"/>
          <w:i w:val="false"/>
          <w:sz w:val="24"/>
          <w:szCs w:val="24"/>
        </w:rPr>
        <w:t xml:space="preserve">Bu ölçütlerin ortak noktası, inandırıcılığın tek bir istatistiksel testle değil, araştırma sürecinin bütün aşamalarında gösterilen özenle ve bu özenin okura açıkça gösterilmesiyle sağlanmasıdır. Yazarların ifadesiyle araştırmacıdan, kendisini ve araştırma süreçlerini sürekli olarak eleştirel bir gözle sorgulaması ve elde ettiği bulguların ve sonuçların gerçeği yansıtıp yansıtmadığını denetlemesi beklenmektedir.</w:t>
      </w:r>
      <w:r>
        <w:rPr>
          <w:rStyle w:val="FootnoteReference"/>
        </w:rPr>
        <w:footnoteReference w:id="34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bölümün sonunda geçerlik ile güvenirliği şöyle özetlemektedir: Doğru bilgiye ulaşma konusunda gerekli önlemlerin alınması geçerliği, araştırma sürecinin ve verilerin bir başka araştırmacının değerlendirmesine imkân verecek biçimde açık ve ayrıntılı tanımlanması ise güvenirliği ifade etmektedir.</w:t>
      </w:r>
      <w:r>
        <w:rPr>
          <w:rStyle w:val="FootnoteReference"/>
        </w:rPr>
        <w:footnoteReference w:id="34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“Araştırmacının sürekli olarak kendisini ve araştırma süreçlerini eleştirel bir gözle sorgulaması ve elde ettiği bulguların ve sonuçlarının gerçeği yansıtıp yansıtmadığını denetlemesi beklenmektedir.”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258, PDF s. 256]</w:t>
      </w:r>
    </w:p>
    <w:p>
      <w:pPr>
        <w:pStyle w:val="Dogrulama"/>
        <w:spacing w:after="20" w:line="276"/>
        <w:ind w:left="567"/>
        <w:jc w:val="both"/>
      </w:pPr>
      <w:r>
        <w:rPr>
          <w:rFonts w:ascii="Times New Roman" w:cs="Traditional Arabic" w:eastAsia="Times New Roman" w:hAnsi="Times New Roman"/>
          <w:i/>
          <w:iCs/>
          <w:sz w:val="22"/>
          <w:szCs w:val="22"/>
        </w:rPr>
        <w:t xml:space="preserve">“Özet olarak, doğru bilgiye ulaşma konusunda gereken önlemlerin alınması (yani”geçerlik”) ve araştırma sürecini ve verileri açık ve ayrıntılı bir biçimde, yani bir başka araştırmacının değerlendirmesine olanak verecek biçimde tanımlanması (yani “güvenirlik”), nitel araştırmacının karşılaması gereken önemli beklentilerdir.”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274, PDF s. 272]</w:t>
      </w:r>
    </w:p>
    <w:p>
      <w:pPr>
        <w:spacing w:after="120" w:line="360"/>
        <w:ind w:firstLine="567"/>
        <w:jc w:val="both"/>
      </w:pPr>
      <w:r>
        <w:rPr>
          <w:rFonts w:ascii="Times New Roman" w:cs="Traditional Arabic" w:eastAsia="Times New Roman" w:hAnsi="Times New Roman"/>
          <w:i w:val="false"/>
          <w:sz w:val="24"/>
          <w:szCs w:val="24"/>
        </w:rPr>
        <w:t xml:space="preserve">Creswell de geçerlik stratejilerini araştırma önerisine aktif olarak dahil etmeyi ve birden fazla yaklaşımı birlikte kullanmayı önermektedir. Ona göre bu yaklaşımlar okurları bulguların doğruluğuna ikna etmenin yanında araştırmacının bulguların doğruluğunu değerlendirme yeteneğini de zenginleştirmelidir.</w:t>
      </w:r>
      <w:r>
        <w:rPr>
          <w:rStyle w:val="FootnoteReference"/>
        </w:rPr>
        <w:footnoteReference w:id="34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Creswell’in saydığı stratejiler arasında farklı veri kaynaklarından gelen delillerle temaların tutarlı bir doğrulamasının inşa edilmesi, ham dökümler yerine temaların ve önemli bulguların katılımcılara geri götürülmesi, ortamın ayrıntılı betimlenmesi, temalara aykırı bilginin de sunulması, sahada uzun süre bulunulması, akran incelemesi ve araştırmaya aşina olmayan bir dış denetçinin değerlendirmesi yer almaktadır. Creswell bu stratejilerden aykırı bilginin sunulmasını özellikle vurgulamaktadır. Ona göre gündelik hayat birbiriyle bütünleşik olmayan farklı bakış açılarından oluştuğu için karşıt bilginin tartışılması açıklamanın güvenirliğini artırmakta ve açıklamayı daha gerçekçi ve daha geçerli kılmaktadır.</w:t>
      </w:r>
      <w:r>
        <w:rPr>
          <w:rStyle w:val="FootnoteReference"/>
        </w:rPr>
        <w:footnoteReference w:id="34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“Araştırmacılar, geçerlik stratejilerini araştırma önerilerine aktif olarak dahil ederler. Çoklu yaklaşımların kullanımı tavsiye edilmektedir ve bu yaklaşımlar, okuyucuları bulguların doğruluğu için ikna etmenin yanında bulguların doğruluğunu değerlendirmek için araştırmacının yeteneğini de zenginleştirmelidir.”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201, PDF s. 232. Not: Aynı sayfadaki geçerlik ve güvenirlik tanımları Gibbs’e ve Creswell ile Miller’in ortak çalışmasına dayandırıldığı için kullanılmamıştır.]</w:t>
      </w:r>
    </w:p>
    <w:p>
      <w:pPr>
        <w:pStyle w:val="Dogrulama"/>
        <w:spacing w:after="20" w:line="276"/>
        <w:ind w:left="567"/>
        <w:jc w:val="both"/>
      </w:pPr>
      <w:r>
        <w:rPr>
          <w:rFonts w:ascii="Times New Roman" w:cs="Traditional Arabic" w:eastAsia="Times New Roman" w:hAnsi="Times New Roman"/>
          <w:i/>
          <w:iCs/>
          <w:sz w:val="22"/>
          <w:szCs w:val="22"/>
        </w:rPr>
        <w:t xml:space="preserve">“Günlük yaşam, daima birbiriyle bütünleşik olmayan farklı perspektiflerden oluştuğu için, karşıt bilginin eklenmesinin tartışılması açıklamanın güvenirliğine eklenir.”</w:t>
      </w:r>
      <w:r>
        <w:rPr>
          <w:rFonts w:ascii="Times New Roman" w:cs="Traditional Arabic" w:eastAsia="Times New Roman" w:hAnsi="Times New Roman"/>
          <w:i w:val="false"/>
          <w:sz w:val="22"/>
          <w:szCs w:val="22"/>
        </w:rPr>
        <w:t xml:space="preserve"> […] </w:t>
      </w:r>
      <w:r>
        <w:rPr>
          <w:rFonts w:ascii="Times New Roman" w:cs="Traditional Arabic" w:eastAsia="Times New Roman" w:hAnsi="Times New Roman"/>
          <w:i/>
          <w:iCs/>
          <w:sz w:val="22"/>
          <w:szCs w:val="22"/>
        </w:rPr>
        <w:t xml:space="preserve">“Bu karşıt delillerin sunumuyla, açıklama daha gerçekçi ve daha geçerli olacaktır.”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202, PDF s. 233]</w:t>
      </w:r>
    </w:p>
    <w:p>
      <w:pPr>
        <w:spacing w:after="120" w:line="360"/>
        <w:ind w:firstLine="567"/>
        <w:jc w:val="both"/>
      </w:pPr>
      <w:r>
        <w:rPr>
          <w:rFonts w:ascii="Times New Roman" w:cs="Traditional Arabic" w:eastAsia="Times New Roman" w:hAnsi="Times New Roman"/>
          <w:i w:val="false"/>
          <w:sz w:val="24"/>
          <w:szCs w:val="24"/>
        </w:rPr>
        <w:t xml:space="preserve">Tahkîk paradigması açısından bu önlemlerin hepsi tek bir ilkeye bağlanmaktadır. Üçüncü bölümde İbnü’s-Salâh’ın tespitiyle görüldüğü üzere usûlüne uygun verilen hüküm, nefsü’l-emre dair kesin bir hüküm değildir.</w:t>
      </w:r>
      <w:r>
        <w:rPr>
          <w:rStyle w:val="FootnoteReference"/>
        </w:rPr>
        <w:footnoteReference w:id="34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nitel bulgu da usûlüne uygun yürütülmüş bir sürecin hükmüdür. İnandırıcılık önlemleri bu hükmü hakikate yaklaştırmak için alınmaktadır, fakat hiçbiri hükmü hakikatin kendisine dönüştürmemektedir. Aynı şekilde bir yorumun desteklenememesi de onun yanlış olduğu anlamına gelmemekte, yalnızca mevcut veriyle ve mevcut usûlle temellendirilemediğini göstermektedir. Bu ayrım, araştırmacının bulgularını hem iddiasız hem de güvenle sunabilmesinin zeminidir.</w:t>
      </w:r>
    </w:p>
    <w:p>
      <w:pPr>
        <w:pStyle w:val="Heading2"/>
        <w:keepNext/>
        <w:spacing w:after="120" w:before="240"/>
      </w:pPr>
      <w:r>
        <w:rPr>
          <w:rFonts w:ascii="Times New Roman" w:cs="Traditional Arabic" w:eastAsia="Times New Roman" w:hAnsi="Times New Roman"/>
          <w:b/>
          <w:bCs/>
          <w:i w:val="false"/>
          <w:sz w:val="24"/>
          <w:szCs w:val="24"/>
        </w:rPr>
        <w:t xml:space="preserve">12.2. Adalet ve Zabt: Araştırmacının Dürüstlüğü ve Kayıt Titizliği</w:t>
      </w:r>
    </w:p>
    <w:p>
      <w:pPr>
        <w:spacing w:after="120" w:line="360"/>
        <w:ind w:firstLine="567"/>
        <w:jc w:val="both"/>
      </w:pPr>
      <w:r>
        <w:rPr>
          <w:rFonts w:ascii="Times New Roman" w:cs="Traditional Arabic" w:eastAsia="Times New Roman" w:hAnsi="Times New Roman"/>
          <w:i w:val="false"/>
          <w:sz w:val="24"/>
          <w:szCs w:val="24"/>
        </w:rPr>
        <w:t xml:space="preserve">Hadis usulünde bir rivayetin kabulü, onu aktaran râvinin niteliklerine bağlanmıştır. İbnü's-Salâh, hadis ve fıkıh imamlarının büyük çoğunluğunun, rivayetiyle delil getirilecek kimsenin adil ve rivayet ettiğini zabteden biri olmasını şart koştuğunu belirtmekte ve bu şartı ayrıntılandırmaktadır. Râvi Müslüman, buluğa ermiş ve akıllı olmalı, fıskın sebeplerinden ve mürüvveti bozan şeylerden salim, uyanık ve gaflete düşmeyen, ezberinden rivayet ediyorsa hafız ve kitabını zabteden biri olmalıdır.</w:t>
      </w:r>
      <w:r>
        <w:rPr>
          <w:rStyle w:val="FootnoteReference"/>
        </w:rPr>
        <w:footnoteReference w:id="34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8.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Bu şartlar katılımcıya uygulanamaz. Nitel araştırmada bir katılımcının anlatımı onun ahlaki niteliklerine göre kabul ya da reddedilmemektedir. Bir öğrencinin, bir velinin ya da bir öğretmenin tecrübesi, onun dindarlığı ya da güvenilirliği ne olursa olsun, kendi tecrübesi olarak değerlidir. Ancak bu şartların bir kısmı, katılımcının sözünü kaydeden, aktaran ve raporlayan araştırmacıya uygulandığında anlamlı bir ölçü sunmaktadır. Adalet, araştırmacının dürüstlüğüne, yani duymadığını duymuş gibi, görmediğini görmüş gibi yazmamasına karşılık gelmektedir. Uyanık olmak ve gaflete düşmemek, sahadaki dikkatin adıdır. Kitabını zabtetmek ise ses kayıtlarının, dökümlerin ve alan notlarının titizlikle tutulması ve korunmasıdır. Kanaatimizce klasik râvi tenkidinin nitel araştırmaya en sağlam biçimde taşınabilen yönü budur. Okur, araştırmacının râvisi olduğu verileri ancak araştırmacının adaleti ve zabtı ölçüsünde güvenle okuyabilir.</w:t>
      </w:r>
    </w:p>
    <w:p>
      <w:pPr>
        <w:spacing w:after="120" w:line="360"/>
        <w:ind w:firstLine="567"/>
        <w:jc w:val="both"/>
      </w:pPr>
      <w:r>
        <w:rPr>
          <w:rFonts w:ascii="Times New Roman" w:cs="Traditional Arabic" w:eastAsia="Times New Roman" w:hAnsi="Times New Roman"/>
          <w:i w:val="false"/>
          <w:sz w:val="24"/>
          <w:szCs w:val="24"/>
        </w:rPr>
        <w:t xml:space="preserve">Müslim'in </w:t>
      </w:r>
      <w:r>
        <w:rPr>
          <w:rFonts w:ascii="Times New Roman" w:cs="Traditional Arabic" w:eastAsia="Times New Roman" w:hAnsi="Times New Roman"/>
          <w:i/>
          <w:iCs/>
          <w:sz w:val="24"/>
          <w:szCs w:val="24"/>
        </w:rPr>
        <w:t xml:space="preserve">Sahîh</w:t>
      </w:r>
      <w:r>
        <w:rPr>
          <w:rFonts w:ascii="Times New Roman" w:cs="Traditional Arabic" w:eastAsia="Times New Roman" w:hAnsi="Times New Roman"/>
          <w:i w:val="false"/>
          <w:sz w:val="24"/>
          <w:szCs w:val="24"/>
        </w:rPr>
        <w:t xml:space="preserve">'inin mukaddimesinde senediyle naklettiğine göre Muhammed b. Sîrîn, “Şüphesiz bu ilim dindir, dininizi kimden aldığınıza bakın” demiştir.</w:t>
      </w:r>
      <w:r>
        <w:rPr>
          <w:rStyle w:val="FootnoteReference"/>
        </w:rPr>
        <w:footnoteReference w:id="34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söz, dinî bilginin kaynağına gösterilmesi gereken özeni ifade etmektedir. Kanaatimizce bu sözün araştırma bağlamındaki karşılığı, katılımcıların değil, araştırmanın kendisinin sorgulanmasıdır. Din eğitimi alanında bir araştırmanın sonuçlarını okuyan öğretmen, program geliştirici ya da politika yapıcı, bu sonuçların kim tarafından, hangi yöntemle, hangi verilere dayanarak ve hangi özenle üretildiğine bakmalıdır. Araştırmacı da kendi alan yazınını oluştururken dayandığı çalışmaları aynı dikkatle seçmelidir.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“عَنْ مُحَمَّدِ بْنِ سِيرِينَ قَالَ: « إِنَّ هَذَا الْعِلْمَ دِينٌ فَانْظُرُوا عَمَّنْ تَأْخُذُونَ دِينَكُمْ ».”</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711, page_id 38, basılı cilt/sayfa 1/11] Not: Şamile'deki sayfa eserin mukaddime kısmındadır.</w:t>
      </w:r>
    </w:p>
    <w:p>
      <w:pPr>
        <w:spacing w:after="120" w:line="360"/>
        <w:ind w:firstLine="567"/>
        <w:jc w:val="both"/>
      </w:pPr>
      <w:r>
        <w:rPr>
          <w:rFonts w:ascii="Times New Roman" w:cs="Traditional Arabic" w:eastAsia="Times New Roman" w:hAnsi="Times New Roman"/>
          <w:i w:val="false"/>
          <w:sz w:val="24"/>
          <w:szCs w:val="24"/>
        </w:rPr>
        <w:t xml:space="preserve">Hadis usulünde bir rivayetin sıhhatine dair kanaatin ifade biçimine yansıması da araştırmacı için öğreticidir. İbnü's-Salâh, bazı rivayetler için “Resûlullah'tan şöyle rivayet edildi”, “ondan bize şöyle ulaştı”, “ondan şöyle vârid oldu”, “ondan şöyle geldi” ya da “bazıları rivayet etti” gibi ifadeler kullanılmasını söylemekte ve sıhhatinden ve zayıflığından şüphe edilen rivayette de hükmün böyle olduğunu belirtmektedir.</w:t>
      </w:r>
      <w:r>
        <w:rPr>
          <w:rStyle w:val="FootnoteReference"/>
        </w:rPr>
        <w:footnoteReference w:id="35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Kesinlik derecesinin dile yansıması gereği, nitel araştırma raporunun dili için de geçerlidir. Bir yorum yalnızca birkaç katılımcının anlatımına dayanıyorsa, araştırmacı onu “katılımcıların genel kanaati” gibi değil, “bazı katılımcıların anlatımlarından anlaşıldığı kadarıyla” gibi ihtiyatlı bir dille sunmalıdır. Benzerliğin sınırı, İbnü's-Salâh'ın kaygısının Hz. Peygamber'e nispetin sıhhati olmasıdır. Araştırmacının kaygısı ise kendi yorumuna duyulabilecek güvenin derecesidir.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“وَإِنَّمَا تَقُولُ فِيهِ: " رُوِيَ عَنْ رَسُولِ اللَّهِ ﷺ كَذَا وَكَذَا، أَوْ بَلَغَنَا عَنْهُ كَذَا وَكَذَا، أَوْ وَرَدَ عَنْهُ، أَوْ جَاءَ عَنْهُ، أَوْ رَوَى بَعْضُهُمْ " وَمَا أَشْبَهَ ذَلِكَ. وَهَكَذَا الْحُكْمُ فِيمَا تَشُكُّ فِي صِحَّتِهِ وَضَعْفِهِ،”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101, basılı s. 104] Not: Alıntıdaki “فيه” zamiri önceki cümlede söz konusu edilen rivayete racidir. Önceki cümle alıntıya dahil edilmemiştir.</w:t>
      </w:r>
    </w:p>
    <w:p>
      <w:pPr>
        <w:pStyle w:val="Heading2"/>
        <w:keepNext/>
        <w:spacing w:after="120" w:before="240"/>
      </w:pPr>
      <w:r>
        <w:rPr>
          <w:rFonts w:ascii="Times New Roman" w:cs="Traditional Arabic" w:eastAsia="Times New Roman" w:hAnsi="Times New Roman"/>
          <w:b/>
          <w:bCs/>
          <w:i w:val="false"/>
          <w:sz w:val="24"/>
          <w:szCs w:val="24"/>
        </w:rPr>
        <w:t xml:space="preserve">12.3. Çeşitleme ve İʿtibâr</w:t>
      </w:r>
    </w:p>
    <w:p>
      <w:pPr>
        <w:spacing w:after="120" w:line="360"/>
        <w:ind w:firstLine="567"/>
        <w:jc w:val="both"/>
      </w:pPr>
      <w:r>
        <w:rPr>
          <w:rFonts w:ascii="Times New Roman" w:cs="Traditional Arabic" w:eastAsia="Times New Roman" w:hAnsi="Times New Roman"/>
          <w:i w:val="false"/>
          <w:sz w:val="24"/>
          <w:szCs w:val="24"/>
        </w:rPr>
        <w:t xml:space="preserve">Çeşitleme, nitel araştırmada inandırıcılığı artırmanın en bilinen yollarından biridir. Yıldırım ve Şimşek'e göre katılımcılardan elde edilen verilerin benzer bilgileri verebilecek başka kişilerle teyit edilmesi örneklem çeşitlemesine, verilerin analizinde hem tematik hem de sayısal analizin kullanılması analiz çeşitlemesine birer örnek oluşturabilir.</w:t>
      </w:r>
      <w:r>
        <w:rPr>
          <w:rStyle w:val="FootnoteReference"/>
        </w:rPr>
        <w:footnoteReference w:id="35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“Araştırmaya katılan bireylerden elde edilen verilerin benzer bilgileri verebilecek başka bireylerle teyit edilmesi örneklem çeşitlemesine; verilerin analizinde hem tematik hem de sayısal analizin kullanılması analiz çeşitlemesine birer örnek oluşturabilir.”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95, PDF s. 93]</w:t>
      </w:r>
    </w:p>
    <w:p>
      <w:pPr>
        <w:spacing w:after="120" w:line="360"/>
        <w:ind w:firstLine="567"/>
        <w:jc w:val="both"/>
      </w:pPr>
      <w:r>
        <w:rPr>
          <w:rFonts w:ascii="Times New Roman" w:cs="Traditional Arabic" w:eastAsia="Times New Roman" w:hAnsi="Times New Roman"/>
          <w:i w:val="false"/>
          <w:sz w:val="24"/>
          <w:szCs w:val="24"/>
        </w:rPr>
        <w:t xml:space="preserve">Hadis usulünde bir rivayetin başka yollardan desteklenip desteklenmediğine bakılması iʿtibâr, mütâbaat ve şevâhid başlıkları altında ele alınmıştır. İbnü's-Salâh bu konulara ayırdığı kısımda bunları muhaddislerin hadisin durumuna bakarken üzerinde durdukları hususlar olarak tanıtmakta ve bu bakışın sorularını şöyle ifade etmektedir: Râvisi bu hadisi tek başına mı rivayet etmiştir, yoksa başkaları da rivayet etmiş midir? Hadis bilinen bir hadis midir?</w:t>
      </w:r>
      <w:r>
        <w:rPr>
          <w:rStyle w:val="FootnoteReference"/>
        </w:rPr>
        <w:footnoteReference w:id="35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İbnü's-Salâh'a göre aynı hadisi aynı şeyhten başka bir râvinin rivayet etmesi tam mütâbaattır.</w:t>
      </w:r>
      <w:r>
        <w:rPr>
          <w:rStyle w:val="FootnoteReference"/>
        </w:rPr>
        <w:footnoteReference w:id="35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o hadis zikredilen yolların hiçbirinden rivayet edilmemiş, fakat onun manasında başka bir hadis rivayet edilmişse bu, mütâbaat olmaksızın şâhiddir.</w:t>
      </w:r>
      <w:r>
        <w:rPr>
          <w:rStyle w:val="FootnoteReference"/>
        </w:rPr>
        <w:footnoteReference w:id="35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“هَذِهِ أُمُورٌ يَتَدَاوَلُونَهَا فِي نَظَرِهِمْ فِي حَالِ الْحَدِيثِ، هَلْ تَفَرَّدَ بِهِ رَاوِيهِ أَوْ لَا؟ وَهَلْ هُوَ مَعْرُوفٌ أَوْ لَا؟”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79, basılı s. 82] Not: Alıntı, eserin iʿtibâr, mütâbaat ve şevâhide ayrılan kısmının başındandır. Kısım başlığı alıntıya dahil edilmemiştir.</w:t>
      </w:r>
    </w:p>
    <w:p>
      <w:pPr>
        <w:pStyle w:val="DogrulamaAR"/>
        <w:bidi/>
        <w:spacing w:after="20" w:line="300"/>
        <w:ind w:end="567"/>
        <w:jc w:val="both"/>
      </w:pPr>
      <w:r>
        <w:rPr>
          <w:rFonts w:ascii="Times New Roman" w:cs="Traditional Arabic" w:eastAsia="Times New Roman" w:hAnsi="Times New Roman"/>
          <w:i/>
          <w:iCs/>
          <w:sz w:val="24"/>
          <w:szCs w:val="30"/>
          <w:rtl/>
        </w:rPr>
        <w:t xml:space="preserve">“قُلْتُ: فَمِثَالُ الْمُتَابَعَةِ أَنْ يَرْوِيَ ذَلِكَ الْحَدِيثَ بِعَيْنِهِ عَنْ أَيُّوبَ غَيْرُ حَمَّادٍ، فَهَذِهِ الْمُتَابَعَةُ التَّامَّةُ،”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80, basılı s. 83]</w:t>
      </w:r>
    </w:p>
    <w:p>
      <w:pPr>
        <w:pStyle w:val="DogrulamaAR"/>
        <w:bidi/>
        <w:spacing w:after="20" w:line="300"/>
        <w:ind w:end="567"/>
        <w:jc w:val="both"/>
      </w:pPr>
      <w:r>
        <w:rPr>
          <w:rFonts w:ascii="Times New Roman" w:cs="Traditional Arabic" w:eastAsia="Times New Roman" w:hAnsi="Times New Roman"/>
          <w:i/>
          <w:iCs/>
          <w:sz w:val="24"/>
          <w:szCs w:val="30"/>
          <w:rtl/>
        </w:rPr>
        <w:t xml:space="preserve">“فَإِنْ لَمْ يُرْوَ ذَلِكَ الْحَدِيثُ أَصْلًا مِنْ وَجْهٍ مِنَ الْوُجُوهِ الْمَذْكُورَةِ، لَكِنْ رُوِيَ حَدِيثٌ آخَرُ بِمَعْنَاهُ فَذَلِكَ الشَّاهِدُ مِنْ غَيْرِ مُتَابَعَةٍ.”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80, basılı s. 83]</w:t>
      </w:r>
    </w:p>
    <w:p>
      <w:pPr>
        <w:spacing w:after="120" w:line="360"/>
        <w:ind w:firstLine="567"/>
        <w:jc w:val="both"/>
      </w:pPr>
      <w:r>
        <w:rPr>
          <w:rFonts w:ascii="Times New Roman" w:cs="Traditional Arabic" w:eastAsia="Times New Roman" w:hAnsi="Times New Roman"/>
          <w:i w:val="false"/>
          <w:sz w:val="24"/>
          <w:szCs w:val="24"/>
        </w:rPr>
        <w:t xml:space="preserve">Bu kavramlar çeşitleme ile verimli bir karşılaştırmaya imkân vermektedir. Mütâbaat, aynı bilginin aynı kaynaktan başka bir yolla gelmesidir. Bu, bir katılımcının anlattığı bir olayın aynı ortamdaki başka bir katılımcı tarafından da anlatılmasına benzemektedir. Şâhid ise aynı anlamın farklı bir kaynaktan gelmesidir. Bu da görüşmede ortaya çıkan bir temanın gözlem notlarında ya da dokümanlarda başka bir biçimde görünmesine benzemektedir.</w:t>
      </w:r>
    </w:p>
    <w:p>
      <w:pPr>
        <w:spacing w:after="120" w:line="360"/>
        <w:ind w:firstLine="567"/>
        <w:jc w:val="both"/>
      </w:pPr>
      <w:r>
        <w:rPr>
          <w:rFonts w:ascii="Times New Roman" w:cs="Traditional Arabic" w:eastAsia="Times New Roman" w:hAnsi="Times New Roman"/>
          <w:i w:val="false"/>
          <w:sz w:val="24"/>
          <w:szCs w:val="24"/>
        </w:rPr>
        <w:t xml:space="preserve">Bu karşılaştırmaya tevâtür kavramı da eklenebilir. Altıncı bölümde belirtildiği üzere tevâtür örneklem büyüklüğünün değil, bağımsız teyidin klasik karşılığıdır. İbn Hacer’in saydığı şartlar, yani yalanda birleşmeyi imkânsız kılacak sayıda ve birbirinden bağımsız şahitlerin, nihai dayanağı duyular olan bir haberi zincirin her halkasında nakletmesi,</w:t>
      </w:r>
      <w:r>
        <w:rPr>
          <w:rStyle w:val="FootnoteReference"/>
        </w:rPr>
        <w:footnoteReference w:id="35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çeşitlemenin en güçlü hâlini tarif etmektedir. Nitel araştırmada farklı katılımcıların, farklı veri türlerinin ve farklı araştırmacıların birbirinden habersiz olarak aynı tespite ulaşması bu türden bir teyittir. Aynı kaynaktan beslenen çok sayıda anlatım ise, sayısı ne olursa olsun, tevâtürün bağımsızlık şartını taşımamaktadır.</w:t>
      </w:r>
    </w:p>
    <w:p>
      <w:pPr>
        <w:spacing w:after="120" w:line="360"/>
        <w:ind w:firstLine="567"/>
        <w:jc w:val="both"/>
      </w:pPr>
      <w:r>
        <w:rPr>
          <w:rFonts w:ascii="Times New Roman" w:cs="Traditional Arabic" w:eastAsia="Times New Roman" w:hAnsi="Times New Roman"/>
          <w:i w:val="false"/>
          <w:sz w:val="24"/>
          <w:szCs w:val="24"/>
        </w:rPr>
        <w:t xml:space="preserve">Ancak burada iki önemli fark vardır. Birincisi, iʿtibârın amacı bir rivayetin sıhhatine karar vermektir. Çeşitlemenin amacı ise araştırmacının yorumunun inandırıcılığını artırmaktır. İkincisi, hadis tenkidinde bir rivayetin başka yollarla çelişmesi onun zayıflığına işaret edebilir. Nitel araştırmada ise farklı kaynaklar arasındaki farklılık değerli bir veri olabilmektedir. Yıldırım ve Şimşek bu noktayı açıkça vurgulamaktadır: Araştırmacı farklılıkları törpüleyerek ortak bir sonuca ulaşmak yerine bu farklılıkları olabildiğince bütün zenginliğiyle sergilemelidir. Aksi halde çoğunluğun gerçekliğini ortaya çıkarma ve genelleme çabası, araştırmanın geçerliğine önemli bir tehdit oluşturabilir.</w:t>
      </w:r>
      <w:r>
        <w:rPr>
          <w:rStyle w:val="FootnoteReference"/>
        </w:rPr>
        <w:footnoteReference w:id="35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başka bir yerde öğretmenin görüşmede anlattıkları ile gözlemde saptanan sınıf etkinlikleri arasında çelişki çıkabileceğini ve bu durumda araştırmacının bu farklılıkları ortaya çıkarma ya da öğretmenin söylediklerinin doğruluğunu saptama fırsatı bulacağını da belirtmektedir.</w:t>
      </w:r>
      <w:r>
        <w:rPr>
          <w:rStyle w:val="FootnoteReference"/>
        </w:rPr>
        <w:footnoteReference w:id="35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din eğitimi araştırmacısı bu iki imkândan ilkine öncelik vermelidir. Öğretmenin anlattığı ile yaptığı arasındaki mesafe, onun yalan söylediğini değil, idealleri ile sınıfın gerçekliği arasında yaşadığı gerilimi gösteriyor olabilir.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“Araştırmacı bu farklılıkları törpüleyerek ortak bir sonuca ulaşma yerine bu farklılıkları olabildiğince bütün zenginliği ile sergilemelidir. Aksi takdirde çoğunluğun gerçekliğini ortaya çıkarma ve genelleme çabası, araştırmanın geçerliğine önemli bir tehdit oluşturabilir.”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267, PDF s. 265]</w:t>
      </w:r>
    </w:p>
    <w:p>
      <w:pPr>
        <w:pStyle w:val="Dogrulama"/>
        <w:spacing w:after="20" w:line="276"/>
        <w:ind w:left="567"/>
        <w:jc w:val="both"/>
      </w:pPr>
      <w:r>
        <w:rPr>
          <w:rFonts w:ascii="Times New Roman" w:cs="Traditional Arabic" w:eastAsia="Times New Roman" w:hAnsi="Times New Roman"/>
          <w:i/>
          <w:iCs/>
          <w:sz w:val="22"/>
          <w:szCs w:val="22"/>
        </w:rPr>
        <w:t xml:space="preserve">“Öğretmenin görüşme esnasında yansıttığı görüşler, gözlem yoluyla araştırmacı tarafından saptanan sınıf içi etkinliklerle çelişebilir. Bu durumda araştırmacı bu farklılıkları ortaya çıkarma ya da öğretmenin söylediklerinin doğruluğunu saptama fırsatı bulacaktır.”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46, PDF s. 44]</w:t>
      </w:r>
    </w:p>
    <w:p>
      <w:pPr>
        <w:pStyle w:val="Heading2"/>
        <w:keepNext/>
        <w:spacing w:after="120" w:before="240"/>
      </w:pPr>
      <w:r>
        <w:rPr>
          <w:rFonts w:ascii="Times New Roman" w:cs="Traditional Arabic" w:eastAsia="Times New Roman" w:hAnsi="Times New Roman"/>
          <w:b/>
          <w:bCs/>
          <w:i w:val="false"/>
          <w:sz w:val="24"/>
          <w:szCs w:val="24"/>
        </w:rPr>
        <w:t xml:space="preserve">12.4. Gizli Kusur ve Bütün Verinin Toplanması: İllet</w:t>
      </w:r>
    </w:p>
    <w:p>
      <w:pPr>
        <w:spacing w:after="120" w:line="360"/>
        <w:ind w:firstLine="567"/>
        <w:jc w:val="both"/>
      </w:pPr>
      <w:r>
        <w:rPr>
          <w:rFonts w:ascii="Times New Roman" w:cs="Traditional Arabic" w:eastAsia="Times New Roman" w:hAnsi="Times New Roman"/>
          <w:i w:val="false"/>
          <w:sz w:val="24"/>
          <w:szCs w:val="24"/>
        </w:rPr>
        <w:t xml:space="preserve">Bir yorum, görünüşte sağlam olduğu halde gizli bir kusur taşıyabilir. Hadis usulünde bu durum illet kavramıyla ele alınmıştır. İbnü's-Salâh hadislerin illetlerini bilmenin hadis ilimlerinin en yücelerinden, en incelerinden ve en şereflilerinden olduğunu, bunu ancak hıfz, tecrübe ve keskin anlayış sahiplerinin yerine getirebileceğini ve illetin hadisi zedeleyen gizli ve kapalı sebeplerden ibaret olduğunu söylemektedir.</w:t>
      </w:r>
      <w:r>
        <w:rPr>
          <w:rStyle w:val="FootnoteReference"/>
        </w:rPr>
        <w:footnoteReference w:id="35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Muallel hadis, görünüşte illetten salim olduğu halde sıhhatini zedeleyen bir illete muttali olunan hadistir.</w:t>
      </w:r>
      <w:r>
        <w:rPr>
          <w:rStyle w:val="FootnoteReference"/>
        </w:rPr>
        <w:footnoteReference w:id="35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İlletin fark edilmesinde, râvinin teferrüdünden ve başkasının ona muhalefet etmesinden, bunlara eklenen ve bu işi bilen kimseyi uyaran karinelerle birlikte yardım alınmaktadır.</w:t>
      </w:r>
      <w:r>
        <w:rPr>
          <w:rStyle w:val="FootnoteReference"/>
        </w:rPr>
        <w:footnoteReference w:id="36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sebeple ilel kitapları hadisin bütün yollarını bir araya toplamayı içermektedir.</w:t>
      </w:r>
      <w:r>
        <w:rPr>
          <w:rStyle w:val="FootnoteReference"/>
        </w:rPr>
        <w:footnoteReference w:id="36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“اعْلَمْ أَنَّ مَعْرِفَةَ عِلَلِ الْحَدِيثِ مِنْ أَجَلِّ عُلُومِ الْحَدِيثِ وَأَدَقِّهَا وَأَشْرَفِهَا، وَإِنَّمَا يَضْطَلِعُ بِذَلِكَ أَهْلُ الْحِفْظِ وَالْخِبْرَةِ وَالْفَهْمِ الثَّاقِبِ، وَهِيَ عِبَارَةٌ عَنْ أَسْبَابٍ خَفِيَّةٍ غَامِضَةٍ قَادِحَةٍ فِيهِ.”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87, basılı s. 90]</w:t>
      </w:r>
    </w:p>
    <w:p>
      <w:pPr>
        <w:pStyle w:val="DogrulamaAR"/>
        <w:bidi/>
        <w:spacing w:after="20" w:line="300"/>
        <w:ind w:end="567"/>
        <w:jc w:val="both"/>
      </w:pPr>
      <w:r>
        <w:rPr>
          <w:rFonts w:ascii="Times New Roman" w:cs="Traditional Arabic" w:eastAsia="Times New Roman" w:hAnsi="Times New Roman"/>
          <w:i/>
          <w:iCs/>
          <w:sz w:val="24"/>
          <w:szCs w:val="30"/>
          <w:rtl/>
        </w:rPr>
        <w:t xml:space="preserve">“فَالْحَدِيثُ الْمُعَلَّلُ هُوَ الْحَدِيثُ الَّذِي اطُّلِعَ فِيهِ عَلَى عِلَّةٍ تَقْدَحُ فِي صِحَّتِهِ، مَعَ أَنَّ ظَاهِرَهُ السَّلَامَةُ مِنْهَا.”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87, basılı s. 90]</w:t>
      </w:r>
    </w:p>
    <w:p>
      <w:pPr>
        <w:pStyle w:val="DogrulamaAR"/>
        <w:bidi/>
        <w:spacing w:after="20" w:line="300"/>
        <w:ind w:end="567"/>
        <w:jc w:val="both"/>
      </w:pPr>
      <w:r>
        <w:rPr>
          <w:rFonts w:ascii="Times New Roman" w:cs="Traditional Arabic" w:eastAsia="Times New Roman" w:hAnsi="Times New Roman"/>
          <w:i/>
          <w:iCs/>
          <w:sz w:val="24"/>
          <w:szCs w:val="30"/>
          <w:rtl/>
        </w:rPr>
        <w:t xml:space="preserve">“وَيُسْتَعَانُ عَلَى إِدْرَاكِهَا بِتَفَرُّدِ الرَّاوِي وَبِمُخَالَفَةِ غَيْرِهِ لَهُ، مَعَ قَرَائِنَ تَنْضَمُّ إِلَى ذَلِكَ تُنَبِّهُ الْعَارِفَ بِهَذَا الشَّأْنِ”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87, basılı s. 90]</w:t>
      </w:r>
    </w:p>
    <w:p>
      <w:pPr>
        <w:pStyle w:val="DogrulamaAR"/>
        <w:bidi/>
        <w:spacing w:after="20" w:line="300"/>
        <w:ind w:end="567"/>
        <w:jc w:val="both"/>
      </w:pPr>
      <w:r>
        <w:rPr>
          <w:rFonts w:ascii="Times New Roman" w:cs="Traditional Arabic" w:eastAsia="Times New Roman" w:hAnsi="Times New Roman"/>
          <w:i/>
          <w:iCs/>
          <w:sz w:val="24"/>
          <w:szCs w:val="30"/>
          <w:rtl/>
        </w:rPr>
        <w:t xml:space="preserve">“وَلِهَذَا اشْتَمَلَتْ كُتُبُ عِلَلِ الْحَدِيثِ عَلَى جَمْعِ طُرُقِهِ.”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87, basılı s. 90]</w:t>
      </w:r>
    </w:p>
    <w:p>
      <w:pPr>
        <w:spacing w:after="120" w:line="360"/>
        <w:ind w:firstLine="567"/>
        <w:jc w:val="both"/>
      </w:pPr>
      <w:r>
        <w:rPr>
          <w:rFonts w:ascii="Times New Roman" w:cs="Traditional Arabic" w:eastAsia="Times New Roman" w:hAnsi="Times New Roman"/>
          <w:i w:val="false"/>
          <w:sz w:val="24"/>
          <w:szCs w:val="24"/>
        </w:rPr>
        <w:t xml:space="preserve">Bu kavram, girişteki daraltma gözetilerek araştırmacının yorumuna uygulandığında güçlü bir ölçü sunmaktadır. Bir tema, okurun gözünde sağlam görünebilir. Ancak bütün veriler bir araya getirildiğinde, bu temanın yalnızca bir okulun öğretmenlerinden ya da yalnızca bir yaş grubundan gelen anlatımlara dayandığı ortaya çıkabilir. Bu, temanın gizli illetidir. İlletin fark edilmesi için İbnü's-Salâh'ın işaret ettiği yol, yani bütün yolların bir araya toplanması, nitel araştırmada bütün veri parçalarının birlikte ve karşılaştırmalı olarak gözden geçirilmesine karşılık gelmektedir. Yıldırım ve Şimşek de araştırmacının elde ettiği sonuçları birbiriyle sürekli olarak karşılaştırarak, yorumlayarak ve kavramlaştırarak katılımcıların bile açıkça farkında olmadıkları örüntüleri ortaya çıkarması gerektiğini, aksi halde araştırmacının bir kayıt cihazının işlevinin ötesine geçmemiş olacağını belirtmektedir.</w:t>
      </w:r>
      <w:r>
        <w:rPr>
          <w:rStyle w:val="FootnoteReference"/>
        </w:rPr>
        <w:footnoteReference w:id="36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“Araştırmacı elde ettiği sonuçları birbirleriyle sürekli olarak karşılaştırarak, yorumlayarak ve kavramsallaştırarak, araştırmaya katılanların bile açık bir biçimde farkında olmadıkları bazı örüntüleri ortaya çıkarmalıdır. Aksi takdirde araştırmacı veri elde ederek ve bunları özetleyerek bir kayıt cihazı işlevinin ötesine geçmemiş olur.”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267, PDF s. 265]</w:t>
      </w:r>
    </w:p>
    <w:p>
      <w:pPr>
        <w:spacing w:after="120" w:line="360"/>
        <w:ind w:firstLine="567"/>
        <w:jc w:val="both"/>
      </w:pPr>
      <w:r>
        <w:rPr>
          <w:rFonts w:ascii="Times New Roman" w:cs="Traditional Arabic" w:eastAsia="Times New Roman" w:hAnsi="Times New Roman"/>
          <w:i w:val="false"/>
          <w:sz w:val="24"/>
          <w:szCs w:val="24"/>
        </w:rPr>
        <w:t xml:space="preserve">Benzerliğin sınırı da kaydedilmelidir. İlel ilmi, bir rivayetin Hz. Peygamber'e nispetindeki gizli kusurları arayan son derece uzmanlaşmış bir alandır. Nitel araştırmacı ise katılımcının sözünde değil, kendi yorumunda kusur aramaktadır. İbnü's-Salâh'ın bu işi “hıfz, tecrübe ve keskin anlayış sahiplerine” bırakması ise nitel araştırmada deneyimli araştırmacıların ve uzmanların analiz sürecine dahil edilmesinin önemini hatırlatmaktadır. Yıldırım ve Şimşek de araştırma konusu hakkında genel bilgiye sahip ve nitel yöntemlerde uzmanlaşmış kişilerin araştırmayı çeşitli boyutlarıyla incelemesinin inandırıcılık için alınabilecek önlemlerden biri olduğunu belirtmektedir.</w:t>
      </w:r>
      <w:r>
        <w:rPr>
          <w:rStyle w:val="FootnoteReference"/>
        </w:rPr>
        <w:footnoteReference w:id="36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 konusu hakkında genel bilgiye sahip ve nitel araştırma yöntemleri konusunda uzmanlaşmış kişilerden, yapılan araştırmayı çeşitli boyutlarıyla incelemesinin istenmesi inandırıcılık konusunda alınabilecek önlemlerden bir diğeridir.”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268, PDF s. 266]</w:t>
      </w:r>
    </w:p>
    <w:p>
      <w:pPr>
        <w:pStyle w:val="Heading2"/>
        <w:keepNext/>
        <w:spacing w:after="120" w:before="240"/>
      </w:pPr>
      <w:r>
        <w:rPr>
          <w:rFonts w:ascii="Times New Roman" w:cs="Traditional Arabic" w:eastAsia="Times New Roman" w:hAnsi="Times New Roman"/>
          <w:b/>
          <w:bCs/>
          <w:i w:val="false"/>
          <w:sz w:val="24"/>
          <w:szCs w:val="24"/>
        </w:rPr>
        <w:t xml:space="preserve">12.5. Araştırmacının Yanlılığı: Taraftarlık ve Öfke Perdesi</w:t>
      </w:r>
    </w:p>
    <w:p>
      <w:pPr>
        <w:spacing w:after="120" w:line="360"/>
        <w:ind w:firstLine="567"/>
        <w:jc w:val="both"/>
      </w:pPr>
      <w:r>
        <w:rPr>
          <w:rFonts w:ascii="Times New Roman" w:cs="Traditional Arabic" w:eastAsia="Times New Roman" w:hAnsi="Times New Roman"/>
          <w:i w:val="false"/>
          <w:sz w:val="24"/>
          <w:szCs w:val="24"/>
        </w:rPr>
        <w:t xml:space="preserve">Araştırmacının kendi kanaatleri ve duyguları, gördüğünü ve duyduğunu nasıl yorumladığını etkileyebilir. Yıldırım ve Şimşek katılımcı bir rol oynayan araştırmacının kendi varsayımlarını ve önyargılarını araştırma sürecinde elde edilen bilgilerden ayrı tutabilmesinin ve bunların veri toplama ve analiz sürecini etkilemesine izin vermemesinin önemli olduğunu, araştırmacının öznelliğinin ve kendi görüşlerinin ancak veriler analiz edildikten sonra yorum aşamasında devreye girmesi gerektiğini belirtmektedir.</w:t>
      </w:r>
      <w:r>
        <w:rPr>
          <w:rStyle w:val="FootnoteReference"/>
        </w:rPr>
        <w:footnoteReference w:id="36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nitel araştırmanın öznel olmayı olumsuz bir araştırmacı davranışı olarak görmediğini, aksine bu öznelliğin gerektirdiği sorumluluğu önceden kabul ederek bulguları açık bir biçimde ortaya koymanın önemli ve gerekli olduğunu savunduğunu ifade etmektedir.</w:t>
      </w:r>
      <w:r>
        <w:rPr>
          <w:rStyle w:val="FootnoteReference"/>
        </w:rPr>
        <w:footnoteReference w:id="36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Toker de günümüzde bu noktada daha gerçekçi yaklaşımların kurumsallaşmaya ve yaygınlaşmaya başladığını, tarafsız, sırf bilim uğrunda araştırma yapan bir insan modelinin postmodern bir dönemde eskisi kadar inandırıcı görünmediğini belirtmektedir.</w:t>
      </w:r>
      <w:r>
        <w:rPr>
          <w:rStyle w:val="FootnoteReference"/>
        </w:rPr>
        <w:footnoteReference w:id="36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“Katılımcı bir rol oynayan araştırmacının kendi varsayımlarını ve önyargılarını araştırma sürecinde elde edilen bilgilerden ayrı tutabilmesi önemlidir. Ayrıca, bu önyargılardan ve varsayımlardan veri toplama ve analiz sürecinin etkilenmemesini sağlamalıdır. Araştırmacının öznelliği ve kendi görüşleri, toplanan veriler analiz edildikten sonra yorumlama aşamasında devreye sokulmalıdır.”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88, PDF s. 86]</w:t>
      </w:r>
    </w:p>
    <w:p>
      <w:pPr>
        <w:pStyle w:val="Dogrulama"/>
        <w:spacing w:after="20" w:line="276"/>
        <w:ind w:left="567"/>
        <w:jc w:val="both"/>
      </w:pPr>
      <w:r>
        <w:rPr>
          <w:rFonts w:ascii="Times New Roman" w:cs="Traditional Arabic" w:eastAsia="Times New Roman" w:hAnsi="Times New Roman"/>
          <w:i/>
          <w:iCs/>
          <w:sz w:val="22"/>
          <w:szCs w:val="22"/>
        </w:rPr>
        <w:t xml:space="preserve">“Bu yönüyle nitel araştırma,”öznel” olmanın “olumsuz bir araştırmacı davranışı” olmadığını, aksine bu öznelliğin gerektirdiği sorumluluğu önceden kabul ederek, açık bir biçimde bulguları ortaya koymanın önemli ve gerekli olduğunu savunur.”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44, PDF s. 42]</w:t>
      </w:r>
    </w:p>
    <w:p>
      <w:pPr>
        <w:pStyle w:val="Dogrulama"/>
        <w:spacing w:after="20" w:line="276"/>
        <w:ind w:left="567"/>
        <w:jc w:val="both"/>
      </w:pPr>
      <w:r>
        <w:rPr>
          <w:rFonts w:ascii="Times New Roman" w:cs="Traditional Arabic" w:eastAsia="Times New Roman" w:hAnsi="Times New Roman"/>
          <w:i/>
          <w:iCs/>
          <w:sz w:val="22"/>
          <w:szCs w:val="22"/>
        </w:rPr>
        <w:t xml:space="preserve">“Ancak günümüzde bu noktada daha gerçekçi yaklaşımların kurumsallaşmaya ve yaygınlaşmaya başladığı da unutulmamalıdır. Tarafsız, sırf bilim uğrunda araştırma yapan bir insan modeli, postmodern bir dönemde eskisi kadar inandırıcı görünmemektedir.”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18f10c14-nitel_ara_t_rma_paradigmas__ve_din.pdf, basılı s. 72, PDF s. 20]</w:t>
      </w:r>
    </w:p>
    <w:p>
      <w:pPr>
        <w:spacing w:after="120" w:line="360"/>
        <w:ind w:firstLine="567"/>
        <w:jc w:val="both"/>
      </w:pPr>
      <w:r>
        <w:rPr>
          <w:rFonts w:ascii="Times New Roman" w:cs="Traditional Arabic" w:eastAsia="Times New Roman" w:hAnsi="Times New Roman"/>
          <w:i w:val="false"/>
          <w:sz w:val="24"/>
          <w:szCs w:val="24"/>
        </w:rPr>
        <w:t xml:space="preserve">İbn Haldûn, haberlerin kabulünde ve naklinde yalana düşülmesinin sebeplerini sayarken araştırmacının yanlılığı açısından dikkate değer tespitlerde bulunmaktadır. Bu sebeplerden ilki görüş ve mezheplere taraftarlıktır. İbn Haldûn'a göre nefis haberi kabulde itidal halinde olduğunda ona inceleme ve nazar hakkını vermekte, böylece doğrusunu yanlışından ayırt edebilmektedir. Ancak bir görüşe ya da mezhebe taraftarlık ona karıştığında, kendisine uyan haberleri ilk anda kabul etmektedir. Bu meyil ve taraftarlık, basiret gözünün üzerine eleştiri ve incelemeye karşı bir örtü olmaktadır.</w:t>
      </w:r>
      <w:r>
        <w:rPr>
          <w:rStyle w:val="FootnoteReference"/>
        </w:rPr>
        <w:footnoteReference w:id="36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 diğer sebep maksatlardan gaflettir. Nakledenlerden birçoğu gördüğü ya da işittiğiyle neyin kastedildiğini bilmemekte ve haberi kendi zan ve tahminine göre nakletmektedir.</w:t>
      </w:r>
      <w:r>
        <w:rPr>
          <w:rStyle w:val="FootnoteReference"/>
        </w:rPr>
        <w:footnoteReference w:id="36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İbn Haldûn insanların çoğunlukla itibar ve mertebe sahiplerine övgü ve methiyelerle yaklaşmaya çalıştığını ve bu yüzden onlar hakkındaki haberlerin gerçeğe aykırı biçimde yayıldığını da kaydetmektedir.</w:t>
      </w:r>
      <w:r>
        <w:rPr>
          <w:rStyle w:val="FootnoteReference"/>
        </w:rPr>
        <w:footnoteReference w:id="36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dinleyenin varlıktaki olayların ve hallerin tabiatlarını bilmesi, haberi incelerken doğruyu yanlıştan ayırmasına yardım etmektedir.</w:t>
      </w:r>
      <w:r>
        <w:rPr>
          <w:rStyle w:val="FootnoteReference"/>
        </w:rPr>
        <w:footnoteReference w:id="37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“فمنها التّشيّعات للآراء والمذاهب فإنّ النّفس إذا كانت على حال الاعتدال في قبول الخبر أعطته حقّه من التّمحيص والنّظر حتّى تتبيّن صدقه من كذبه وإذا خامرها تشيّع لرأي أو نحلة قبلت ما يوافقها من الأخبار لأوّل وهلة وكان ذلك الميل والتّشيّع غطاء على عين بصيرتها عن الانتقاد والتّمحيص فتقع في قبول الكذب ونقله.”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44, basılı cilt/sayfa 1/46]</w:t>
      </w:r>
    </w:p>
    <w:p>
      <w:pPr>
        <w:pStyle w:val="DogrulamaAR"/>
        <w:bidi/>
        <w:spacing w:after="20" w:line="300"/>
        <w:ind w:end="567"/>
        <w:jc w:val="both"/>
      </w:pPr>
      <w:r>
        <w:rPr>
          <w:rFonts w:ascii="Times New Roman" w:cs="Traditional Arabic" w:eastAsia="Times New Roman" w:hAnsi="Times New Roman"/>
          <w:i/>
          <w:iCs/>
          <w:sz w:val="24"/>
          <w:szCs w:val="30"/>
          <w:rtl/>
        </w:rPr>
        <w:t xml:space="preserve">“ومنها الذّهول عن المقاصد فكثير من النّاقلين لا يعرف القصد بما عاين أو سمع وينقل الخبر على ما في ظنّه وتخمينه فيقع في الكذب.”</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44, basılı cilt/sayfa 1/46]</w:t>
      </w:r>
    </w:p>
    <w:p>
      <w:pPr>
        <w:pStyle w:val="DogrulamaAR"/>
        <w:bidi/>
        <w:spacing w:after="20" w:line="300"/>
        <w:ind w:end="567"/>
        <w:jc w:val="both"/>
      </w:pPr>
      <w:r>
        <w:rPr>
          <w:rFonts w:ascii="Times New Roman" w:cs="Traditional Arabic" w:eastAsia="Times New Roman" w:hAnsi="Times New Roman"/>
          <w:i/>
          <w:iCs/>
          <w:sz w:val="24"/>
          <w:szCs w:val="30"/>
          <w:rtl/>
        </w:rPr>
        <w:t xml:space="preserve">“ومنها تقرّب النّاس في الأكثر لأصحاب التّجلّة والمراتب بالثّناء والمدح وتحسين الأحوال وإشاعة الذّكر بذلك فيستفيض الإخبار بها على غير حقيقة”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44-45, basılı cilt/sayfa 1/46-47]</w:t>
      </w:r>
    </w:p>
    <w:p>
      <w:pPr>
        <w:pStyle w:val="DogrulamaAR"/>
        <w:bidi/>
        <w:spacing w:after="20" w:line="300"/>
        <w:ind w:end="567"/>
        <w:jc w:val="both"/>
      </w:pPr>
      <w:r>
        <w:rPr>
          <w:rFonts w:ascii="Times New Roman" w:cs="Traditional Arabic" w:eastAsia="Times New Roman" w:hAnsi="Times New Roman"/>
          <w:i/>
          <w:iCs/>
          <w:sz w:val="24"/>
          <w:szCs w:val="30"/>
          <w:rtl/>
        </w:rPr>
        <w:t xml:space="preserve">“فإذا كان السّامع عارفا بطبائع الحوادث والأحوال في الوجود ومقتضياتها أعانه ذلك في تمحيص الخبر على تمييز الصّدق من الكذب”</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45, basılı cilt/sayfa 1/47]</w:t>
      </w:r>
    </w:p>
    <w:p>
      <w:pPr>
        <w:spacing w:after="120" w:line="360"/>
        <w:ind w:firstLine="567"/>
        <w:jc w:val="both"/>
      </w:pPr>
      <w:r>
        <w:rPr>
          <w:rFonts w:ascii="Times New Roman" w:cs="Traditional Arabic" w:eastAsia="Times New Roman" w:hAnsi="Times New Roman"/>
          <w:i w:val="false"/>
          <w:sz w:val="24"/>
          <w:szCs w:val="24"/>
        </w:rPr>
        <w:t xml:space="preserve">Bu tespitler, girişteki daraltmaya uygun olarak araştırmacıya yöneltildiğinde nitel araştırmanın düşünümsellik (reflexivity) dediği tutuma güçlü bir klasik dayanak sunmaktadır. Taraftarlık, araştırmacının kendi dinî ya da ideolojik kanaatine uyan anlatımları kolayca kabul edip uymayanları görmezden gelmesidir. Maksatlardan gaflet, araştırmacının katılımcının sözünü onun kastettiği anlamla değil kendi tahminiyle anlamasıdır. İtibar sahiplerine yaklaşma eğilimi ise hem kurumların içinde yapılan görüşmelerde hem de araştırmacının kendi raporunda ortaya çıkabilir. Bir kurumda yöneticinin yanında yapılan görüşmelerde çalışanların kurumu övmesi, onların yalan söylediğini değil, hiyerarşinin anlatımı biçimlendirdiğini gösterir. Araştırmacı da çalıştığı kurumu ya da destek aldığı makamı memnun etmek için bulgularını yumuşatma eğilimine karşı uyanık olmalıdır. Hallerin tabiatını bilmek ise araştırmacının sahayı uzun süreli ve derinlemesine tanımasının yorumu sağlamlaştırdığı düşüncesine karşılık gelmektedir.</w:t>
      </w:r>
    </w:p>
    <w:p>
      <w:pPr>
        <w:spacing w:after="120" w:line="360"/>
        <w:ind w:firstLine="567"/>
        <w:jc w:val="both"/>
      </w:pPr>
      <w:r>
        <w:rPr>
          <w:rFonts w:ascii="Times New Roman" w:cs="Traditional Arabic" w:eastAsia="Times New Roman" w:hAnsi="Times New Roman"/>
          <w:i w:val="false"/>
          <w:sz w:val="24"/>
          <w:szCs w:val="24"/>
        </w:rPr>
        <w:t xml:space="preserve">İbnü's-Salâh ise cerh ve tadil imamlarının bile kişisel duygularından etkilenebileceğine dair son derece ince bir tespitte bulunmaktadır. Ona göre birden fazla kişi birden fazla kişi hakkında hata etmiş ve onları sıhhati olmayan şeylerle cerh etmiştir.</w:t>
      </w:r>
      <w:r>
        <w:rPr>
          <w:rStyle w:val="FootnoteReference"/>
        </w:rPr>
        <w:footnoteReference w:id="37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Bunun örneği olarak Nesâî'nin Ahmed b. Sâlih'i cerh etmesini göstermekte, Ahmed b. Sâlih'in kendisine cerh ilişmeyen güvenilir bir imam ve hafız olduğunu, Buhârî'nin de ondan rivayet ettiğini ve Ahmed'den Nesâî'ye karşı Nesâî'nin kalbini ona karşı bozan bir kabalık sadır olduğunu belirtmektedir.</w:t>
      </w:r>
      <w:r>
        <w:rPr>
          <w:rStyle w:val="FootnoteReference"/>
        </w:rPr>
        <w:footnoteReference w:id="37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İbnü's-Salâh bu durumu şöyle açıklamaktadır: Nesâî cerh ve tadilde imam ve hüccettir. Onun gibi birine böyle bir şey nispet edildiğinde bunun açıklaması, öfke gözünün bâtında sahih açıklamaları bulunan kusurları ortaya koyması ve öfke perdesi yüzünden bu açıklamaları görememesidir. Bu, onun gibi birinin batıl olduğunu bildiği bir yermeyi kasten yapması değildir. İbnü's-Salâh bunun kıymetli ve önemli inceliklerden olduğunu da eklemektedir.</w:t>
      </w:r>
      <w:r>
        <w:rPr>
          <w:rStyle w:val="FootnoteReference"/>
        </w:rPr>
        <w:footnoteReference w:id="37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“وَقَدْ أَخْطَأَ فِيهِ غَيْرُ وَاحِدٍ عَلَى غَيْرِ وَاحِدٍ، فَجَرَحُوهُمْ بِمَا لَا صِحَّةَ لَهُ.”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387, basılı s. 390]</w:t>
      </w:r>
    </w:p>
    <w:p>
      <w:pPr>
        <w:pStyle w:val="DogrulamaAR"/>
        <w:bidi/>
        <w:spacing w:after="20" w:line="300"/>
        <w:ind w:end="567"/>
        <w:jc w:val="both"/>
      </w:pPr>
      <w:r>
        <w:rPr>
          <w:rFonts w:ascii="Times New Roman" w:cs="Traditional Arabic" w:eastAsia="Times New Roman" w:hAnsi="Times New Roman"/>
          <w:i/>
          <w:iCs/>
          <w:sz w:val="24"/>
          <w:szCs w:val="30"/>
          <w:rtl/>
        </w:rPr>
        <w:t xml:space="preserve">“مِنْ ذَلِكَ: جَرْحُ أَبِي عَبْدِ الرَّحْمَنِ النَّسَائِيِّ لَأَحْمَدَ بْنِ صَالِحٍ، وَهُوَ إِمَامٌ حَافِظٌ ثِقَةٌ، لَا يَعْلَقُ بِهِ جَرْحٌ، أَخْرَجَ عَنْهُ الْبُخَارِيُّ فِي صَحِيحِهِ، وَقَدْ كَانَ مِنْ أَحْمَدَ إِلَى النَّسَائِيِّ جَفَاءٌ أَفْسَدَ قَلْبَهُ عَلَيْهِ.”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387, basılı s. 390]</w:t>
      </w:r>
    </w:p>
    <w:p>
      <w:pPr>
        <w:pStyle w:val="DogrulamaAR"/>
        <w:bidi/>
        <w:spacing w:after="20" w:line="300"/>
        <w:ind w:end="567"/>
        <w:jc w:val="both"/>
      </w:pPr>
      <w:r>
        <w:rPr>
          <w:rFonts w:ascii="Times New Roman" w:cs="Traditional Arabic" w:eastAsia="Times New Roman" w:hAnsi="Times New Roman"/>
          <w:i/>
          <w:iCs/>
          <w:sz w:val="24"/>
          <w:szCs w:val="30"/>
          <w:rtl/>
        </w:rPr>
        <w:t xml:space="preserve">“قُلْتُ: النَّسَائِيُّ إِمَامٌ حُجَّةٌ فِي الْجَرْحِ وَالتَّعْدِيلِ، وَإِذَا نُسِبَ مِثْلُهُ إِلَى مِثْلِ هَذَا كَانَ وَجْهُهُ أَنَّ عَيْنَ السُّخْطِ تُبْدِي مَسَاوِئَ لَهَا فِي الْبَاطِنِ مَخَارِجُ صَحِيحَةٌ تَعْمَى عَنْهَا بِحِجَابِ السُّخْطِ، لَا أَنَّ ذَلِكَ يَقَعُ مِنْ مِثْلِهِ تَعَمُّدًا لِقَدْحٍ يُعْلَمُ بُطْلَانُهُ، فَاعْلَمْ هَذَا فَإِنَّهُ مِنَ النُّكَتِ النَّفِيسَةِ الْمُهِمَّةِ.”</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388, basılı s. 391]</w:t>
      </w:r>
    </w:p>
    <w:p>
      <w:pPr>
        <w:spacing w:after="120" w:line="360"/>
        <w:ind w:firstLine="567"/>
        <w:jc w:val="both"/>
      </w:pPr>
      <w:r>
        <w:rPr>
          <w:rFonts w:ascii="Times New Roman" w:cs="Traditional Arabic" w:eastAsia="Times New Roman" w:hAnsi="Times New Roman"/>
          <w:i w:val="false"/>
          <w:sz w:val="24"/>
          <w:szCs w:val="24"/>
        </w:rPr>
        <w:t xml:space="preserve">Kanaatimizce bu pasaj, araştırmacının kendi duygularının farkında olması gerektiğini anlatan güçlü bir klasik metindir. Öfke perdesi, en ehil değerlendiriciyi bile kasıtsız olarak yanıltabilmektedir. Kanaatimizce bu tespit din eğitimi araştırmacısı için doğrudan bir anlam taşımaktadır. Kur'an kurslarıyla, imam hatip okullarıyla ya da belli bir dinî toplulukla geçmişte olumsuz bir tecrübe yaşamış bir araştırmacı, bu ortamlarda gördüğü davranışların “bâtındaki sahih açıklamalarını” görmekte zorlanabilir. Aynı durum, bu ortamlara derin bir sevgiyle bağlı olan araştırmacı için de tersinden geçerlidir. Sevgi de öfke gibi bir perde olabilir. Kanaatimizce İbnü's-Salâh'ın “bunu bil” uyarısı, bu perdenin varlığını bilmenin önemine işaret etmektedir ve nitel araştırmada buna karşılık gelen tutum, araştırmacının kendi konumunu</w:t>
      </w:r>
      <w:r>
        <w:rPr>
          <w:rStyle w:val="FootnoteReference"/>
        </w:rPr>
        <w:footnoteReference w:id="37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 duygularını açıkça kaydetmesi ve raporunda okura bildirmesidir. Yıldırım ve Şimşek'e göre nitel araştırmacının varlığının araştırma sürecindeki etkisi önemle üzerinde durulması gereken bir konudur ve araştırmacılar araştırılan bireyleri etkilememek için çaba gösterseler dahi belirli ölçüde bir etkilenme kaçınılmazdır.</w:t>
      </w:r>
      <w:r>
        <w:rPr>
          <w:rStyle w:val="FootnoteReference"/>
        </w:rPr>
        <w:footnoteReference w:id="37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nitel araştırmacının böyle bir etkinin varlığının farkında olması ve bunun araştırma bulgularını nasıl etkilediğini raporunda okuyuculara açıklaması gerektiğini belirtmektedir.</w:t>
      </w:r>
      <w:r>
        <w:rPr>
          <w:rStyle w:val="FootnoteReference"/>
        </w:rPr>
        <w:footnoteReference w:id="37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aynı açıklık, araştırmacının kendi duygularının yorum üzerindeki etkisi için de gereklidir.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“Görüldüğü gibi dış güvenirlik konusunda araştırmacının alabileceği en önemli önlem; gerek araştırmanın temel aşamaları, gerekse araştırma sürecindeki kendi konumu ve yaklaşımı konusunda ayrıntılı ve açık bilgi vermektir.”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262, PDF s. 260]</w:t>
      </w:r>
    </w:p>
    <w:p>
      <w:pPr>
        <w:pStyle w:val="Dogrulama"/>
        <w:spacing w:after="20" w:line="276"/>
        <w:ind w:left="567"/>
        <w:jc w:val="both"/>
      </w:pPr>
      <w:r>
        <w:rPr>
          <w:rFonts w:ascii="Times New Roman" w:cs="Traditional Arabic" w:eastAsia="Times New Roman" w:hAnsi="Times New Roman"/>
          <w:i/>
          <w:iCs/>
          <w:sz w:val="22"/>
          <w:szCs w:val="22"/>
        </w:rPr>
        <w:t xml:space="preserve">“Son olarak, nitel araştırmacının varlığının araştırma sürecindeki etkisi önemle üzerinde durulması gereken bir konudur. Nitel araştırmacılar, araştırma konusu olan bireyi ya da bireyleri etkilememek için çaba gösterseler dahi, belirli ölçüde bir etkilenme kaçınılmazdır.”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98, PDF s. 96]</w:t>
      </w:r>
    </w:p>
    <w:p>
      <w:pPr>
        <w:pStyle w:val="Dogrulama"/>
        <w:spacing w:after="20" w:line="276"/>
        <w:ind w:left="567"/>
        <w:jc w:val="both"/>
      </w:pPr>
      <w:r>
        <w:rPr>
          <w:rFonts w:ascii="Times New Roman" w:cs="Traditional Arabic" w:eastAsia="Times New Roman" w:hAnsi="Times New Roman"/>
          <w:i/>
          <w:iCs/>
          <w:sz w:val="22"/>
          <w:szCs w:val="22"/>
        </w:rPr>
        <w:t xml:space="preserve">“Nitel araştırmacının yapması gereken, böyle bir etkinin varlığının farkında olmak ve bunun araştırma bulgularını nasıl etkilediğini raporunda okuyuculara açıklamaktır.”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98, PDF s. 96]</w:t>
      </w:r>
    </w:p>
    <w:p>
      <w:pPr>
        <w:pStyle w:val="Heading2"/>
        <w:keepNext/>
        <w:spacing w:after="120" w:before="240"/>
      </w:pPr>
      <w:r>
        <w:rPr>
          <w:rFonts w:ascii="Times New Roman" w:cs="Traditional Arabic" w:eastAsia="Times New Roman" w:hAnsi="Times New Roman"/>
          <w:b/>
          <w:bCs/>
          <w:i w:val="false"/>
          <w:sz w:val="24"/>
          <w:szCs w:val="24"/>
        </w:rPr>
        <w:t xml:space="preserve">12.6. Katılımcı Teyidi ve Arz</w:t>
      </w:r>
    </w:p>
    <w:p>
      <w:pPr>
        <w:spacing w:after="120" w:line="360"/>
        <w:ind w:firstLine="567"/>
        <w:jc w:val="both"/>
      </w:pPr>
      <w:r>
        <w:rPr>
          <w:rFonts w:ascii="Times New Roman" w:cs="Traditional Arabic" w:eastAsia="Times New Roman" w:hAnsi="Times New Roman"/>
          <w:i w:val="false"/>
          <w:sz w:val="24"/>
          <w:szCs w:val="24"/>
        </w:rPr>
        <w:t xml:space="preserve">Yıldırım ve Şimşek araştırmada elde edilen verilerin ve bunlara ilişkin araştırmacının ulaştığı sonuçların ve yorumların katılımcılarla teyit edilmesinde yarar olduğunu belirtmektedir.</w:t>
      </w:r>
      <w:r>
        <w:rPr>
          <w:rStyle w:val="FootnoteReference"/>
        </w:rPr>
        <w:footnoteReference w:id="37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bu süreçte araştırmacının toplanan verilerden farklı sonuçlara ulaşma ihtimali vardır. Bu durum araştırmacının bazı öznel varsayımlarından kaynaklanabileceği gibi verileri yanlış anlamasından da kaynaklanabilir. Her iki durumda da katılımcılarla oluşturulacak bir teyit mekanizması, ulaşılan sonuçların gerçeği temsil etmede ne kadar yeterli olduğunu anlamaya yardımcı olabilir.</w:t>
      </w:r>
      <w:r>
        <w:rPr>
          <w:rStyle w:val="FootnoteReference"/>
        </w:rPr>
        <w:footnoteReference w:id="37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“Araştırmada elde edilen verilerin ve bunlara ilişkin araştırmacının ulaştığı sonuçların ve yorumların veri kaynakları (katılımcılar) ile teyit edilmesinde yarar vardır.”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268, PDF s. 266]</w:t>
      </w:r>
    </w:p>
    <w:p>
      <w:pPr>
        <w:pStyle w:val="Dogrulama"/>
        <w:spacing w:after="20" w:line="276"/>
        <w:ind w:left="567"/>
        <w:jc w:val="both"/>
      </w:pPr>
      <w:r>
        <w:rPr>
          <w:rFonts w:ascii="Times New Roman" w:cs="Traditional Arabic" w:eastAsia="Times New Roman" w:hAnsi="Times New Roman"/>
          <w:i/>
          <w:iCs/>
          <w:sz w:val="22"/>
          <w:szCs w:val="22"/>
        </w:rPr>
        <w:t xml:space="preserve">“Ancak bu süreçte araştırmacının toplanan verilerden farklı sonuçlara ulaşması olasılığı vardır. Bu durum araştırmacının sahip olabileceği bazı öznel varsayımlardan kaynaklanabileceği gibi verileri yanlış anlamasından da kaynaklanabilir. Her iki durumda da veri kaynakları ile oluşturulacak bir teyit mekanizması, ulaşılan sonuçların gerçeği temsil etmede ne derece yeterli olduğunu anlamada yardımcı olabilir.”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268, PDF s. 266] Not: Baskıda “olduğunu” ile “anlamada” arasında görülen nokta benzeri işaret, cümle sürdüğü için tarama lekesi olarak değerlendirilmiş ve alıntıya alınmamıştır.</w:t>
      </w:r>
    </w:p>
    <w:p>
      <w:pPr>
        <w:spacing w:after="120" w:line="360"/>
        <w:ind w:firstLine="567"/>
        <w:jc w:val="both"/>
      </w:pPr>
      <w:r>
        <w:rPr>
          <w:rFonts w:ascii="Times New Roman" w:cs="Traditional Arabic" w:eastAsia="Times New Roman" w:hAnsi="Times New Roman"/>
          <w:i w:val="false"/>
          <w:sz w:val="24"/>
          <w:szCs w:val="24"/>
        </w:rPr>
        <w:t xml:space="preserve">Yedinci bölümde ele alınan arz, yani okuyanın, Kur'an'ın mukrie arz edilmesi gibi okuduğunu şeyhe sunması,</w:t>
      </w:r>
      <w:r>
        <w:rPr>
          <w:rStyle w:val="FootnoteReference"/>
        </w:rPr>
        <w:footnoteReference w:id="37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 beşinci bölümde ele alınan Bîrûnî'nin kaydettiği bir ismi Hintlilere geri söylemesi,</w:t>
      </w:r>
      <w:r>
        <w:rPr>
          <w:rStyle w:val="FootnoteReference"/>
        </w:rPr>
        <w:footnoteReference w:id="38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katılımcı teyidinin klasik gelenekteki iki farklı yansıması olarak okunabilir. Arzda okuyan, okuduğunu bilgi kaynağına sunmaktadır. Bîrûnî'nin örneğinde ise kaydedilen şeyin kaynağına geri götürülmesi, kayıt ile kaynak arasındaki mesafeyi açığa çıkarmaktadır. Nitel araştırmada katılımcıya götürülen şey yalnızca söylediklerinin dökümü değil, araştırmacının o söyledikleri hakkındaki yorumu da olabilmektedir. Bu nedenle katılımcı teyidi, arzdan daha karmaşık bir işlemdir. Katılımcı yorumu kabul etmeyebilir ve bu ret de bir veridir. Araştırmacı bu durumda yorumunu değiştirebilir ya da katılımcının itirazını raporuna ayrıca kaydedebilir.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207.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151.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12.7. Aktarılabilirlik ve İʿtibâr</w:t>
      </w:r>
    </w:p>
    <w:p>
      <w:pPr>
        <w:spacing w:after="120" w:line="360"/>
        <w:ind w:firstLine="567"/>
        <w:jc w:val="both"/>
      </w:pPr>
      <w:r>
        <w:rPr>
          <w:rFonts w:ascii="Times New Roman" w:cs="Traditional Arabic" w:eastAsia="Times New Roman" w:hAnsi="Times New Roman"/>
          <w:i w:val="false"/>
          <w:sz w:val="24"/>
          <w:szCs w:val="24"/>
        </w:rPr>
        <w:t xml:space="preserve">Nitel araştırmanın sonuçları istatistiksel bir genelleme iddiası taşımamaktadır. Yıldırım ve Şimşek'e göre nicel araştırmada genelleme doğrudan olabilirken nitel araştırmada genelleme dolaylı yoldan yapılmaktadır. Genellemeler ilkeler ve kurallar biçiminde değil, deneyimler ve örnekler biçimindedir ve sayısal genelleme yerine analitik genelleme söz konusudur.</w:t>
      </w:r>
      <w:r>
        <w:rPr>
          <w:rStyle w:val="FootnoteReference"/>
        </w:rPr>
        <w:footnoteReference w:id="38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araştırma sonuçlarının benzer ortamlara genellenebilmesi için araştırmacının okuru araştırmanın bütün aşamaları hakkında ayrıntılı biçimde bilgilendirmesi gerektiğini, okurun da araştırma sonuçlarından kendi ortamı için geçerli olabilecek bazı dersler ve deneyimler çıkarabileceğini belirtmektedir.</w:t>
      </w:r>
      <w:r>
        <w:rPr>
          <w:rStyle w:val="FootnoteReference"/>
        </w:rPr>
        <w:footnoteReference w:id="38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“Nicel araştırmada bu genelleme doğrudan olabilirken, nitel araştırmada genelleme dolaylı yoldan yapılabilir. Yani genellemeler; ilkeler, kurallar biçiminde değil, deneyimler ve örnekler biçimindedir. Ayrıca sayısal genelleme yerine analitik genelleme söz konusudur.”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258, PDF s. 256]</w:t>
      </w:r>
    </w:p>
    <w:p>
      <w:pPr>
        <w:pStyle w:val="Dogrulama"/>
        <w:spacing w:after="20" w:line="276"/>
        <w:ind w:left="567"/>
        <w:jc w:val="both"/>
      </w:pPr>
      <w:r>
        <w:rPr>
          <w:rFonts w:ascii="Times New Roman" w:cs="Traditional Arabic" w:eastAsia="Times New Roman" w:hAnsi="Times New Roman"/>
          <w:i/>
          <w:iCs/>
          <w:sz w:val="22"/>
          <w:szCs w:val="22"/>
        </w:rPr>
        <w:t xml:space="preserve">“Ancak, araştırma sonuçlarının benzer ortamlara genellenebilmesi için, nitel araştırmacının okuyucuyu, araştırmanın tüm aşamaları hakkında ayrıntılı bir şekilde bilgilendirmesi beklenir. Okuyucu araştırma sonuçlarından yola çıkarak kendi ortamına doğrudan genelleme yapamayabilir, ancak kendi ortamı için geçerli olabilecek bazı dersler ya da deneyimler çıkarabilir. Bu gerçekleştiği takdirde, nitel araştırma sonuçlarının genellenebilirliği de artar.”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259, PDF s. 257]</w:t>
      </w:r>
    </w:p>
    <w:p>
      <w:pPr>
        <w:spacing w:after="120" w:line="360"/>
        <w:ind w:firstLine="567"/>
        <w:jc w:val="both"/>
      </w:pPr>
      <w:r>
        <w:rPr>
          <w:rFonts w:ascii="Times New Roman" w:cs="Traditional Arabic" w:eastAsia="Times New Roman" w:hAnsi="Times New Roman"/>
          <w:i w:val="false"/>
          <w:sz w:val="24"/>
          <w:szCs w:val="24"/>
        </w:rPr>
        <w:t xml:space="preserve">Gazzâlî </w:t>
      </w:r>
      <w:r>
        <w:rPr>
          <w:rFonts w:ascii="Times New Roman" w:cs="Traditional Arabic" w:eastAsia="Times New Roman" w:hAnsi="Times New Roman"/>
          <w:i/>
          <w:iCs/>
          <w:sz w:val="24"/>
          <w:szCs w:val="24"/>
        </w:rPr>
        <w:t xml:space="preserve">İhyâ</w:t>
      </w:r>
      <w:r>
        <w:rPr>
          <w:rFonts w:ascii="Times New Roman" w:cs="Traditional Arabic" w:eastAsia="Times New Roman" w:hAnsi="Times New Roman"/>
          <w:i w:val="false"/>
          <w:sz w:val="24"/>
          <w:szCs w:val="24"/>
        </w:rPr>
        <w:t xml:space="preserve">'da iʿtibârın anlamını açıklarken bu düşünceye çok yakın bir tanım vermektedir. Ona göre iʿtibâr, âlimlerin ve iyilerin yoludur ve onun anlamı zikredilenden başkasına geçmek ve onunla yetinmemektir. Gazzâlî bunu şöyle örneklendirmektedir: Akıllı kimse başkasının başına gelen bir musibeti gördüğünde, ondan kendisinin de musibetlere maruz olduğunu fark etmeye geçerek ibret alır.</w:t>
      </w:r>
      <w:r>
        <w:rPr>
          <w:rStyle w:val="FootnoteReference"/>
        </w:rPr>
        <w:footnoteReference w:id="38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“فإن هذه طريق الاعتبار وهو مسلك العلماء والأبرار إذ معنى الاعتبار أن يعبر ما ذكر إلى غيره فلا يقتصر عليه كما يرى العاقل مصيبة لغيره فيكون فيها له عبرة بأن يعبر منها إلى التنبه لكونه أيضاً عرضة للمصائب”</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9472, page_id 49, basılı cilt/sayfa 1/49]</w:t>
      </w:r>
    </w:p>
    <w:p>
      <w:pPr>
        <w:spacing w:after="120" w:line="360"/>
        <w:ind w:firstLine="567"/>
        <w:jc w:val="both"/>
      </w:pPr>
      <w:r>
        <w:rPr>
          <w:rFonts w:ascii="Times New Roman" w:cs="Traditional Arabic" w:eastAsia="Times New Roman" w:hAnsi="Times New Roman"/>
          <w:i w:val="false"/>
          <w:sz w:val="24"/>
          <w:szCs w:val="24"/>
        </w:rPr>
        <w:t xml:space="preserve">Bu tanımda, okurun bir araştırmadan kendi durumuna dair bir ders çıkarmasının klasik bir ifadesi görülmektedir. Bir Kur'an kursunda yapılan araştırmayı okuyan başka bir kursun öğreticisi, o kursun durumundan kendi kursuna “geçer” ve kendi durumuna dair bir anlayış kazanır. Bu geçişin yapılabilmesi için araştırmacının o kursu ayrıntılı biçimde betimlemiş olması gerekir. Benzerliğin sınırı ise Gazzâlî'nin iʿtibârının manevi bir ders alma faaliyeti olmasıdır. Nitel araştırmada sonuçların başka ortamlar için anlam taşıması ise, okurun iki bağlam arasındaki benzerliği değerlendirmesine dayanmaktadır. Gazzâlî'nin örneğinde musibet ders almak için yeterlidir. Nitel araştırmada ise okurun doğru bir aktarım yapabilmesi için iki bağlamın benzer ve farklı yönlerini görebilmesi gerekmektedir. Böylece aynı kelime bu bölümde iki farklı işlevle karşımıza çıkmaktadır: hadis usulünde bir rivayetin destekleyicilerini aramak, Gazzâlî'de ise anlatılandan kendine ders çıkarmak.</w:t>
      </w:r>
    </w:p>
    <w:p>
      <w:pPr>
        <w:pStyle w:val="Heading2"/>
        <w:keepNext/>
        <w:spacing w:after="120" w:before="240"/>
      </w:pPr>
      <w:r>
        <w:rPr>
          <w:rFonts w:ascii="Times New Roman" w:cs="Traditional Arabic" w:eastAsia="Times New Roman" w:hAnsi="Times New Roman"/>
          <w:b/>
          <w:bCs/>
          <w:i w:val="false"/>
          <w:sz w:val="24"/>
          <w:szCs w:val="24"/>
        </w:rPr>
        <w:t xml:space="preserve">12.8. Güvenirlik</w:t>
      </w:r>
    </w:p>
    <w:p>
      <w:pPr>
        <w:spacing w:after="120" w:line="360"/>
        <w:ind w:firstLine="567"/>
        <w:jc w:val="both"/>
      </w:pPr>
      <w:r>
        <w:rPr>
          <w:rFonts w:ascii="Times New Roman" w:cs="Traditional Arabic" w:eastAsia="Times New Roman" w:hAnsi="Times New Roman"/>
          <w:i w:val="false"/>
          <w:sz w:val="24"/>
          <w:szCs w:val="24"/>
        </w:rPr>
        <w:t xml:space="preserve">Güvenirlik meselesinde nicel araştırmadan alınan ölçütlerin nitel araştırmaya olduğu gibi taşınıp taşınamayacağı sorusu öne çıkmaktadır. Yıldırım ve Şimşek nitel yaklaşımın her araştırmacının olayları algılama ve yorumlama biçiminin farklı olabileceğini kabul ettiğini, aynı verilerin iki farklı araştırmacı tarafından farklı algılanmasının ve yorumlanmasının kaçınılmaz ve olağan olabileceğini belirtmektedir.</w:t>
      </w:r>
      <w:r>
        <w:rPr>
          <w:rStyle w:val="FootnoteReference"/>
        </w:rPr>
        <w:footnoteReference w:id="38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dış güvenirlik konusunda araştırmacının alabileceği en önemli önlem, hem araştırmanın temel aşamaları hem de araştırma sürecindeki kendi konumu ve yaklaşımı hakkında ayrıntılı ve açık bilgi vermektir.</w:t>
      </w:r>
      <w:r>
        <w:rPr>
          <w:rStyle w:val="FootnoteReference"/>
        </w:rPr>
        <w:footnoteReference w:id="38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araştırmacı ile veri kaynağı arasında oluşturulan etkileşimin mümkün olan durumlarda geniş bir zamana yayılması da araştırma verilerinin inandırıcılığını artıracaktır.</w:t>
      </w:r>
      <w:r>
        <w:rPr>
          <w:rStyle w:val="FootnoteReference"/>
        </w:rPr>
        <w:footnoteReference w:id="38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yaklaşım her araştırmacının olayları algılama ve yorumlama biçiminin farklı olabileceğini kabul eder. Aynı verileri iki farklı araştırmacının farklı algılaması ve yorumlaması kaçınılmaz olabilir ve olağandır.”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259, PDF s. 257]</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374. dipnottaki doğrulama bloğunda verilmiştir.]</w:t>
      </w:r>
    </w:p>
    <w:p>
      <w:pPr>
        <w:pStyle w:val="Dogrulama"/>
        <w:spacing w:after="20" w:line="276"/>
        <w:ind w:left="567"/>
        <w:jc w:val="both"/>
      </w:pPr>
      <w:r>
        <w:rPr>
          <w:rFonts w:ascii="Times New Roman" w:cs="Traditional Arabic" w:eastAsia="Times New Roman" w:hAnsi="Times New Roman"/>
          <w:i/>
          <w:iCs/>
          <w:sz w:val="22"/>
          <w:szCs w:val="22"/>
        </w:rPr>
        <w:t xml:space="preserve">“Tüm bu nedenlerle araştırmacı ile veri kaynağı arasında oluşturulan etkileşimin mümkün olan durumlarda geniş bir zamana yayılması araştırma verilerinin inandırıcılığını artıracaktır.”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266, PDF s. 264]</w:t>
      </w:r>
    </w:p>
    <w:p>
      <w:pPr>
        <w:spacing w:after="120" w:line="360"/>
        <w:ind w:firstLine="567"/>
        <w:jc w:val="both"/>
      </w:pPr>
      <w:r>
        <w:rPr>
          <w:rFonts w:ascii="Times New Roman" w:cs="Traditional Arabic" w:eastAsia="Times New Roman" w:hAnsi="Times New Roman"/>
          <w:i w:val="false"/>
          <w:sz w:val="24"/>
          <w:szCs w:val="24"/>
        </w:rPr>
        <w:t xml:space="preserve">Bu yaklaşımda güvenirlik, sonuçların aynen tekrarlanabilmesi değil, araştırmanın izlediği yolun açıkça gösterilmesi anlamına gelmektedir. Üçüncü bölümde görüldüğü üzere Şâfiî, haberiyle hüccet kaim olacak kimsede aranan şartlar arasında tedlîsten uzak olmayı da saymaktadır.</w:t>
      </w:r>
      <w:r>
        <w:rPr>
          <w:rStyle w:val="FootnoteReference"/>
        </w:rPr>
        <w:footnoteReference w:id="38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Tedlîs, bir haberin hangi yoldan geldiğini gizlemek ve böylece onu olduğundan daha güçlü göstermektir. Bu şartın tersinden okunuşu, nakledenin bilginin geldiği yolu açıkça göstermekle yükümlü olmasıdır. Kanaatimizce nitel araştırmada araştırma sürecinin, kararların ve araştırmacının konumunun ayrıntılı kaydı, bu açıklığın modern bir karşılığı olarak görülebilir. Ancak senet bir nakil zincirinin kişilerini gösterirken, araştırma kaydı bir yorum sürecinin aşamalarını göstermektedir.</w:t>
      </w:r>
    </w:p>
    <w:p>
      <w:pPr>
        <w:pStyle w:val="Heading2"/>
        <w:keepNext/>
        <w:spacing w:after="120" w:before="240"/>
      </w:pPr>
      <w:r>
        <w:rPr>
          <w:rFonts w:ascii="Times New Roman" w:cs="Traditional Arabic" w:eastAsia="Times New Roman" w:hAnsi="Times New Roman"/>
          <w:b/>
          <w:bCs/>
          <w:i w:val="false"/>
          <w:sz w:val="24"/>
          <w:szCs w:val="24"/>
        </w:rPr>
        <w:t xml:space="preserve">12.9. Din Eğitimi Uygulaması: Araştırmacının Dindarlığı ve Konumu</w:t>
      </w:r>
    </w:p>
    <w:p>
      <w:pPr>
        <w:spacing w:after="120" w:line="360"/>
        <w:ind w:firstLine="567"/>
        <w:jc w:val="both"/>
      </w:pPr>
      <w:r>
        <w:rPr>
          <w:rFonts w:ascii="Times New Roman" w:cs="Traditional Arabic" w:eastAsia="Times New Roman" w:hAnsi="Times New Roman"/>
          <w:i w:val="false"/>
          <w:sz w:val="24"/>
          <w:szCs w:val="24"/>
        </w:rPr>
        <w:t xml:space="preserve">Din eğitimi araştırmacısı kendisi de inanan, ibadet eden ve bir dinî gelenek içinde yetişmiş bir kişi olabilir. Bu durum araştırmacıya katılımcıların dilini ve dünyasını tanıma konusunda önemli bir avantaj sağlamaktadır. Ancak aynı durum, araştırmacının kendi kanaatlerini katılımcıların tecrübelerine yükleme tehlikesini de taşımaktadır. Aşağıdaki kurgusal örnek, araştırmacının bu konumu nasıl kayda geçirebileceğini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Araştırmacının konum beyanı ve inandırıcılık önlemleri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Konum beyanı: “Ben bu araştırmayı imam hatip lisesinden mezun olmuş ve on yıl din kültürü öğretmenliği yapmış bir araştırmacı olarak yürüttüm. Lise yıllarımda yaz Kur'an kurslarında öğrenci, üniversite yıllarımda öğretici olarak bulundum. Bu tecrübe, kurs ortamındaki pek çok ifadeyi anlamamı kolaylaştırdı. Aynı tecrübe, öğreticilerin bazı uygulamalarını kendi hocalarımın uygulamalarıyla karşılaştırma eğilimine de yol açtı. Bu eğilimi fark ettiğim anları araştırma günlüğüme kaydettim.”</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Alınan önlemler: Gözlem notlarında betimleme ile yorum ayrı sütunlarda tutuldu. Her katılımcıyla en az iki görüşme yapıldı. Görüşme özetleri katılımcılara okutuldu ve iki katılımcının itirazı rapora ayrıca eklendi. Temalar, kurs dışından gelen ve nitel yöntemlerde deneyimli bir meslektaşla birlikte gözden geçirildi. Temaya uymayan üç anlatım aykırı durumlar başlığı altında ayrıca raporlandı.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Kesinlik dili: Yalnızca bir okulun öğreticilerinden gelen bir gözlem “öğreticiler” diye değil, “bu kurstaki öğreticiler” diye ifade edildi.</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örnekte araştırmacı, İbnü's-Salâh'ın öfke perdesi uyarısını ve İbn Haldûn'un taraftarlık uyarısını kendi duygusal ve kişisel konumuna uygulamaktadır. Araştırmacı kendi tecrübesini saklamamakta, onu bir kaynak olarak kabul etmekte, fakat onun yorumu nasıl etkileyebileceğini de okura bildirmektedir. Alınan önlemler ise bu bölümde ele alınan klasik ve modern ilkelerin uygulamaya dönüşmüş halidir.</w:t>
      </w:r>
    </w:p>
    <w:p>
      <w:pPr>
        <w:keepNext/>
        <w:spacing w:after="80" w:before="200"/>
      </w:pPr>
      <w:r>
        <w:rPr>
          <w:rFonts w:ascii="Times New Roman" w:cs="Traditional Arabic" w:eastAsia="Times New Roman" w:hAnsi="Times New Roman"/>
          <w:b/>
          <w:bCs/>
          <w:i w:val="false"/>
          <w:sz w:val="22"/>
          <w:szCs w:val="22"/>
        </w:rPr>
        <w:t xml:space="preserve">Tablo 12.1. On ikinci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1225"/>
        <w:gridCol w:w="980"/>
        <w:gridCol w:w="1593"/>
        <w:gridCol w:w="1470"/>
        <w:gridCol w:w="2451"/>
        <w:gridCol w:w="1348"/>
      </w:tblGrid>
      <w:tr>
        <w:trPr>
          <w:cantSplit/>
          <w:tblHeader/>
        </w:trPr>
        <w:tc>
          <w:tcPr>
            <w:tcW w:type="dxa" w:w="122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98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59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470"/>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245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34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Araştırmacının dürüstlüğü ve kayıt titizliği</w:t>
            </w:r>
          </w:p>
        </w:tc>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Adalet ve zabt</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104 (Şamile 22870)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Verinin güvenilirliğinin onu aktaranın niteliğine bağlanması</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ölçüt râviye, burada araştırmacıya uygulanmaktadır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Araştırmacının kayıtlarının ve dökümlerinin denetlenebilir tutulması</w:t>
            </w:r>
          </w:p>
        </w:tc>
      </w:tr>
      <w:tr>
        <w:trPr>
          <w:cantSplit/>
        </w:trPr>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Kesinlik derecesine uygun dil</w:t>
            </w:r>
          </w:p>
        </w:tc>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Temrîz sıygası</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104 (Şamile 22870)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Kanaatin derecesinin ifadeye yansıması</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kaygı nispetin sıhhati, modern kaygı yoruma duyulan güvendir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Bulguların ihtiyatlı bir dille raporlanması</w:t>
            </w:r>
          </w:p>
        </w:tc>
      </w:tr>
      <w:tr>
        <w:trPr>
          <w:cantSplit/>
        </w:trPr>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Çeşitleme</w:t>
            </w:r>
          </w:p>
        </w:tc>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İʿtibâr, mütâbaat, şâhid</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82-83 (Şamile 22870)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Bilginin başka yollardan desteklenip desteklenmediğinin araştırılması</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İʿtibâr sıhhat arar, çeşitleme farklılıkları da veri sayar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gözlem ve dokümanların birlikte kullanılması</w:t>
            </w:r>
          </w:p>
        </w:tc>
      </w:tr>
      <w:tr>
        <w:trPr>
          <w:cantSplit/>
        </w:trPr>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Yorumdaki gizli kusur ve bütün verinin gözden geçirilmesi</w:t>
            </w:r>
          </w:p>
        </w:tc>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İllet ve cemʿu't-turuk</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90 (Şamile 22870)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Görünüşte sağlam olanın bütün yollar toplandığında kusurunun ortaya çıkması</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İlel ilmi katılımcı sözünü değil, burada araştırmacının yorumunu sınar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Temaların bütün veri setiyle karşılaştırılması</w:t>
            </w:r>
          </w:p>
        </w:tc>
      </w:tr>
      <w:tr>
        <w:trPr>
          <w:cantSplit/>
        </w:trPr>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 yanlılığı ve düşünümsellik</w:t>
            </w:r>
          </w:p>
        </w:tc>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Taraftarlık, maksatlardan gaflet, öfke perdesi</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Târîh, 1/46-47 (Şamile 12320), İbnü's-Salâh, 390-391 (Şamile 22870)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Değerlendirenin kanaat ve duygularının yargısını perdelemesi</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metinler haber ve râvi değerlendirmesini konu edinir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Araştırmacının konum beyanı ve araştırma günlüğü</w:t>
            </w:r>
          </w:p>
        </w:tc>
      </w:tr>
      <w:tr>
        <w:trPr>
          <w:cantSplit/>
        </w:trPr>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 teyidi</w:t>
            </w:r>
          </w:p>
        </w:tc>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Arz ve kaydedileni kaynağa geri söyleme</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137 (Şamile 22870), Bîrûnî, 18 (Şamile 11655)</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Kaydedileni kaynağına sunma</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Arzda okunan metin şeyhe sunulur, katılımcı teyidinde ise araştırmacının yorumu da katılımcıya sunulur ve ret de bir veridir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Görüşme özetlerinin katılımcılara okutulması</w:t>
            </w:r>
          </w:p>
        </w:tc>
      </w:tr>
      <w:tr>
        <w:trPr>
          <w:cantSplit/>
        </w:trPr>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Sonuçların okurun ortamına taşınması</w:t>
            </w:r>
          </w:p>
        </w:tc>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İʿtibâr (ibret alma)</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İhyâ, 1/49 (Şamile 9472)</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Anlatılandan kendi durumuna geçme</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Gazzâlî'nin iʿtibârı manevi bir derstir, nitel araştırmada bu taşıma bağlam benzerliğinin okur tarafından değerlendirilmesine dayanır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 raporlarının ayrıntılı betimlemeyle yazılması</w:t>
            </w:r>
          </w:p>
        </w:tc>
      </w:tr>
      <w:tr>
        <w:trPr>
          <w:cantSplit/>
        </w:trPr>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 sürecinin açıklığı</w:t>
            </w:r>
          </w:p>
        </w:tc>
        <w:tc>
          <w:tcPr>
            <w:tcW w:type="dxa" w:w="98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Tedlîsten uzak olma</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Şâfiî, er-Risâle, 371 (Şâmile 8180)</w:t>
            </w:r>
          </w:p>
        </w:tc>
        <w:tc>
          <w:tcPr>
            <w:tcW w:type="dxa" w:w="1470"/>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Bilginin geldiği yolun gizlenmemesi</w:t>
            </w:r>
          </w:p>
        </w:tc>
        <w:tc>
          <w:tcPr>
            <w:tcW w:type="dxa" w:w="245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Tedlîs bir nakil zincirinin halkalarına, araştırma kaydı yorum sürecinin aşamalarına dairdir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Denetim izinin tutulması</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ON ÜÇÜNCÜ BÖLÜM</w:t>
      </w:r>
    </w:p>
    <w:p>
      <w:pPr>
        <w:pStyle w:val="Heading1"/>
        <w:spacing w:after="360"/>
        <w:jc w:val="center"/>
      </w:pPr>
      <w:r>
        <w:rPr>
          <w:rFonts w:ascii="Times New Roman" w:cs="Traditional Arabic" w:eastAsia="Times New Roman" w:hAnsi="Times New Roman"/>
          <w:b/>
          <w:bCs/>
          <w:i w:val="false"/>
          <w:color w:val="1F3864"/>
          <w:sz w:val="28"/>
          <w:szCs w:val="28"/>
        </w:rPr>
        <w:t xml:space="preserve">13. Araştırma Etiği ve Araştırmacının Ahlakı</w:t>
      </w:r>
    </w:p>
    <w:p>
      <w:pPr>
        <w:spacing w:after="120" w:line="360"/>
        <w:ind w:firstLine="567"/>
        <w:jc w:val="both"/>
      </w:pPr>
      <w:r>
        <w:rPr>
          <w:rFonts w:ascii="Times New Roman" w:cs="Traditional Arabic" w:eastAsia="Times New Roman" w:hAnsi="Times New Roman"/>
          <w:i w:val="false"/>
          <w:sz w:val="24"/>
          <w:szCs w:val="24"/>
        </w:rPr>
        <w:t xml:space="preserve">Araştırma etiği, modern sosyal bilimlerde katılımcıların haklarını koruyan kurallar olarak da ele alınmaktadır. Bilgilendirilmiş onam, gönüllülük, gizlilik ve zarar vermeme bu kuralların başında gelmektedir. Klasik İslam ilim geleneği ise ilim ehlinin ahlakını, onun iç dünyasından başlayarak ele almıştır. Niyetin halis olması, talebeye şefkat, emanetin korunması ve bilinmeyeni bilinmiyor diye söyleyebilme cesareti, âdâbü'l-âlim ve'l-müteallim geleneğinin temel konularıdır. Bu bölümde iki yaklaşım birlikte ele alınmakta ve din eğitimi araştırmalarında, özellikle çocuklar ve gençlerle yapılan araştırmalarda, birbirini nasıl tamamlayabilecekleri tartışılmaktadır.</w:t>
      </w:r>
    </w:p>
    <w:p>
      <w:pPr>
        <w:pStyle w:val="Heading2"/>
        <w:keepNext/>
        <w:spacing w:after="120" w:before="240"/>
      </w:pPr>
      <w:r>
        <w:rPr>
          <w:rFonts w:ascii="Times New Roman" w:cs="Traditional Arabic" w:eastAsia="Times New Roman" w:hAnsi="Times New Roman"/>
          <w:b/>
          <w:bCs/>
          <w:i w:val="false"/>
          <w:sz w:val="24"/>
          <w:szCs w:val="24"/>
        </w:rPr>
        <w:t xml:space="preserve">13.1. Niyet: Araştırmanın Görünmeyen Başlangıcı</w:t>
      </w:r>
    </w:p>
    <w:p>
      <w:pPr>
        <w:spacing w:after="120" w:line="360"/>
        <w:ind w:firstLine="567"/>
        <w:jc w:val="both"/>
      </w:pPr>
      <w:r>
        <w:rPr>
          <w:rFonts w:ascii="Times New Roman" w:cs="Traditional Arabic" w:eastAsia="Times New Roman" w:hAnsi="Times New Roman"/>
          <w:i w:val="false"/>
          <w:sz w:val="24"/>
          <w:szCs w:val="24"/>
        </w:rPr>
        <w:t xml:space="preserve">İbnü's-Salâh hadis ilmini, ahlakın güzelliklerine ve huyların iyilerine uygun düşen, kötü ahlak ve çirkin huylarla bağdaşmayan şerefli bir ilim olarak tanımlamakta ve onun dünya ilimlerinden değil ahiret ilimlerinden olduğunu söylemektedir. Ona göre hadis rivayet etmeye ya da onun ilimlerinden bir şey öğretmeye girişmek isteyen kimse önce niyetini düzeltip halis kılmalı, kalbini dünyevî amaçlardan temizlemeli ve riyaset sevgisi belasından sakınmalıdır.</w:t>
      </w:r>
      <w:r>
        <w:rPr>
          <w:rStyle w:val="FootnoteReference"/>
        </w:rPr>
        <w:footnoteReference w:id="38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“عِلْمُ الْحَدِيثِ عِلْمٌ شَرِيفٌ، يُنَاسِبُ مَكَارِمَ الْأَخْلَاقِ وَمَحَاسِنَ الشِّيَمِ، وَيُنَافِرُ مَسَاوِيَ الْأَخْلَاقِ، وَمَشَايِنَ الشِّيَمِ، وَهُوَ مِنْ عُلُومِ الْآخِرَةِ لَا مِنْ عُلُومِ الدُّنْيَا. فَمَنْ أَرَادَ التَّصَدِّيَ لِإِسْمَاعِ الْحَدِيثِ، أَوْ لِإِفَادَةِ شَيْءٍ مِنْ عُلُومِهِ، فَلْيُقَدِّمْ تَصْحِيحَ النِّيَّةِ وَإِخْلَاصَهَا، وَلْيُطَهِّرْ قَلْبَهُ مِنَ الْأَغْرَاضِ الدُّنْيَوِيَّةِ وَأَدْنَاسِهَا، وَلْيَحْذَرْ بَلِيَّةَ حُبِّ الرِّيَاسَةِ، وَرُعُونَاتِهَا.”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233, basılı s. 236]</w:t>
      </w:r>
    </w:p>
    <w:p>
      <w:pPr>
        <w:spacing w:after="120" w:line="360"/>
        <w:ind w:firstLine="567"/>
        <w:jc w:val="both"/>
      </w:pPr>
      <w:r>
        <w:rPr>
          <w:rFonts w:ascii="Times New Roman" w:cs="Traditional Arabic" w:eastAsia="Times New Roman" w:hAnsi="Times New Roman"/>
          <w:i w:val="false"/>
          <w:sz w:val="24"/>
          <w:szCs w:val="24"/>
        </w:rPr>
        <w:t xml:space="preserve">Nevevî de </w:t>
      </w:r>
      <w:r>
        <w:rPr>
          <w:rFonts w:ascii="Times New Roman" w:cs="Traditional Arabic" w:eastAsia="Times New Roman" w:hAnsi="Times New Roman"/>
          <w:i/>
          <w:iCs/>
          <w:sz w:val="24"/>
          <w:szCs w:val="24"/>
        </w:rPr>
        <w:t xml:space="preserve">et-Tibyân</w:t>
      </w:r>
      <w:r>
        <w:rPr>
          <w:rFonts w:ascii="Times New Roman" w:cs="Traditional Arabic" w:eastAsia="Times New Roman" w:hAnsi="Times New Roman"/>
          <w:i w:val="false"/>
          <w:sz w:val="24"/>
          <w:szCs w:val="24"/>
        </w:rPr>
        <w:t xml:space="preserve">'da Kur'an okutana ve okuyana ilk düşen şeyin, bu işle Allah'ın rızasını kastetmeleri olduğunu belirtmektedir.</w:t>
      </w:r>
      <w:r>
        <w:rPr>
          <w:rStyle w:val="FootnoteReference"/>
        </w:rPr>
        <w:footnoteReference w:id="38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Nevevî'ye göre muallim öğretimiyle mal, makam, itibar, akranlarına üstünlük, insanlar nezdinde övgü ya da insanların yüzünü kendisine çevirmek gibi dünyevî bir amaca ulaşmayı kastetmemelidir. Kendisine okuyan öğrencilerden mal ya da hizmet olarak bir menfaat elde etme beklentisiyle öğretimini kirletmemeli, bu menfaat az olsa ya da öğrenci kendisine okumasaydı vermeyeceği bir hediye suretinde olsa bile ondan sakınmalıdır.</w:t>
      </w:r>
      <w:r>
        <w:rPr>
          <w:rStyle w:val="FootnoteReference"/>
        </w:rPr>
        <w:footnoteReference w:id="390"/>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“أول ما ينبغي للمقرئ والقارئ أن يقصدا بذلك رضا الله تعالى”</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1969, page_id 26, basılı s. 31]</w:t>
      </w:r>
    </w:p>
    <w:p>
      <w:pPr>
        <w:pStyle w:val="DogrulamaAR"/>
        <w:bidi/>
        <w:spacing w:after="20" w:line="300"/>
        <w:ind w:end="567"/>
        <w:jc w:val="both"/>
      </w:pPr>
      <w:r>
        <w:rPr>
          <w:rFonts w:ascii="Times New Roman" w:cs="Traditional Arabic" w:eastAsia="Times New Roman" w:hAnsi="Times New Roman"/>
          <w:i/>
          <w:iCs/>
          <w:sz w:val="24"/>
          <w:szCs w:val="30"/>
          <w:rtl/>
        </w:rPr>
        <w:t xml:space="preserve">“وينبغي أن لا يقصد به توصلا إلى غرض من أغراض الدنيا من مال أو رياسة أو وجاهة أو ارتفاع على أقرانه أو ثناء عند الناس أو صرف وجوه الناس إليه أو نحو ذلك * ولا يشوب المقرئ إقراءه بطمع في رفق يحصل له من بعض من يقرأ عليه سواء كان الرفق مالا أو خدمة وإن قل ولو كان على صورة الهدية التي لولا قراءته عليه لما أهداها إليه”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1969, page_id 29, basılı s. 34]</w:t>
      </w:r>
    </w:p>
    <w:p>
      <w:pPr>
        <w:spacing w:after="120" w:line="360"/>
        <w:ind w:firstLine="567"/>
        <w:jc w:val="both"/>
      </w:pPr>
      <w:r>
        <w:rPr>
          <w:rFonts w:ascii="Times New Roman" w:cs="Traditional Arabic" w:eastAsia="Times New Roman" w:hAnsi="Times New Roman"/>
          <w:i w:val="false"/>
          <w:sz w:val="24"/>
          <w:szCs w:val="24"/>
        </w:rPr>
        <w:t xml:space="preserve">Kanaatimizce modern araştırma etiği, araştırmacının kişisel niyetinden çok katılımcılara nasıl davranılacağıyla ilgilenmektedir. Klasik gelenek bu noktada modern etiğe önemli bir katkı sunabilir. Akademik yükselme, yayın sayısını artırma ya da bir kuruma yaranma isteğiyle yapılan bir araştırma, kâğıt üzerinde bütün etik kurallara uysa bile, Nevevî'nin “dünyevî amaç” dediği şeye hizmet etme tehlikesi taşımaktadır. Gazzâlî'nin tedristeki niyetini düşündüğünde onun Allah rızası için halis olmadığını, onu harekete geçirenin makam talebi ve şöhret isteği olduğunu fark ettiği pasaj da, beşinci bölümde görüldüğü gibi, araştırmacı için bir ayna işlevi görebilir.</w:t>
      </w:r>
      <w:r>
        <w:rPr>
          <w:rStyle w:val="FootnoteReference"/>
        </w:rPr>
        <w:footnoteReference w:id="39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173.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Niyet meselesini araştırma etiğine taşırken bir sınır da gözetilmelidir. Klasik metinlerdeki niyet, kul ile Allah arasındaki bir ilişkiye dairdir ve dışarıdan denetlenemez. Araştırma etiği ise başkalarına karşı sorumluluğu düzenleyen ve denetlenebilir kurallar koymaktadır. Bu nedenle niyetin halis olması, etik kuralların yerini tutmamakta, onları içeriden destekleyen bir ahlak zemini oluşturmaktadır. Niyeti halis olan bir araştırmacı da katılımcının rızasını almak, mahremiyetini korumak ve ona zarar vermemek zorundadır.</w:t>
      </w:r>
    </w:p>
    <w:p>
      <w:pPr>
        <w:pStyle w:val="Heading2"/>
        <w:keepNext/>
        <w:spacing w:after="120" w:before="240"/>
      </w:pPr>
      <w:r>
        <w:rPr>
          <w:rFonts w:ascii="Times New Roman" w:cs="Traditional Arabic" w:eastAsia="Times New Roman" w:hAnsi="Times New Roman"/>
          <w:b/>
          <w:bCs/>
          <w:i w:val="false"/>
          <w:sz w:val="24"/>
          <w:szCs w:val="24"/>
        </w:rPr>
        <w:t xml:space="preserve">13.2. Gönüllülük ve Güç İlişkileri</w:t>
      </w:r>
    </w:p>
    <w:p>
      <w:pPr>
        <w:spacing w:after="120" w:line="360"/>
        <w:ind w:firstLine="567"/>
        <w:jc w:val="both"/>
      </w:pPr>
      <w:r>
        <w:rPr>
          <w:rFonts w:ascii="Times New Roman" w:cs="Traditional Arabic" w:eastAsia="Times New Roman" w:hAnsi="Times New Roman"/>
          <w:i w:val="false"/>
          <w:sz w:val="24"/>
          <w:szCs w:val="24"/>
        </w:rPr>
        <w:t xml:space="preserve">Nevevî'nin öğrenciden menfaat beklememe uyarısı,</w:t>
      </w:r>
      <w:r>
        <w:rPr>
          <w:rStyle w:val="FootnoteReference"/>
        </w:rPr>
        <w:footnoteReference w:id="39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 araştırmalarında karşılaşılabilecek bir etik soruna ışık tutmaktadır. Din eğitimi araştırmacıları kendi öğrencileri, kendi kursiyerleri ya da kendi cemaatleriyle de çalışabilmektedir. Bu durumda öğrenciden araştırmaya katılmasını istemek, ondan bir hizmet istemek anlamına gelebilir. Öğretmeninin isteğini geri çevirmek, öğrenci için kolay değildir. Kanaatimizce Nevevî'nin “kendisine okumasaydı vermeyeceği hediye” ifadesi, öğretmen ile öğrenci arasındaki ilişki olmasaydı verilmeyecek bir rızanın gerçek bir rıza olup olmadığı sorusunu sordurmaktadır. Öğretmen-araştırmacı, katılımın notla, sınıftaki konumla ya da öğretmenin gözündeki değerle hiçbir ilişkisi olmadığını öğrencilerine açıkça göstermeli, mümkünse katılımcıları başka birinin aracılığıyla davet etmelidir.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390.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Nevevî muallimin kendisine okuyana yumuşak davranmasını, onu hoş karşılamasını ve haline göre ona iyilik etmesini de öğütlemektedir.</w:t>
      </w:r>
      <w:r>
        <w:rPr>
          <w:rStyle w:val="FootnoteReference"/>
        </w:rPr>
        <w:footnoteReference w:id="39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“haline göre” ifadesi, öğrencinin durumu olarak okunduğunda araştırma etiği bakımından anlamlıdır. Bir çocuğa, bir yaşlıya, yakınını kaybetmiş bir veliye ya da dinî bir kriz yaşayan bir gence gösterilecek özen aynı değildir. Araştırmacı katılımcının yaşına, durumuna ve hassasiyetine göre görüşmenin süresini, yerini ve sorularını düzenlemelidir.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“وينبغي له أن يرفق بمن يقرأ عليه وأن يرحب به ويحسن إليه بحسب حاله”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1969, page_id 33, basılı s. 38]</w:t>
      </w:r>
    </w:p>
    <w:p>
      <w:pPr>
        <w:spacing w:after="120" w:line="360"/>
        <w:ind w:firstLine="567"/>
        <w:jc w:val="both"/>
      </w:pPr>
      <w:r>
        <w:rPr>
          <w:rFonts w:ascii="Times New Roman" w:cs="Traditional Arabic" w:eastAsia="Times New Roman" w:hAnsi="Times New Roman"/>
          <w:i w:val="false"/>
          <w:sz w:val="24"/>
          <w:szCs w:val="24"/>
        </w:rPr>
        <w:t xml:space="preserve">Modern araştırma etiği literatürü de güç ilişkilerini merkezî bir mesele olarak görmektedir. Creswell’e göre mülakat ve gözlemlere, veri toplayan kişi ile katılımcılar arasında bir güç dengesizliği bulunduğu varsayımıyla başlanmalıdır. Aynı yazar, bazı araştırmacıların katılımcıları veri toplamada “kullandığını” ve veri toplama biter bitmez onlarla iletişimi kestiğini, bunun da katılımcıların istismarıyla sonuçlandığını belirtmektedir.</w:t>
      </w:r>
      <w:r>
        <w:rPr>
          <w:rStyle w:val="FootnoteReference"/>
        </w:rPr>
        <w:footnoteReference w:id="39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Araştırmanın amacının açıklanması da bir güç meselesidir. Creswell araştırmacının aklındaki amaç ile katılımcının anladığı amaç aynı değilse aldanmanın ortaya çıktığını söylemektedir.</w:t>
      </w:r>
      <w:r>
        <w:rPr>
          <w:rStyle w:val="FootnoteReference"/>
        </w:rPr>
        <w:footnoteReference w:id="39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Beraha ise bir araştırmanın bütün içerik ve amacının katılımcılarla ayrıntılı olarak paylaşılmasının her zaman mümkün olmadığını, bu sebeple bazı gerçeklerin katılımcıdan saklanmasıyla ortaya çıkan ihmal yoluyla aldatmanın hemen her araştırmada karşılaşılabilecek bir sorun olduğunu kabul etmektedir.</w:t>
      </w:r>
      <w:r>
        <w:rPr>
          <w:rStyle w:val="FootnoteReference"/>
        </w:rPr>
        <w:footnoteReference w:id="39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din eğitimi araştırmalarında bu sorun özellikle dikkat ister. Bir araştırmacının “öğrencilerin dinî tutumlarını” incelediğini söylerken aslında onların ibadet ihmallerini tespit etmeyi amaçlaması, katılımcının güvenini sarsan bir aldanmadır. Nevevî’nin talebeye haline göre muamele öğüdü, araştırmacının katılımcıya araştırmayı onun anlayabileceği bir dille ve eksiksiz açıklama yükümlülüğü olarak da okunabilir.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“Mülakatlara (ve gözlemler) veri toplayan kişi ile katılımcılar arasında güç dengesizliğinin olması sayıtlısı ile başlanmalıdır.”</w:t>
      </w:r>
    </w:p>
    <w:p>
      <w:pPr>
        <w:pStyle w:val="Dogrulama"/>
        <w:spacing w:after="20" w:line="276"/>
        <w:ind w:left="567"/>
        <w:jc w:val="both"/>
      </w:pPr>
      <w:r>
        <w:rPr>
          <w:rFonts w:ascii="Times New Roman" w:cs="Traditional Arabic" w:eastAsia="Times New Roman" w:hAnsi="Times New Roman"/>
          <w:i/>
          <w:iCs/>
          <w:sz w:val="22"/>
          <w:szCs w:val="22"/>
        </w:rPr>
        <w:t xml:space="preserve">“Geleneksel olarak, bazı araştırmacılar katılımcıları veri toplamada”kullanmakta” ve veri toplama biter bitmez katılımcılarla iletişimi kesmektedir. Bu katılımcıların istismarı ile sonuçlanır.”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98, PDF s. 129. Not: “sayıtlısı” kaynaktaki yazımdır (sayıltısı). Birinci cümlenin bulunduğu paragraf Kvale’ye yapılan bir atıfla başlamaktadır; alıntılanan cümlede atıf yoktur.]</w:t>
      </w:r>
    </w:p>
    <w:p>
      <w:pPr>
        <w:pStyle w:val="Dogrulama"/>
        <w:spacing w:after="20" w:line="276"/>
        <w:ind w:left="567"/>
        <w:jc w:val="both"/>
      </w:pPr>
      <w:r>
        <w:rPr>
          <w:rFonts w:ascii="Times New Roman" w:cs="Traditional Arabic" w:eastAsia="Times New Roman" w:hAnsi="Times New Roman"/>
          <w:i/>
          <w:iCs/>
          <w:sz w:val="22"/>
          <w:szCs w:val="22"/>
        </w:rPr>
        <w:t xml:space="preserve">“Araştırmacının aklındaki amaç ile katılımcının anladığı amaç aynı değil ise aldanma ortaya çıkar.”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97, PDF s. 128. Not: Bir önceki cümle Sarantakos’a dayanmaktadır ve kullanılmamıştır.]</w:t>
      </w:r>
    </w:p>
    <w:p>
      <w:pPr>
        <w:pStyle w:val="Dogrulama"/>
        <w:spacing w:after="20" w:line="276"/>
        <w:ind w:left="567"/>
        <w:jc w:val="both"/>
      </w:pPr>
      <w:r>
        <w:rPr>
          <w:rFonts w:ascii="Times New Roman" w:cs="Traditional Arabic" w:eastAsia="Times New Roman" w:hAnsi="Times New Roman"/>
          <w:i/>
          <w:iCs/>
          <w:sz w:val="22"/>
          <w:szCs w:val="22"/>
        </w:rPr>
        <w:t xml:space="preserve">“İhmal yoluyla aldatma, araştırma ile ilgili bazı gerçeklerin katılımcıdan saklanmasıyla ortaya çıkar. Bu hemen her araştırmada karşılaşılabilen bir sorundur. Çünkü bir araştırmanın tüm içerik ve amacının katılımcılarla ayrıntılı olarak paylaşılması her zaman mümkün olmaz.”</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Bilimsel Düşünce ve Araştırma Metodolojisi{Dr. Aydın Beraha}(2021, Gazi Kitabevi){116327078} libgen.li.pdf, basılı s. 17, PDF s. 27]</w:t>
      </w:r>
    </w:p>
    <w:p>
      <w:pPr>
        <w:spacing w:after="120" w:line="360"/>
        <w:ind w:firstLine="567"/>
        <w:jc w:val="both"/>
      </w:pPr>
      <w:r>
        <w:rPr>
          <w:rFonts w:ascii="Times New Roman" w:cs="Traditional Arabic" w:eastAsia="Times New Roman" w:hAnsi="Times New Roman"/>
          <w:i w:val="false"/>
          <w:sz w:val="24"/>
          <w:szCs w:val="24"/>
        </w:rPr>
        <w:t xml:space="preserve">Görüşmenin kaydı da bir rıza meselesidir. Yıldırım ve Şimşek görüşmenin mekanik ya da dijital olarak kaydedilecekse mutlaka görüşülen kişiden önceden izin alınması gerektiğini belirtmektedir.</w:t>
      </w:r>
      <w:r>
        <w:rPr>
          <w:rStyle w:val="FootnoteReference"/>
        </w:rPr>
        <w:footnoteReference w:id="39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Doküman kullanımında da araştırmacının dokümanı sağlayan kişi ve kurumlara bu dokümanları raporunda kullanıp kullanamayacağını ve onlara açıkça atıf yapıp yapamayacağını sorması gerekmektedir.</w:t>
      </w:r>
      <w:r>
        <w:rPr>
          <w:rStyle w:val="FootnoteReference"/>
        </w:rPr>
        <w:footnoteReference w:id="39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222.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279.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13.3. Çocuklar: Emanet ve Şefkat</w:t>
      </w:r>
    </w:p>
    <w:p>
      <w:pPr>
        <w:spacing w:after="120" w:line="360"/>
        <w:ind w:firstLine="567"/>
        <w:jc w:val="both"/>
      </w:pPr>
      <w:r>
        <w:rPr>
          <w:rFonts w:ascii="Times New Roman" w:cs="Traditional Arabic" w:eastAsia="Times New Roman" w:hAnsi="Times New Roman"/>
          <w:i w:val="false"/>
          <w:sz w:val="24"/>
          <w:szCs w:val="24"/>
        </w:rPr>
        <w:t xml:space="preserve">Çocuklarla yapılan araştırmalar, din eğitimi alanında özel bir önem taşımaktadır. Gazzâlî </w:t>
      </w:r>
      <w:r>
        <w:rPr>
          <w:rFonts w:ascii="Times New Roman" w:cs="Traditional Arabic" w:eastAsia="Times New Roman" w:hAnsi="Times New Roman"/>
          <w:i/>
          <w:iCs/>
          <w:sz w:val="24"/>
          <w:szCs w:val="24"/>
        </w:rPr>
        <w:t xml:space="preserve">İhyâ</w:t>
      </w:r>
      <w:r>
        <w:rPr>
          <w:rFonts w:ascii="Times New Roman" w:cs="Traditional Arabic" w:eastAsia="Times New Roman" w:hAnsi="Times New Roman"/>
          <w:i w:val="false"/>
          <w:sz w:val="24"/>
          <w:szCs w:val="24"/>
        </w:rPr>
        <w:t xml:space="preserve">'da çocukların terbiyesine ayırdığı kısmın başında çocuğun anne ve babasının yanında bir emanet olduğunu, onun temiz kalbinin her türlü nakıştan ve suretten boş, sade ve kıymetli bir cevher olduğunu, kendisine nakşedilen her şeyi kabule elverişli ve kendisine yöneltildiği her şeye meyilli bulunduğunu söylemektedir.</w:t>
      </w:r>
      <w:r>
        <w:rPr>
          <w:rStyle w:val="FootnoteReference"/>
        </w:rPr>
        <w:footnoteReference w:id="39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Gazzâlî, çocukta temyiz alametleri görülmeye başladığında onun güzelce gözetilmesi gerektiğini ve bunun ilk belirtisinin hayanın ortaya çıkması olduğunu da belirtmektedir.</w:t>
      </w:r>
      <w:r>
        <w:rPr>
          <w:rStyle w:val="FootnoteReference"/>
        </w:rPr>
        <w:footnoteReference w:id="40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Talebeye karşı hocanın vazifelerini sayarken ise ilk vazifenin öğrencilere şefkat göstermek ve onlara kendi oğulları gibi davranmak olduğunu söylemektedir.</w:t>
      </w:r>
      <w:r>
        <w:rPr>
          <w:rStyle w:val="FootnoteReference"/>
        </w:rPr>
        <w:footnoteReference w:id="40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“اعْلَمْ أَنَّ الطَّرِيقَ فِي رِيَاضَةِ الصِّبْيَانِ مِنْ أَهَمِّ الْأُمُورِ وَأَوْكَدِهَا والصبيان أَمَانَةٌ عِنْدَ وَالِدَيْهِ وَقَلْبُهُ الطَّاهِرُ جَوْهَرَةٌ نَفِيسَةٌ سَاذَجَةٌ خَالِيَةٌ عَنْ كُلِّ نَقْشٍ وَصُورَةٍ وَهُوَ قَابِلٌ لِكُلِّ مَا نُقِشَ وَمَائِلٌ إِلَى كُلِّ مَا يُمَالُ بِهِ إِلَيْهِ”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9472, page_id 818, basılı cilt/sayfa 3/72]</w:t>
      </w:r>
    </w:p>
    <w:p>
      <w:pPr>
        <w:pStyle w:val="DogrulamaAR"/>
        <w:bidi/>
        <w:spacing w:after="20" w:line="300"/>
        <w:ind w:end="567"/>
        <w:jc w:val="both"/>
      </w:pPr>
      <w:r>
        <w:rPr>
          <w:rFonts w:ascii="Times New Roman" w:cs="Traditional Arabic" w:eastAsia="Times New Roman" w:hAnsi="Times New Roman"/>
          <w:i/>
          <w:iCs/>
          <w:sz w:val="24"/>
          <w:szCs w:val="30"/>
          <w:rtl/>
        </w:rPr>
        <w:t xml:space="preserve">“وَمَهْمَا رَأَى فِيهِ مَخَايِلَ التَّمْيِيزِ فَيَنْبَغِي أَنْ يُحْسِنَ مُرَاقَبَتَهُ وَأَوَّلُ ذَلِكَ ظُهُورُ أَوَائِلِ الْحَيَاءِ”</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9472, page_id 818, basılı cilt/sayfa 3/72]</w:t>
      </w:r>
    </w:p>
    <w:p>
      <w:pPr>
        <w:pStyle w:val="DogrulamaAR"/>
        <w:bidi/>
        <w:spacing w:after="20" w:line="300"/>
        <w:ind w:end="567"/>
        <w:jc w:val="both"/>
      </w:pPr>
      <w:r>
        <w:rPr>
          <w:rFonts w:ascii="Times New Roman" w:cs="Traditional Arabic" w:eastAsia="Times New Roman" w:hAnsi="Times New Roman"/>
          <w:i/>
          <w:iCs/>
          <w:sz w:val="24"/>
          <w:szCs w:val="30"/>
          <w:rtl/>
        </w:rPr>
        <w:t xml:space="preserve">“الوظيفة الأولى الشفقة على المتعلمين وأن يجريهم مجرى بنيه”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9472, page_id 55, basılı cilt/sayfa 1/55]</w:t>
      </w:r>
    </w:p>
    <w:p>
      <w:pPr>
        <w:spacing w:after="120" w:line="360"/>
        <w:ind w:firstLine="567"/>
        <w:jc w:val="both"/>
      </w:pPr>
      <w:r>
        <w:rPr>
          <w:rFonts w:ascii="Times New Roman" w:cs="Traditional Arabic" w:eastAsia="Times New Roman" w:hAnsi="Times New Roman"/>
          <w:i w:val="false"/>
          <w:sz w:val="24"/>
          <w:szCs w:val="24"/>
        </w:rPr>
        <w:t xml:space="preserve">Bu metinler bir eğitim ahlakı ortaya koymaktadır, araştırma etiği için yazılmamıştır. Kanaatimizce yine de çocuklarla çalışan araştırmacı için üç önemli ilke çıkarılabilir. Birincisi emanettir. Çocuk, araştırmacının değil ailesinin emanetidir. Bu nedenle çocukla görüşmeden önce velinin bilgilendirilmiş izni alınmalı, fakat bu izin çocuğun kendi rızasının yerine geçmemelidir. Çocuk, yaşına uygun bir dille bilgilendirilmeli ve katılmak istemediğinde ya da görüşmenin ortasında durmak istediğinde bu isteğine saygı gösterilmelidir. İkincisi, çocuğun kalbinin “nakşedileni kabule elverişli” olmasıdır. Araştırmacının soruları da çocuğun zihninde bir iz bırakabilir. “Namazı neden kılmıyorsun?” gibi bir soru, çocuğa kendisini suçlu hissettirebilir. Sorular, çocukta yeni bir kaygı ya da suçluluk duygusu uyandırmayacak biçimde düzenlenmelidir. Üçüncüsü hayadır. Gazzâlî'nin temyizin ilk belirtisi saydığı haya,</w:t>
      </w:r>
      <w:r>
        <w:rPr>
          <w:rStyle w:val="FootnoteReference"/>
        </w:rPr>
        <w:footnoteReference w:id="40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çocukların ve gençlerin mahremiyet duygusuna saygı gösterilmesini gerektirmektedir. Bir gencin ibadetteki ihmalini, aile içindeki gerilimleri ya da dinî şüphelerini arkadaşlarının yanında konuşmaya zorlanmaması, bu saygının asgari şartıdır.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400.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Benzerliğin sınırı da açıktır. Gazzâlî'nin emanet kavramı, ana-babanın çocuğu terbiye etme sorumluluğunu ifade etmektedir. Araştırmacının çocuğu terbiye etme gibi bir görevi yoktur. Onun sorumluluğu, araştırma sürecinde çocuğa zarar vermemek ve ona saygı göstermektir. Gazzâlî'nin şefkat ilkesi ise hocayı talebesine bir baba gibi bakmaya çağırmaktadır. Araştırmacı ise çocuğa karşı şefkatli olmakla birlikte, onun hayatında bir rol üstlenmemeli ve araştırma ilişkisinin sınırlarını korumalıdır.</w:t>
      </w:r>
    </w:p>
    <w:p>
      <w:pPr>
        <w:pStyle w:val="Heading2"/>
        <w:keepNext/>
        <w:spacing w:after="120" w:before="240"/>
      </w:pPr>
      <w:r>
        <w:rPr>
          <w:rFonts w:ascii="Times New Roman" w:cs="Traditional Arabic" w:eastAsia="Times New Roman" w:hAnsi="Times New Roman"/>
          <w:b/>
          <w:bCs/>
          <w:i w:val="false"/>
          <w:sz w:val="24"/>
          <w:szCs w:val="24"/>
        </w:rPr>
        <w:t xml:space="preserve">13.4. Mahremiyet ve Sırrın Korunması</w:t>
      </w:r>
    </w:p>
    <w:p>
      <w:pPr>
        <w:spacing w:after="120" w:line="360"/>
        <w:ind w:firstLine="567"/>
        <w:jc w:val="both"/>
      </w:pPr>
      <w:r>
        <w:rPr>
          <w:rFonts w:ascii="Times New Roman" w:cs="Traditional Arabic" w:eastAsia="Times New Roman" w:hAnsi="Times New Roman"/>
          <w:i w:val="false"/>
          <w:sz w:val="24"/>
          <w:szCs w:val="24"/>
        </w:rPr>
        <w:t xml:space="preserve">Nitel araştırmada katılımcılar araştırmacıya başkalarına anlatmadıkları şeyleri de anlatabilmektedir. Bir öğretmen yönetimle yaşadığı gerilimi, bir genç inancına dair şüphelerini, bir veli çocuğuyla ilgili endişelerini araştırmacıyla paylaşabilir. Bu paylaşım, araştırmacıyı bir sır emanetçisi haline getirmektedir.</w:t>
      </w:r>
    </w:p>
    <w:p>
      <w:pPr>
        <w:spacing w:after="120" w:line="360"/>
        <w:ind w:firstLine="567"/>
        <w:jc w:val="both"/>
      </w:pPr>
      <w:r>
        <w:rPr>
          <w:rFonts w:ascii="Times New Roman" w:cs="Traditional Arabic" w:eastAsia="Times New Roman" w:hAnsi="Times New Roman"/>
          <w:i w:val="false"/>
          <w:sz w:val="24"/>
          <w:szCs w:val="24"/>
        </w:rPr>
        <w:t xml:space="preserve">Mâverdî </w:t>
      </w:r>
      <w:r>
        <w:rPr>
          <w:rFonts w:ascii="Times New Roman" w:cs="Traditional Arabic" w:eastAsia="Times New Roman" w:hAnsi="Times New Roman"/>
          <w:i/>
          <w:iCs/>
          <w:sz w:val="24"/>
          <w:szCs w:val="24"/>
        </w:rPr>
        <w:t xml:space="preserve">Edebü'd-dünyâ ve'd-dîn</w:t>
      </w:r>
      <w:r>
        <w:rPr>
          <w:rFonts w:ascii="Times New Roman" w:cs="Traditional Arabic" w:eastAsia="Times New Roman" w:hAnsi="Times New Roman"/>
          <w:i w:val="false"/>
          <w:sz w:val="24"/>
          <w:szCs w:val="24"/>
        </w:rPr>
        <w:t xml:space="preserve">'de sırları gizlemenin başarının en güçlü sebeplerinden ve iyi hallerin devamına en elverişli şeylerden olduğunu söylemektedir.</w:t>
      </w:r>
      <w:r>
        <w:rPr>
          <w:rStyle w:val="FootnoteReference"/>
        </w:rPr>
        <w:footnoteReference w:id="40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Mâverdî, bazı sırların bir dosta açılmadan ya da bir nasihatçiye danışılmadan taşınamayacağını kabul etmekte ve şöyle devam etmektedir: Akıllı kimse sırrını gizlemenin bir yolunu bulamıyorsa, sırrı için güvenilir birini seçmeli, onu kime emanet edeceğini seçerken titiz davranmalıdır. Çünkü mallar konusunda güvenilir olan herkes sırlar konusunda da güvenilir değildir.</w:t>
      </w:r>
      <w:r>
        <w:rPr>
          <w:rStyle w:val="FootnoteReference"/>
        </w:rPr>
        <w:footnoteReference w:id="40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“اعْلَمْ أَنَّ كِتْمَانَ الْأَسْرَارِ مِنْ أَقْوَى أَسْبَابِ النَّجَاحِ، وَأَدْوَمِ لِأَحْوَالِ الصَّلَاحِ.”</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765, page_id 290, basılı s. 306]</w:t>
      </w:r>
    </w:p>
    <w:p>
      <w:pPr>
        <w:pStyle w:val="DogrulamaAR"/>
        <w:bidi/>
        <w:spacing w:after="20" w:line="300"/>
        <w:ind w:end="567"/>
        <w:jc w:val="both"/>
      </w:pPr>
      <w:r>
        <w:rPr>
          <w:rFonts w:ascii="Times New Roman" w:cs="Traditional Arabic" w:eastAsia="Times New Roman" w:hAnsi="Times New Roman"/>
          <w:i/>
          <w:iCs/>
          <w:sz w:val="24"/>
          <w:szCs w:val="30"/>
          <w:rtl/>
        </w:rPr>
        <w:t xml:space="preserve">“وَاعْلَمْ أَنَّ مِنْ الْأَسْرَارِ مَا لَا يُسْتَغْنَى فِيهِ عَنْ مُطَالَعَةِ صَدِيقٍ مُسَاهِمٍ، وَاسْتِشَارَةِ نَاصِحٍ مُسَالِمٍ. فَلْيَخْتَرْ الْعَاقِلُ لِسِرِّهِ أَمِينًا إنْ لَمْ يَجِدْ إلَى كَتْمِهِ سَبِيلًا، وَلْيَتَحَرَّ فِي اخْتِيَارِ مَنْ يَأْتَمِنُهُ عَلَيْهِ وَيَسْتَوْدِعُهُ إيَّاهُ. فَلَيْسَ كُلُّ مَنْ كَانَ عَلَى الْأَمْوَالِ أَمِينًا كَانَ عَلَى الْأَسْرَارِ مُؤْتَمَنًا.”</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765, page_id 291, basılı s. 307]</w:t>
      </w:r>
    </w:p>
    <w:p>
      <w:pPr>
        <w:spacing w:after="120" w:line="360"/>
        <w:ind w:firstLine="567"/>
        <w:jc w:val="both"/>
      </w:pPr>
      <w:r>
        <w:rPr>
          <w:rFonts w:ascii="Times New Roman" w:cs="Traditional Arabic" w:eastAsia="Times New Roman" w:hAnsi="Times New Roman"/>
          <w:i w:val="false"/>
          <w:sz w:val="24"/>
          <w:szCs w:val="24"/>
        </w:rPr>
        <w:t xml:space="preserve">Kanaatimizce Mâverdî'nin son cümlesi, nitel araştırmacının etik konumunu düşünmek için de anlamlıdır. Katılımcı, sırrını araştırmacıya emanet ederek onu “güvenilir biri” olarak seçmektedir. Araştırmacının bu güvene layık olması, mal konusundaki dürüstlükten farklı bir erdem gerektirmektedir. Bu erdem, görüşmede duyulanların kimliği belli edecek biçimde aktarılmamasını, ses kayıtlarının ve dökümlerin korunmasını ve araştırma bittikten sonra da sırrın saklanmasını kapsamaktadır. Yıldırım ve Şimşek bu konuda açık bir ilke koymaktadır: Bir dokümanda adı geçen ya da konu edilen kişi, grup ya da kurumların isimleri gizli tutulmalı, raporda kullanılacaksa gerçek isimler yerine takma isimler kullanılmalıdır.</w:t>
      </w:r>
      <w:r>
        <w:rPr>
          <w:rStyle w:val="FootnoteReference"/>
        </w:rPr>
        <w:footnoteReference w:id="40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 duyarlı konuların odak grup görüşmeleriyle ne derece etkili çalışılabileceği konusunda çelişkili görüşler bulunduğunu belirtmekte, katılımcılar birbirini göreceği için gizliliğin ortadan kalktığını ve dinî eğilimler gibi hassas konularda bu yöntemin uygun olmayabileceğinin ilk akla gelen tepki olduğunu kaydetmektedir.</w:t>
      </w:r>
      <w:r>
        <w:rPr>
          <w:rStyle w:val="FootnoteReference"/>
        </w:rPr>
        <w:footnoteReference w:id="406"/>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280.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230.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Mâverdî ile modern araştırma etiği arasındaki fark ise sırrın kime ait olduğuyla ilgilidir. Mâverdî daha çok kişinin kendi sırrını nasıl koruyacağını ve kime açacağını tartışmaktadır. Araştırma etiğinde ise korunan sır, araştırmacıya emanet edilmiş başkasının sırrıdır. Kanaatimizce Mâverdî'nin emanetçiyi seçmedeki titizlik vurgusu, bu farkı tersinden anlamlı kılmaktadır. Katılımcı bu titizliği gösterme imkânına her zaman sahip değildir. Bu yüzden emanetin yükü, araştırmacının omzunda daha da ağırlaşmaktadır. Din eğitimi araştırmalarında küçük topluluklarla çalışıldığında, örneğin bir köyün Kur'an kursunda ya da bir ilçenin tek imam hatip okulunda, takma isim kullanmak bile kimliği gizlemeye yetmeyebilir. Araştırmacı bu durumda okul ve yer adlarını da gizlemeli, kimliği ele verebilecek ayrıntıları raporundan çıkarmalıdır.</w:t>
      </w:r>
    </w:p>
    <w:p>
      <w:pPr>
        <w:pStyle w:val="Heading2"/>
        <w:keepNext/>
        <w:spacing w:after="120" w:before="240"/>
      </w:pPr>
      <w:r>
        <w:rPr>
          <w:rFonts w:ascii="Times New Roman" w:cs="Traditional Arabic" w:eastAsia="Times New Roman" w:hAnsi="Times New Roman"/>
          <w:b/>
          <w:bCs/>
          <w:i w:val="false"/>
          <w:sz w:val="24"/>
          <w:szCs w:val="24"/>
        </w:rPr>
        <w:t xml:space="preserve">13.5. “Bilmiyorum” Diyebilmek</w:t>
      </w:r>
    </w:p>
    <w:p>
      <w:pPr>
        <w:spacing w:after="120" w:line="360"/>
        <w:ind w:firstLine="567"/>
        <w:jc w:val="both"/>
      </w:pPr>
      <w:r>
        <w:rPr>
          <w:rFonts w:ascii="Times New Roman" w:cs="Traditional Arabic" w:eastAsia="Times New Roman" w:hAnsi="Times New Roman"/>
          <w:i w:val="false"/>
          <w:sz w:val="24"/>
          <w:szCs w:val="24"/>
        </w:rPr>
        <w:t xml:space="preserve">İlim ahlakı geleneğinde âlimin bilmediğini kabul etmesi ayrı bir erdem olarak öne çıkarılmıştır. İbn Cemâa, âlime bilmediği bir şey sorulduğunda “bilmiyorum” ya da “bilmem” demesini öğütlemektedir.</w:t>
      </w:r>
      <w:r>
        <w:rPr>
          <w:rStyle w:val="FootnoteReference"/>
        </w:rPr>
        <w:footnoteReference w:id="40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sorulan kişinin “bilmem” demesi, bazı cahillerin zannettiği gibi onun kadrini düşürmemekte, aksine yükseltmektedir. Çünkü bu, onun mevkiinin büyüklüğüne, dininin kuvvetine ve Rabbine karşı takvasına büyük bir delildir.</w:t>
      </w:r>
      <w:r>
        <w:rPr>
          <w:rStyle w:val="FootnoteReference"/>
        </w:rPr>
        <w:footnoteReference w:id="40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“وإذا سئل عن ما لم يعلمه قال لا أعلمه، أو لا أدري”</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151180, page_id 43, basılı s. 42]</w:t>
      </w:r>
    </w:p>
    <w:p>
      <w:pPr>
        <w:pStyle w:val="DogrulamaAR"/>
        <w:bidi/>
        <w:spacing w:after="20" w:line="300"/>
        <w:ind w:end="567"/>
        <w:jc w:val="both"/>
      </w:pPr>
      <w:r>
        <w:rPr>
          <w:rFonts w:ascii="Times New Roman" w:cs="Traditional Arabic" w:eastAsia="Times New Roman" w:hAnsi="Times New Roman"/>
          <w:i/>
          <w:iCs/>
          <w:sz w:val="24"/>
          <w:szCs w:val="30"/>
          <w:rtl/>
        </w:rPr>
        <w:t xml:space="preserve">“واعلم أن قول المسئول لا أدري لا يضع من قدره كما يظنه بعض الجهلة، بل يرفعه لأنه دليل عظيم على عظم محله وقوة دينه وتقوى ربه”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151180, page_id 43, basılı s. 42]</w:t>
      </w:r>
    </w:p>
    <w:p>
      <w:pPr>
        <w:spacing w:after="120" w:line="360"/>
        <w:ind w:firstLine="567"/>
        <w:jc w:val="both"/>
      </w:pPr>
      <w:r>
        <w:rPr>
          <w:rFonts w:ascii="Times New Roman" w:cs="Traditional Arabic" w:eastAsia="Times New Roman" w:hAnsi="Times New Roman"/>
          <w:i w:val="false"/>
          <w:sz w:val="24"/>
          <w:szCs w:val="24"/>
        </w:rPr>
        <w:t xml:space="preserve">Bu öğüt, araştırmacının sonuçlarını raporlarken taşıması gereken dürüstlüğü ifade etmektedir. Bir nitel araştırma her soruya cevap vermez. Verinin taşıyamayacağı bir hükmü vermemek, araştırmanın sınırlılıklarını açıkça yazmak ve bulunamayanı bulunamadı diye kaydetmek, “bilmiyorum” diyebilmenin araştırma dilindeki karşılığıdır. Bu kitapta kaynağı bulunamayan yerlere SAĞLANAN BELGELERDE KAYNAK BULUNAMADI ibaresinin konulması da aynı ilkenin bir uygulamasıdır. Yıldırım ve Şimşek de araştırmacının araştırma sürecinde verdiği kararları kaydetmek ve bu kararların nedenlerini açıklamak zorunda olduğunu belirtmektedir.</w:t>
      </w:r>
      <w:r>
        <w:rPr>
          <w:rStyle w:val="FootnoteReference"/>
        </w:rPr>
        <w:footnoteReference w:id="40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İkinci bölümde ele alınan “bilgin olmayan şeyin peşine düşme” uyarısı (el-İsrâ 17/36) da bu ilkenin en kısa ifadesidir.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“Bu nedenle araştırmacı, araştırma sürecinde verdiği kararları kaydetmek, bu kararların nedenlerini açıklamak zorundadır.”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98, PDF s. 96]</w:t>
      </w:r>
    </w:p>
    <w:p>
      <w:pPr>
        <w:pStyle w:val="DogrulamaAR"/>
        <w:bidi/>
        <w:spacing w:after="20" w:line="300"/>
        <w:ind w:end="567"/>
        <w:jc w:val="both"/>
      </w:pPr>
      <w:r>
        <w:rPr>
          <w:rFonts w:ascii="Times New Roman" w:cs="Traditional Arabic" w:eastAsia="Times New Roman" w:hAnsi="Times New Roman"/>
          <w:i/>
          <w:iCs/>
          <w:sz w:val="24"/>
          <w:szCs w:val="30"/>
          <w:rtl/>
        </w:rPr>
        <w:t xml:space="preserve">“وَلَا تَقْفُ مَا لَيْسَ لَكَ بِهِ عِلْمٌ إِنَّ السَّمْعَ وَالْبَصَرَ وَالْفُؤَادَ كُلُّ أُولَئِكَ كَانَ عَنْهُ مَسْئُولًا”</w:t>
      </w:r>
    </w:p>
    <w:p>
      <w:pPr>
        <w:pStyle w:val="Dogrulama"/>
        <w:spacing w:after="80" w:line="240"/>
        <w:ind w:left="567"/>
      </w:pPr>
      <w:r>
        <w:rPr>
          <w:rFonts w:ascii="Times New Roman" w:cs="Traditional Arabic" w:eastAsia="Times New Roman" w:hAnsi="Times New Roman"/>
          <w:i w:val="false"/>
          <w:color w:val="7F7F7F"/>
          <w:sz w:val="18"/>
          <w:szCs w:val="18"/>
        </w:rPr>
        <w:t xml:space="preserve">[Âyet metni Şamile Kur'an metninden (shamela_get_aya) alınmıştır: el-İsrâ 17/36. Meal yazara aittir.]</w:t>
      </w:r>
    </w:p>
    <w:p>
      <w:pPr>
        <w:spacing w:after="120" w:line="360"/>
        <w:ind w:firstLine="567"/>
        <w:jc w:val="both"/>
      </w:pPr>
      <w:r>
        <w:rPr>
          <w:rFonts w:ascii="Times New Roman" w:cs="Traditional Arabic" w:eastAsia="Times New Roman" w:hAnsi="Times New Roman"/>
          <w:i w:val="false"/>
          <w:sz w:val="24"/>
          <w:szCs w:val="24"/>
        </w:rPr>
        <w:t xml:space="preserve">Dürüst raporlamanın bir başka boyutu, araştırmacının kendi yorumuna aykırı düşen verileri ve çalışmaları gizlememesidir. Creswell bir çalışmada katılımcıların bakış açılarını desteklemenin ve benimsemenin kolay olduğunu, nitel çalışmalarda bunun yalnızca olumlu yaklaşımdaki katılımcılara yer vererek taraf tutmak anlamına gelebileceğini belirtmekte, araştırmacının temalara aykırı olanlar da dahil bütün bulguları tam olarak raporlaması gerektiğini ve iyi bir nitel araştırmanın kanıtının konu hakkındaki farklı bakış açılarının raporlanması olduğunu vurgulamaktadır.</w:t>
      </w:r>
      <w:r>
        <w:rPr>
          <w:rStyle w:val="FootnoteReference"/>
        </w:rPr>
        <w:footnoteReference w:id="41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Beraha da araştırmacının yalnızca kendi bulgularını destekleyen çalışmalara yer vermesini etik bir sorun saymakta, kendi bulgularıyla çelişen çalışmalara da yer vermesini ve bu çelişkinin sebeplerini sorgulamasını beklemektedir.</w:t>
      </w:r>
      <w:r>
        <w:rPr>
          <w:rStyle w:val="FootnoteReference"/>
        </w:rPr>
        <w:footnoteReference w:id="41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iki uyarı, on ikinci bölümde ele alınan İbn Haldûn’un taraftarlık eleştirisinin araştırma etiğindeki karşılığıdır.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“Bir çalışmada katılımcıların bakış açılarını desteklemek ve benimsemek kolaydır. Nitel çalışmalarda, bu”taraf tutma” ve sadece olumlu yaklaşımlardaki katılımcılara yer vererek sonuçları tartışmak anlamına gelir.”</w:t>
      </w:r>
    </w:p>
    <w:p>
      <w:pPr>
        <w:pStyle w:val="Dogrulama"/>
        <w:spacing w:after="20" w:line="276"/>
        <w:ind w:left="567"/>
        <w:jc w:val="both"/>
      </w:pPr>
      <w:r>
        <w:rPr>
          <w:rFonts w:ascii="Times New Roman" w:cs="Traditional Arabic" w:eastAsia="Times New Roman" w:hAnsi="Times New Roman"/>
          <w:i/>
          <w:iCs/>
          <w:sz w:val="22"/>
          <w:szCs w:val="22"/>
        </w:rPr>
        <w:t xml:space="preserve">“Nitel araştırmalarda, araştırmacı temalara aykırı olanları da içine alacak şekilde tüm bulguları tam ve kapsamlı olarak raporlamalıdır. İyi bir nitel araştırmanın kanıtı, konu hakkında farklı bakış açılarının raporlanmasıdır.”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99, PDF s. 130]</w:t>
      </w:r>
    </w:p>
    <w:p>
      <w:pPr>
        <w:pStyle w:val="Dogrulama"/>
        <w:spacing w:after="20" w:line="276"/>
        <w:ind w:left="567"/>
        <w:jc w:val="both"/>
      </w:pPr>
      <w:r>
        <w:rPr>
          <w:rFonts w:ascii="Times New Roman" w:cs="Traditional Arabic" w:eastAsia="Times New Roman" w:hAnsi="Times New Roman"/>
          <w:i/>
          <w:iCs/>
          <w:sz w:val="22"/>
          <w:szCs w:val="22"/>
        </w:rPr>
        <w:t xml:space="preserve">“Bir araştırmacının araştırma konusuyla ilgili diğer çalışmalara referans verirken sadece kendi bulgularını destekleyen çalışmalara yer vermesi de etik bir sorundur. Araştırmacının kendi bulgularıyla çelişen araştırma bulgularına da yer vermesi ve bu çelişkinin sebeplerini sorgulaması beklenir.”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Bilimsel Düşünce ve Araştırma Metodolojisi{Dr. Aydın Beraha}(2021, Gazi Kitabevi){116327078} libgen.li.pdf, basılı s. 17, PDF s. 27]</w:t>
      </w:r>
    </w:p>
    <w:p>
      <w:pPr>
        <w:pStyle w:val="Heading2"/>
        <w:keepNext/>
        <w:spacing w:after="120" w:before="240"/>
      </w:pPr>
      <w:r>
        <w:rPr>
          <w:rFonts w:ascii="Times New Roman" w:cs="Traditional Arabic" w:eastAsia="Times New Roman" w:hAnsi="Times New Roman"/>
          <w:b/>
          <w:bCs/>
          <w:i w:val="false"/>
          <w:sz w:val="24"/>
          <w:szCs w:val="24"/>
        </w:rPr>
        <w:t xml:space="preserve">13.6. Araştırmacının Varlığı</w:t>
      </w:r>
    </w:p>
    <w:p>
      <w:pPr>
        <w:spacing w:after="120" w:line="360"/>
        <w:ind w:firstLine="567"/>
        <w:jc w:val="both"/>
      </w:pPr>
      <w:r>
        <w:rPr>
          <w:rFonts w:ascii="Times New Roman" w:cs="Traditional Arabic" w:eastAsia="Times New Roman" w:hAnsi="Times New Roman"/>
          <w:i w:val="false"/>
          <w:sz w:val="24"/>
          <w:szCs w:val="24"/>
        </w:rPr>
        <w:t xml:space="preserve">Araştırma etiği, araştırmacının katılımcıların hayatına girmesinin kendisinin bir etki doğurduğunu da hesaba katmalıdır. Yıldırım ve Şimşek nitel araştırmacının varlığının araştırma sürecindeki etkisinin üzerinde önemle durulması gereken bir konu olduğunu, araştırmacılar araştırılan kişileri etkilememeye çalışsalar bile belli ölçüde bir etkilenmenin kaçınılmaz olduğunu belirtmektedir.</w:t>
      </w:r>
      <w:r>
        <w:rPr>
          <w:rStyle w:val="FootnoteReference"/>
        </w:rPr>
        <w:footnoteReference w:id="41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Din eğitimi bağlamında bu etki daha da belirgin olabilir. Bir ilahiyatçının bir Kur'an kursunu ziyaret etmesi, öğreticiler için bir denetim gibi algılanabilir. Bir din kültürü öğretmeninin öğrencileriyle dinî tecrübeleri üzerine görüşmesi, öğrencilerin onun beklediğini düşündükleri cevapları vermesine yol açabilir. Araştırmacı bu etkiyi ortadan kaldıramaz, fakat onu en aza indirmeye çalışabilir ve raporunda açıkça tartışabilir. Araştırma bittikten sonra bulguların katılımcılarla ve kurumlarla paylaşılması da onlara gösterilen saygının bir parçasıdır. Yıldırım ve Şimşek, raporda kullanılan dokümanların ne ölçüde doğru yorumlandığı konusunda asıl kaynaklara tekrar danışılmasını ve mümkünse raporun bir ön kopyasının onlara sunulmasını da önermektedir.</w:t>
      </w:r>
      <w:r>
        <w:rPr>
          <w:rStyle w:val="FootnoteReference"/>
        </w:rPr>
        <w:footnoteReference w:id="41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375. dipnottaki doğrulama bloğunda verilmiştir.]</w:t>
      </w:r>
    </w:p>
    <w:p>
      <w:pPr>
        <w:pStyle w:val="Dogrulama"/>
        <w:spacing w:after="20" w:line="276"/>
        <w:ind w:left="567"/>
        <w:jc w:val="both"/>
      </w:pPr>
      <w:r>
        <w:rPr>
          <w:rFonts w:ascii="Times New Roman" w:cs="Traditional Arabic" w:eastAsia="Times New Roman" w:hAnsi="Times New Roman"/>
          <w:i/>
          <w:iCs/>
          <w:sz w:val="22"/>
          <w:szCs w:val="22"/>
        </w:rPr>
        <w:t xml:space="preserve">“Araştırma raporunda kullanılan dokümanların ne derece doğru yorumlandığı ve kullanılış amacı konusunda asıl kaynaklara tekrar danışılarak, mümkünse raporun bir ön kopyasının onlara sunulması ve görüşlerinin alınması uygun olabilir.”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201, PDF s. 199]</w:t>
      </w:r>
    </w:p>
    <w:p>
      <w:pPr>
        <w:pStyle w:val="Heading2"/>
        <w:keepNext/>
        <w:spacing w:after="120" w:before="240"/>
      </w:pPr>
      <w:r>
        <w:rPr>
          <w:rFonts w:ascii="Times New Roman" w:cs="Traditional Arabic" w:eastAsia="Times New Roman" w:hAnsi="Times New Roman"/>
          <w:b/>
          <w:bCs/>
          <w:i w:val="false"/>
          <w:sz w:val="24"/>
          <w:szCs w:val="24"/>
        </w:rPr>
        <w:t xml:space="preserve">13.7. Din Eğitimi Uygulaması: Çocuklarla Araştırmada Etik Kontrol Listesi</w:t>
      </w:r>
    </w:p>
    <w:p>
      <w:pPr>
        <w:spacing w:after="120" w:line="360"/>
        <w:ind w:firstLine="567"/>
        <w:jc w:val="both"/>
      </w:pPr>
      <w:r>
        <w:rPr>
          <w:rFonts w:ascii="Times New Roman" w:cs="Traditional Arabic" w:eastAsia="Times New Roman" w:hAnsi="Times New Roman"/>
          <w:i w:val="false"/>
          <w:sz w:val="24"/>
          <w:szCs w:val="24"/>
        </w:rPr>
        <w:t xml:space="preserve">Aşağıdaki kurgusal kontrol listesi, bir ilkokul dördüncü sınıfında dua tecrübesi üzerine yapılacak bir araştırma için hazırlanmıştır.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Etik kontrol listesi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Kurumsal izinler: Araştırma için ilgili etik kurulun onayı ve okul yönetiminin izni alındı mı?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Veli izni: Velilere araştırmanın amacını, süresini, soruların türünü ve kayıt yöntemini anlatan sade bir bilgilendirme metni verildi mi? Velilerin izin vermeme hakkının hiçbir sonuç doğurmayacağı açıkça yazıldı mı?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Çocuğun rızası: Velisi izin veren her çocuğa araştırma yaşına uygun bir dille anlatıldı mı? Çocuğa katılmak istemezse ya da görüşmenin ortasında durmak isterse bunun tamamen serbest olduğu söylendi mi?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Güç ilişkisi: Görüşmeleri çocukların din kültürü öğretmeni değil, okul dışından bir araştırmacı mı yapıyor? Katılımın notla ya da sınıf içi değerlendirmeyle bir ilişkisi olmadığı çocuklara ve velilere bildirildi mi?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Soruların dili: Sorular çocuğa “doğru” ya da “yanlış” bir dindarlık biçimi ima ediyor mu? Dua etmeyen ya da dua etmeyi bilmediğini söyleyen bir çocuğu utandıracak bir ifade var mı?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Mahremiyet: Görüşmeler başka öğrencilerin duyamayacağı, fakat çocuğun güvende hissedeceği bir ortamda mı yapılıyor? Çocukların isimleri dökümlerde kodlarla değiştirildi mi? Okulun adı raporda gizleniyor mu?</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Veri güvenliği: Ses kayıtları ve dökümler şifreli bir ortamda mı saklanıyor? Kimlerin bunlara erişebileceği belli mi? Araştırma bittikten sonra kayıtların ne zaman ve nasıl imha edileceği belirlendi mi?</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Geri bildirim: Araştırmanın bulguları velilere ve okula, çocukların kimliğini ele vermeyecek bir dille anlatılacak mı?</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listede modern araştırma etiğinin kuralları ile klasik ilim ahlakının değerleri bir araya gelmektedir. Veli izni ve çocuğun rızası emanet ilkesini, soruların dilinin gözden geçirilmesi çocuğun kalbinin “nakşedileni kabule elverişli” oluşuna dair uyarıyı, mahremiyetin korunması hayaya saygıyı ve veri güvenliği de, Mâverdî'nin mallar konusunda güvenilir olan herkesin sırlar konusunda güvenilir olmadığına dair tespitinden kanaatimizce araştırmacıya düşen sorumluluğu somutlaştırmaktadır.</w:t>
      </w:r>
    </w:p>
    <w:p>
      <w:pPr>
        <w:keepNext/>
        <w:spacing w:after="80" w:before="200"/>
      </w:pPr>
      <w:r>
        <w:rPr>
          <w:rFonts w:ascii="Times New Roman" w:cs="Traditional Arabic" w:eastAsia="Times New Roman" w:hAnsi="Times New Roman"/>
          <w:b/>
          <w:bCs/>
          <w:i w:val="false"/>
          <w:sz w:val="22"/>
          <w:szCs w:val="22"/>
        </w:rPr>
        <w:t xml:space="preserve">Tablo 13.1. On üçüncü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745"/>
        <w:gridCol w:w="993"/>
        <w:gridCol w:w="1863"/>
        <w:gridCol w:w="2112"/>
        <w:gridCol w:w="1987"/>
        <w:gridCol w:w="1366"/>
      </w:tblGrid>
      <w:tr>
        <w:trPr>
          <w:cantSplit/>
          <w:tblHeader/>
        </w:trPr>
        <w:tc>
          <w:tcPr>
            <w:tcW w:type="dxa" w:w="74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99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86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2112"/>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1987"/>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366"/>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Araştırmacının amacı</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Niyetin halis kılınması</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236 (Şamile 22870), Nevevî, et-Tibyân, 31 ve 34 (Şamile 1969)</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İlmî faaliyetin dünyevî amaçlardan arındırılması</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Niyet dışarıdan denetlenemez, etik kurallar denetlenebilir</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Araştırmacının kendi motivasyonunu sorgulaması</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Gönüllülük ve güç ilişkisi</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Öğrenciden menfaat beklememe</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Nevevî, et-Tibyân, 34 (Şamile 1969)</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İlişki olmasaydı verilmeyecek olandan menfaat beklenmemesi (rıza sorusu yazarın yorumudur)</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Nevevî öğretim ahlakını, araştırma etiği katılım rızasını konu edinir</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Öğretmen-araştırmacının kendi öğrencileriyle çalışması</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Katılımcıya duyarlılık</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Durumuna göre yumuşaklık</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Nevevî, et-Tibyân, 38 (Şamile 1969)</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Davranışın kişinin haline göre ayarlanması</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metin öğretim ilişkisine dairdir</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Yaşa ve hassasiyete göre görüşme düzeni</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Çocukla araştırmada özen</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Çocuğun emanet olması, haya ve şefkat</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İhyâ, 3/72 ve 1/55 (Şamile 9472)</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Çocuğun etkilenmeye açıklığının ve mahremiyetinin gözetilmesi</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terbiye sorumluluğunu, araştırma etiği zarar vermeme sorumluluğunu konu edinir</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Veli izni, çocuğun rızası, soruların dili</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Gizlilik</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Sırrın korunması ve emanetçinin seçimi</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Mâverdî, Edebü'd-dünyâ ve'd-dîn, 306-307 (Şamile 765)</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Sır emanetinin maldaki emanetten ayrı bir erdem gerektirmesi</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Mâverdî kişinin kendi sırrını, araştırma etiği başkasının sırrını konu edinir</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Takma isim, yer adlarının gizlenmesi, veri güvenliği</w:t>
            </w:r>
          </w:p>
        </w:tc>
      </w:tr>
      <w:tr>
        <w:trPr>
          <w:cantSplit/>
        </w:trPr>
        <w:tc>
          <w:tcPr>
            <w:tcW w:type="dxa" w:w="74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Sınırlılığın kabulü</w:t>
            </w:r>
          </w:p>
        </w:tc>
        <w:tc>
          <w:tcPr>
            <w:tcW w:type="dxa" w:w="9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“Bilmiyorum” diyebilmek</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Cemâa, Tezkiretü's-sâmiʿ, 42 (Şamile 151180)</w:t>
            </w:r>
          </w:p>
        </w:tc>
        <w:tc>
          <w:tcPr>
            <w:tcW w:type="dxa" w:w="211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Bilinmeyenin dürüstçe ifade edilmesi</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metin sorulan âlime, araştırma etiği rapora dairdir</w:t>
            </w:r>
          </w:p>
        </w:tc>
        <w:tc>
          <w:tcPr>
            <w:tcW w:type="dxa" w:w="1366"/>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Araştırmanın sınırlılıklarının açıkça yazılması</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ON DÖRDÜNCÜ BÖLÜM</w:t>
      </w:r>
    </w:p>
    <w:p>
      <w:pPr>
        <w:pStyle w:val="Heading1"/>
        <w:spacing w:after="360"/>
        <w:jc w:val="center"/>
      </w:pPr>
      <w:r>
        <w:rPr>
          <w:rFonts w:ascii="Times New Roman" w:cs="Traditional Arabic" w:eastAsia="Times New Roman" w:hAnsi="Times New Roman"/>
          <w:b/>
          <w:bCs/>
          <w:i w:val="false"/>
          <w:color w:val="1F3864"/>
          <w:sz w:val="28"/>
          <w:szCs w:val="28"/>
        </w:rPr>
        <w:t xml:space="preserve">14. Raporlaştırma ve Eser Telifi</w:t>
      </w:r>
    </w:p>
    <w:p>
      <w:pPr>
        <w:spacing w:after="120" w:line="360"/>
        <w:ind w:firstLine="567"/>
        <w:jc w:val="both"/>
      </w:pPr>
      <w:r>
        <w:rPr>
          <w:rFonts w:ascii="Times New Roman" w:cs="Traditional Arabic" w:eastAsia="Times New Roman" w:hAnsi="Times New Roman"/>
          <w:i w:val="false"/>
          <w:sz w:val="24"/>
          <w:szCs w:val="24"/>
        </w:rPr>
        <w:t xml:space="preserve">Bir nitel araştırma, okura ulaştığı ölçüde tamamlanmış sayılır. Araştırmacının sahada gördükleri, duydukları ve analizde vardığı yorumlar, ancak bir rapor ya da bir eser aracılığıyla başkalarına ulaşabilmektedir. Bu bölümde nitel araştırma raporunun işlevi, katılımcı sözlerinin aktarılması, alıntıların kısaltılması ve birleştirilmesi, araştırmacının sözü ile katılımcının sözünün ayrılması ve seçici raporlama ele alınmaktadır. Klasik gelenekte ise rivayetin sıfatına dair kurallar, yani bir sözün lafzıyla mı manasıyla mı aktarılacağı, kısaltmanın şartları ve sözün kaynağının nasıl bildirileceği ayrıntılı biçimde tartışılmıştır. Bu kurallar, katılımcının sözüne gösterilmesi gereken saygı açısından modern raporlaştırma ilkeleriyle karşılaştırılmaktadır.</w:t>
      </w:r>
    </w:p>
    <w:p>
      <w:pPr>
        <w:pStyle w:val="Heading2"/>
        <w:keepNext/>
        <w:spacing w:after="120" w:before="240"/>
      </w:pPr>
      <w:r>
        <w:rPr>
          <w:rFonts w:ascii="Times New Roman" w:cs="Traditional Arabic" w:eastAsia="Times New Roman" w:hAnsi="Times New Roman"/>
          <w:b/>
          <w:bCs/>
          <w:i w:val="false"/>
          <w:sz w:val="24"/>
          <w:szCs w:val="24"/>
        </w:rPr>
        <w:t xml:space="preserve">14.1. Raporun İşlevi: Bulunmayana Ulaştırmak</w:t>
      </w:r>
    </w:p>
    <w:p>
      <w:pPr>
        <w:spacing w:after="120" w:line="360"/>
        <w:ind w:firstLine="567"/>
        <w:jc w:val="both"/>
      </w:pPr>
      <w:r>
        <w:rPr>
          <w:rFonts w:ascii="Times New Roman" w:cs="Traditional Arabic" w:eastAsia="Times New Roman" w:hAnsi="Times New Roman"/>
          <w:i w:val="false"/>
          <w:sz w:val="24"/>
          <w:szCs w:val="24"/>
        </w:rPr>
        <w:t xml:space="preserve">Yıldırım ve Şimşek nitel araştırmacıdan beklenenin yalnızca betimsel veri toplamak ve bunları mantıklı bir yapı içinde sunmak olmadığını belirtmektedir. Onlara göre araştırmacı verilerden elde ettiği bulguları bilimsel bir titizlikle tanımlamanın yanı sıra yorumlamalı ve uygulamaya ve sonraki araştırmalara ilişkin çıkarımlarda bulunmalıdır.</w:t>
      </w:r>
      <w:r>
        <w:rPr>
          <w:rStyle w:val="FootnoteReference"/>
        </w:rPr>
        <w:footnoteReference w:id="41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araştırmacıdan beklenen sadece betimsel veri toplamak ve bunları mantıklı bir yapı içinde sunmak değildir. Araştırmacının verilerden elde ettiği bulguları bilimsel bir titizlikle tanımlamasının yanı sıra, yorumlaması ve uygulamaya ve daha sonraki araştırmalara ilişkin birtakım çıkarımlarda bulunması gerekir.”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241, PDF s. 239]</w:t>
      </w:r>
    </w:p>
    <w:p>
      <w:pPr>
        <w:spacing w:after="120" w:line="360"/>
        <w:ind w:firstLine="567"/>
        <w:jc w:val="both"/>
      </w:pPr>
      <w:r>
        <w:rPr>
          <w:rFonts w:ascii="Times New Roman" w:cs="Traditional Arabic" w:eastAsia="Times New Roman" w:hAnsi="Times New Roman"/>
          <w:i w:val="false"/>
          <w:sz w:val="24"/>
          <w:szCs w:val="24"/>
        </w:rPr>
        <w:t xml:space="preserve">İbn Haldûn ilim ehlinin yazma faaliyetini anlatırken bu faaliyetin amacını açıkça ifade etmektedir. Ona göre ilim ehli zihinlerinde hâsıl olanı yazı yoluyla kâğıtlara geçirmeye özen göstermektedir ki fayda, bulunmayana ve sonra gelene ulaşsın. İbn Haldûn bunları yapanların müellifler olduğunu söylemektedir.</w:t>
      </w:r>
      <w:r>
        <w:rPr>
          <w:rStyle w:val="FootnoteReference"/>
        </w:rPr>
        <w:footnoteReference w:id="41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tanım, araştırma raporunun da temel işlevini özetlemektedir. Rapor, sahada bulunmayan okura ve gelecekte bu konuyu çalışacak araştırmacılara, sahada olup biteni ulaştırmaktadır.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“وأهل الفنون معتنون بإيداع ما يحصل في ضمائرهم من ذلك في بطون الأوراق بهذه الكتابة، لتعلم الفائدة في حصوله للغائب والمتأخّر، وهؤلاء هم المؤلّفون.”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727, basılı cilt/sayfa 1/729]</w:t>
      </w:r>
    </w:p>
    <w:p>
      <w:pPr>
        <w:spacing w:after="120" w:line="360"/>
        <w:ind w:firstLine="567"/>
        <w:jc w:val="both"/>
      </w:pPr>
      <w:r>
        <w:rPr>
          <w:rFonts w:ascii="Times New Roman" w:cs="Traditional Arabic" w:eastAsia="Times New Roman" w:hAnsi="Times New Roman"/>
          <w:i w:val="false"/>
          <w:sz w:val="24"/>
          <w:szCs w:val="24"/>
        </w:rPr>
        <w:t xml:space="preserve">On birinci bölümde ele alınan ve Buhârî'nin </w:t>
      </w:r>
      <w:r>
        <w:rPr>
          <w:rFonts w:ascii="Times New Roman" w:cs="Traditional Arabic" w:eastAsia="Times New Roman" w:hAnsi="Times New Roman"/>
          <w:i/>
          <w:iCs/>
          <w:sz w:val="24"/>
          <w:szCs w:val="24"/>
        </w:rPr>
        <w:t xml:space="preserve">Sahîh</w:t>
      </w:r>
      <w:r>
        <w:rPr>
          <w:rFonts w:ascii="Times New Roman" w:cs="Traditional Arabic" w:eastAsia="Times New Roman" w:hAnsi="Times New Roman"/>
          <w:i w:val="false"/>
          <w:sz w:val="24"/>
          <w:szCs w:val="24"/>
        </w:rPr>
        <w:t xml:space="preserve">'inde yer alan rivayet de bu ilişkiye dair anlamlı bir ifade içermektedir: “Burada bulunan, bulunmayana tebliğ etsin. Çünkü burada bulunan, kendisinden daha iyi kavrayacak birine tebliğ edebilir.”</w:t>
      </w:r>
      <w:r>
        <w:rPr>
          <w:rStyle w:val="FootnoteReference"/>
        </w:rPr>
        <w:footnoteReference w:id="41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Buhârî bu rivayeti, Hz. Peygamber'in “kendisine tebliğ edilen nice kimse işitenden daha iyi kavrar” sözünü başlık yaptığı babda zikretmektedir.</w:t>
      </w:r>
      <w:r>
        <w:rPr>
          <w:rStyle w:val="FootnoteReference"/>
        </w:rPr>
        <w:footnoteReference w:id="41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rivayetin asıl konusu Hz. Peygamber'in sözlerinin tebliğidir. Kanaatimizce rivayetteki düşünce, nitel araştırma raporunun okurla kurduğu ilişkiyi de güzel bir biçimde anlatmaktadır. Sahada bulunan araştırmacı, gördüğünü ve duyduğunu sahada bulunmayan okura aktarmaktadır. Okur, kendi tecrübesi ve kendi bağlamı sayesinde bu raporu araştırmacının kendisinden daha iyi kavrayabilir ve onu kendi durumuna araştırmacının öngöremediği biçimlerde uygulayabilir. Kanaatimizce on ikinci bölümde ele alınan, sonuçların okur tarafından kendi ortamına taşınması da raporun bu niteliğine dayanmaktadır. Ancak okurun bunu yapabilmesi, raporun sahayı ayrıntılı ve dürüst bir biçimde betimlemesine bağlıdır. Benzerliğin sınırı ise açıktır. Rivayette tebliğ edilen, Hz. Peygamber'in bağlayıcı sözüdür. Araştırma raporunda aktarılan ise sıradan insanların tecrübelerine dair araştırmacının betimleme ve yorumudur.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320.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319.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14.2. Katılımcının Sözü: Lafız ve Mana</w:t>
      </w:r>
    </w:p>
    <w:p>
      <w:pPr>
        <w:spacing w:after="120" w:line="360"/>
        <w:ind w:firstLine="567"/>
        <w:jc w:val="both"/>
      </w:pPr>
      <w:r>
        <w:rPr>
          <w:rFonts w:ascii="Times New Roman" w:cs="Traditional Arabic" w:eastAsia="Times New Roman" w:hAnsi="Times New Roman"/>
          <w:i w:val="false"/>
          <w:sz w:val="24"/>
          <w:szCs w:val="24"/>
        </w:rPr>
        <w:t xml:space="preserve">Nitel araştırma raporunun en belirgin özelliklerinden biri katılımcı sözlerine doğrudan yer vermesidir. Yıldırım ve Şimşek görüşmelerde ortaya çıktığı şekliyle katılımcıların belirttiği bazı görüşleri ya da örnekleri raporda aynen sunmanın, okura katılımcıların bakış açılarını doğrudan sunmak bakımından önemli yararlar sağladığını belirtmektedir.</w:t>
      </w:r>
      <w:r>
        <w:rPr>
          <w:rStyle w:val="FootnoteReference"/>
        </w:rPr>
        <w:footnoteReference w:id="41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“Yine görüşmelerde ortaya çıktığı şekliyle araştırmaya katılan bireylerin belirttikleri bazı görüşleri ya da örnekleri araştırma raporunda aynen sunmak, okuyucuya katılımcıların bakış açılarını doğrudan sunmak bakımından önemli yararlar sağlar.”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45, PDF s. 43]</w:t>
      </w:r>
    </w:p>
    <w:p>
      <w:pPr>
        <w:spacing w:after="120" w:line="360"/>
        <w:ind w:firstLine="567"/>
        <w:jc w:val="both"/>
      </w:pPr>
      <w:r>
        <w:rPr>
          <w:rFonts w:ascii="Times New Roman" w:cs="Traditional Arabic" w:eastAsia="Times New Roman" w:hAnsi="Times New Roman"/>
          <w:i w:val="false"/>
          <w:sz w:val="24"/>
          <w:szCs w:val="24"/>
        </w:rPr>
        <w:t xml:space="preserve">Bir sözün lafzıyla mı yoksa manasıyla mı aktarılabileceği meselesi hadis usulünde ayrıntılı biçimde ele alınmıştır. İbnü's-Salâh, mana ile rivayet eden kimsenin manaları değiştiren şeyleri bilen biri olmasının şart olduğunu belirtmektedir.</w:t>
      </w:r>
      <w:r>
        <w:rPr>
          <w:rStyle w:val="FootnoteReference"/>
        </w:rPr>
        <w:footnoteReference w:id="41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Ona göre lafızları ve maksatlarını bilen, manaları değiştiren şeylerden haberdar olan ve lafızlar arasındaki farkın derecelerini görebilen bir âlim değilse, bu kimsenin mana ile rivayette bulunamayacağında ihtilaf yoktur. Böyle bir kimse işittiğini ancak işittiği lafızla, değiştirmeden aktarmalıdır.</w:t>
      </w:r>
      <w:r>
        <w:rPr>
          <w:rStyle w:val="FootnoteReference"/>
        </w:rPr>
        <w:footnoteReference w:id="42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İbnü's-Salâh'a göre en sahih görüş, bu vasıflara sahip olan ve kendisine ulaşan lafzın manasını eda ettiğinden emin olan kimse için mana ile rivayetin caiz olmasıdır.</w:t>
      </w:r>
      <w:r>
        <w:rPr>
          <w:rStyle w:val="FootnoteReference"/>
        </w:rPr>
        <w:footnoteReference w:id="42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Ancak telif edilmiş bir kitaptaki bir lafzı değiştirip yerine aynı manada başka bir lafız koymak hiç kimse için caiz değildir.</w:t>
      </w:r>
      <w:r>
        <w:rPr>
          <w:rStyle w:val="FootnoteReference"/>
        </w:rPr>
        <w:footnoteReference w:id="42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İbnü's-Salâh mana ile rivayet edenin, rivayetin ardından “ya da dediği gibi”, “ya da buna benzer” gibi bir ifade eklemesi gerektiğini de belirtmektedir.</w:t>
      </w:r>
      <w:r>
        <w:rPr>
          <w:rStyle w:val="FootnoteReference"/>
        </w:rPr>
        <w:footnoteReference w:id="42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“وَإِنْ كَانَ يُحَدِّثُ بِالْمَعْنَى اشْتُرِطَ فِيهِ مَعَ ذَلِكَ أَنْ يَكُونَ عَالِمًا بِمَا يُحِيلُ الْمَعَانِيَ، وَاللَّهُ أَعْلَمُ.”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102, basılı s. 105]</w:t>
      </w:r>
    </w:p>
    <w:p>
      <w:pPr>
        <w:pStyle w:val="DogrulamaAR"/>
        <w:bidi/>
        <w:spacing w:after="20" w:line="300"/>
        <w:ind w:end="567"/>
        <w:jc w:val="both"/>
      </w:pPr>
      <w:r>
        <w:rPr>
          <w:rFonts w:ascii="Times New Roman" w:cs="Traditional Arabic" w:eastAsia="Times New Roman" w:hAnsi="Times New Roman"/>
          <w:i/>
          <w:iCs/>
          <w:sz w:val="24"/>
          <w:szCs w:val="30"/>
          <w:rtl/>
        </w:rPr>
        <w:t xml:space="preserve">“فَإِنْ لَمْ يَكُنْ عَالِمًا عَارِفًا بِالْأَلْفَاظِ وَمَقَاصِدِهَا، خَبِيرًا بِمَا يُحِيلُ مَعَانِيَهَا، بَصِيرًا بِمَقَادِيرِ التَّفَاوُتِ بَيْنَهَا، فَلَا خِلَافَ أَنَّهُ لَا يَجُوزُ لَهُ ذَلِكَ، وَعَلَيْهِ أَنْ لَا يَرْوِيَ مَا سَمِعَهُ إِلَّا عَلَى اللَّفْظِ الَّذِي سَمِعَهُ مِنْ غَيْرِ تَغْيِيرٍ.”</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210, basılı s. 213]</w:t>
      </w:r>
    </w:p>
    <w:p>
      <w:pPr>
        <w:pStyle w:val="DogrulamaAR"/>
        <w:bidi/>
        <w:spacing w:after="20" w:line="300"/>
        <w:ind w:end="567"/>
        <w:jc w:val="both"/>
      </w:pPr>
      <w:r>
        <w:rPr>
          <w:rFonts w:ascii="Times New Roman" w:cs="Traditional Arabic" w:eastAsia="Times New Roman" w:hAnsi="Times New Roman"/>
          <w:i/>
          <w:iCs/>
          <w:sz w:val="24"/>
          <w:szCs w:val="30"/>
          <w:rtl/>
        </w:rPr>
        <w:t xml:space="preserve">“وَالْأَصَحُّ: جَوَازُ ذَلِكَ فِي الْجَمِيعِ، إِذَا كَانَ عَالِمًا بِمَا وَصَفْنَاهُ قَاطِعًا بِأَنَّهُ أَدَّى مَعْنَى اللَّفْظِ الَّذِي بَلَغَهُ ;”</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211, basılı s. 214]</w:t>
      </w:r>
    </w:p>
    <w:p>
      <w:pPr>
        <w:pStyle w:val="DogrulamaAR"/>
        <w:bidi/>
        <w:spacing w:after="20" w:line="300"/>
        <w:ind w:end="567"/>
        <w:jc w:val="both"/>
      </w:pPr>
      <w:r>
        <w:rPr>
          <w:rFonts w:ascii="Times New Roman" w:cs="Traditional Arabic" w:eastAsia="Times New Roman" w:hAnsi="Times New Roman"/>
          <w:i/>
          <w:iCs/>
          <w:sz w:val="24"/>
          <w:szCs w:val="30"/>
          <w:rtl/>
        </w:rPr>
        <w:t xml:space="preserve">“فَلَيْسَ لِأَحَدٍ أَنْ يُغَيِّرَ لَفْظَ شَيْءٍ مِنْ كِتَابٍ مُصَنَّفٍ، وَيُثْبِتَ بَدَلَهُ فِيهِ لَفْظًا آخَرَ بِمَعْنَاهُ،”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211, basılı s. 214]</w:t>
      </w:r>
    </w:p>
    <w:p>
      <w:pPr>
        <w:pStyle w:val="DogrulamaAR"/>
        <w:bidi/>
        <w:spacing w:after="20" w:line="300"/>
        <w:ind w:end="567"/>
        <w:jc w:val="both"/>
      </w:pPr>
      <w:r>
        <w:rPr>
          <w:rFonts w:ascii="Times New Roman" w:cs="Traditional Arabic" w:eastAsia="Times New Roman" w:hAnsi="Times New Roman"/>
          <w:i/>
          <w:iCs/>
          <w:sz w:val="24"/>
          <w:szCs w:val="30"/>
          <w:rtl/>
        </w:rPr>
        <w:t xml:space="preserve">“السَّادِسُ: يَنْبَغِي لِمَنْ رَوَى حَدِيثًا بِالْمَعْنَى أَنْ يُتْبِعَهُ بِأَنْ يَقُولَ: " أَوْ كَمَا قَالَ، أَوْ نَحْوَ هَذَا "، أَوْ مَا أَشْبَهَ ذَلِكَ مِنَ الْأَلْفَاظِ.”</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212, basılı s. 215]</w:t>
      </w:r>
    </w:p>
    <w:p>
      <w:pPr>
        <w:spacing w:after="120" w:line="360"/>
        <w:ind w:firstLine="567"/>
        <w:jc w:val="both"/>
      </w:pPr>
      <w:r>
        <w:rPr>
          <w:rFonts w:ascii="Times New Roman" w:cs="Traditional Arabic" w:eastAsia="Times New Roman" w:hAnsi="Times New Roman"/>
          <w:i w:val="false"/>
          <w:sz w:val="24"/>
          <w:szCs w:val="24"/>
        </w:rPr>
        <w:t xml:space="preserve">Bu kurallar nitel araştırma raporu için üç önemli ilke sunmaktadır. Birincisi, doğrudan alıntı ile özetleyerek aktarım birbirinden açıkça ayrılmalıdır. Tırnak içinde verilen söz katılımcının kendi sözüdür ve değiştirilmemelidir. İbnü's-Salâh'ın telif edilmiş kitabın lafzının değiştirilemeyeceği kuralı, kanaatimizce tırnak içine alınmış bir katılımcı sözüne de uygulanmalıdır. İkincisi, özetleyerek aktarım bir yetkinlik gerektirmektedir. Katılımcının sözünü kendi cümleleriyle aktaran araştırmacı, onun kelimelerinin taşıdığı anlam inceliklerini bilmelidir. Bir çocuğun “Allah'tan korkuyorum” ile “Allah'tan çekiniyorum” arasında yaptığı ayrım, özetleme sırasında kaybolmamalıdır. Üçüncüsü, özetleme özetleme olarak işaretlenmelidir. “Ya da dediği gibi” ifadesinin raporlaştırmadaki karşılığı, aktarımın katılımcının kendi ifadesi değil, araştırmacının ifadesi olduğunu belirten “katılımcının anlattığına göre” ya da “katılımcı özetle şunu ifade etmiştir” gibi kalıplardır.</w:t>
      </w:r>
    </w:p>
    <w:p>
      <w:pPr>
        <w:spacing w:after="120" w:line="360"/>
        <w:ind w:firstLine="567"/>
        <w:jc w:val="both"/>
      </w:pPr>
      <w:r>
        <w:rPr>
          <w:rFonts w:ascii="Times New Roman" w:cs="Traditional Arabic" w:eastAsia="Times New Roman" w:hAnsi="Times New Roman"/>
          <w:i w:val="false"/>
          <w:sz w:val="24"/>
          <w:szCs w:val="24"/>
        </w:rPr>
        <w:t xml:space="preserve">Benzerliğin sınırı ise hadis usulündeki lafız titizliğinin konusunun hadis rivayeti ve telif edilmiş kitaplar olmasıdır. Nitel araştırmada katılımcının sözünün korunması bir kutsiyet değil, bir saygı ve doğruluk meselesidir. Ayrıca nitel araştırmada katılımcının sözü bazen başka bir dilden çevrilerek aktarılmaktadır. Kürtçe, Arapça ya da Zazaca konuşan bir velinin sözünü Türkçeye çeviren araştırmacı, kanaatimizce İbnü's-Salâh'ın mana ile rivayet dediği işe benzer bir iş yapmaktadır ve bunu raporunda belirtmelidir.</w:t>
      </w:r>
    </w:p>
    <w:p>
      <w:pPr>
        <w:pStyle w:val="Heading2"/>
        <w:keepNext/>
        <w:spacing w:after="120" w:before="240"/>
      </w:pPr>
      <w:r>
        <w:rPr>
          <w:rFonts w:ascii="Times New Roman" w:cs="Traditional Arabic" w:eastAsia="Times New Roman" w:hAnsi="Times New Roman"/>
          <w:b/>
          <w:bCs/>
          <w:i w:val="false"/>
          <w:sz w:val="24"/>
          <w:szCs w:val="24"/>
        </w:rPr>
        <w:t xml:space="preserve">14.3. Alıntının Kısaltılması</w:t>
      </w:r>
    </w:p>
    <w:p>
      <w:pPr>
        <w:spacing w:after="120" w:line="360"/>
        <w:ind w:firstLine="567"/>
        <w:jc w:val="both"/>
      </w:pPr>
      <w:r>
        <w:rPr>
          <w:rFonts w:ascii="Times New Roman" w:cs="Traditional Arabic" w:eastAsia="Times New Roman" w:hAnsi="Times New Roman"/>
          <w:i w:val="false"/>
          <w:sz w:val="24"/>
          <w:szCs w:val="24"/>
        </w:rPr>
        <w:t xml:space="preserve">Uzun bir görüşme parçasının tamamını rapora almak her zaman mümkün olmamaktadır. Araştırmacı alıntıları kısaltmak zorunda kalmaktadır. İbnü's-Salâh hadisin bir kısmının terk edilip bir kısmının rivayet edilmesi meselesinde doğru görüşün tafsil olduğunu belirtmektedir. Ona göre bu, terk edilen kısım nakledilen kısımdan ayrı olduğunda ve ona bağlı bulunmadığında, böylece beyan bozulmadığında ve terk edilen kısım sebebiyle nakledilen kısmın delaleti değişmediğinde, bilgili bir âlim için caizdir.</w:t>
      </w:r>
      <w:r>
        <w:rPr>
          <w:rStyle w:val="FootnoteReference"/>
        </w:rPr>
        <w:footnoteReference w:id="42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“وَالصَّحِيحُ التَّفْصِيلُ، وَأَنَّهُ يَجُوزُ ذَلِكَ مِنَ الْعَالِمِ الْعَارِفِ إِذَا كَانَ مَا تَرَكَهُ مَتَمِيِّزًا عَمَّا نَقَلَهُ، غَيْرَ مُتَعَلِّقٍ بِهِ، بِحَيْثُ لَا يَخْتَلُّ الْبَيَانُ، وَلَا تَخْتَلِفُ الدَّلَالَةُ فِيمَا نَقَلَهُ بِتَرْكِ مَا تَرَكَهُ،”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213, basılı s. 216]</w:t>
      </w:r>
    </w:p>
    <w:p>
      <w:pPr>
        <w:spacing w:after="120" w:line="360"/>
        <w:ind w:firstLine="567"/>
        <w:jc w:val="both"/>
      </w:pPr>
      <w:r>
        <w:rPr>
          <w:rFonts w:ascii="Times New Roman" w:cs="Traditional Arabic" w:eastAsia="Times New Roman" w:hAnsi="Times New Roman"/>
          <w:i w:val="false"/>
          <w:sz w:val="24"/>
          <w:szCs w:val="24"/>
        </w:rPr>
        <w:t xml:space="preserve">Bu kural, nitel araştırmada alıntı kısaltmanın ölçüsünü de vermektedir. Araştırmacı bir alıntıdan bir kısmı çıkarabilir, fakat çıkarılan kısım kalan kısmın anlamını değiştirmemelidir. Bir öğretmenin “Değerler eğitimini çok önemsiyorum ama programın yoğunluğundan buna hiç vakit kalmıyor” sözünü yalnızca “Değerler eğitimini çok önemsiyorum” diye aktarmak, sözün anlamını değiştiren bir kısaltmadır. Çıkarılan kısımlar raporda köşeli ayraç içinde üç nokta gibi bir işaretle gösterilmelidir.</w:t>
      </w:r>
    </w:p>
    <w:p>
      <w:pPr>
        <w:pStyle w:val="Heading2"/>
        <w:keepNext/>
        <w:spacing w:after="120" w:before="240"/>
      </w:pPr>
      <w:r>
        <w:rPr>
          <w:rFonts w:ascii="Times New Roman" w:cs="Traditional Arabic" w:eastAsia="Times New Roman" w:hAnsi="Times New Roman"/>
          <w:b/>
          <w:bCs/>
          <w:i w:val="false"/>
          <w:sz w:val="24"/>
          <w:szCs w:val="24"/>
        </w:rPr>
        <w:t xml:space="preserve">14.4. Araştırmacının Sözü ile Katılımcının Sözünün Ayrılması</w:t>
      </w:r>
    </w:p>
    <w:p>
      <w:pPr>
        <w:spacing w:after="120" w:line="360"/>
        <w:ind w:firstLine="567"/>
        <w:jc w:val="both"/>
      </w:pPr>
      <w:r>
        <w:rPr>
          <w:rFonts w:ascii="Times New Roman" w:cs="Traditional Arabic" w:eastAsia="Times New Roman" w:hAnsi="Times New Roman"/>
          <w:i w:val="false"/>
          <w:sz w:val="24"/>
          <w:szCs w:val="24"/>
        </w:rPr>
        <w:t xml:space="preserve">Dokuzuncu bölümde ele alınan idrâc kavramı, raporlaştırmada da önemli bir uyarı taşımaktadır. İbnü's-Salâh müdrecin bir türünü, bir râvinin hadisin hemen ardından kendi katından söylediği sözün, söyleyeni zikredilerek ayrılmadan hadise bitişik olarak rivayet edilmesi ve gerçek durumu bilmeyenlerin bütün sözü Hz. Peygamber'e ait sanması olarak tanımlamaktadır.</w:t>
      </w:r>
      <w:r>
        <w:rPr>
          <w:rStyle w:val="FootnoteReference"/>
        </w:rPr>
        <w:footnoteReference w:id="42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raporda da araştırmacının yorumu katılımcının sözüne bitişik ve ayırt edilemez biçimde yazılırsa, okur araştırmacının yorumunu katılımcının sözü sanabilir. Bu nedenle araştırmacının açıklamaları alıntının içine ancak köşeli ayraç içinde girmeli, yorumlar ise alıntının dışında ve araştırmacının sesi olarak açıkça yazılmalıdır.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271.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İbnü's-Salâh birden fazla kaynaktan gelen bir sözün birleştirilmesine dair de ayrıntılı bir kural koymaktadır. Ona göre bir kimse bir hadisin bir kısmını bir şeyhten, bir kısmını başka bir şeyhten işitip bunları karıştırır ve ayırmazsa, fakat bir kısmının birinden, bir kısmının diğerinden olduğunu açıklayarak hadisi bütün olarak ikisine nispet ederse bu caizdir.</w:t>
      </w:r>
      <w:r>
        <w:rPr>
          <w:rStyle w:val="FootnoteReference"/>
        </w:rPr>
        <w:footnoteReference w:id="42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Ancak bu karışmadan sonra hiç kimsenin râvilerden birini düşürüp hadisi yalnızca diğerinden rivayet etmesi caiz değildir. Bilakis bir kısmının birinden, bir kısmının diğerinden olduğunu açıkça belirterek ikisini birlikte zikretmesi gerekmektedir.</w:t>
      </w:r>
      <w:r>
        <w:rPr>
          <w:rStyle w:val="FootnoteReference"/>
        </w:rPr>
        <w:footnoteReference w:id="427"/>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“الْحَادِي وَالْعِشْرُونَ: إِذَا سَمِعَ بَعْضَ حَدِيثٍ مِنْ شَيْخٍ، وَبَعْضَهُ مِنْ شَيْخٍ آخَرَ، فَخَلَطَهُ، وَلَمْ يُمَيِّزْهُ، وَعَزَى الْحَدِيثَ جُمْلَةً إِلَيْهِمَا، مُبَيِّنًا أَنَّ عَنْ أَحَدِهِمَا بَعْضَهُ، وَعَنِ الْآخَرِ بَعْضَهُ، فَذَلِكَ جَائِزٌ،”</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232, basılı s. 235]</w:t>
      </w:r>
    </w:p>
    <w:p>
      <w:pPr>
        <w:pStyle w:val="DogrulamaAR"/>
        <w:bidi/>
        <w:spacing w:after="20" w:line="300"/>
        <w:ind w:end="567"/>
        <w:jc w:val="both"/>
      </w:pPr>
      <w:r>
        <w:rPr>
          <w:rFonts w:ascii="Times New Roman" w:cs="Traditional Arabic" w:eastAsia="Times New Roman" w:hAnsi="Times New Roman"/>
          <w:i/>
          <w:iCs/>
          <w:sz w:val="24"/>
          <w:szCs w:val="30"/>
          <w:rtl/>
        </w:rPr>
        <w:t xml:space="preserve">“وَغَيْرُ جَائِزٍ لِأَحَدٍ بَعْدَ اخْتِلَاطِ ذَلِكَ أَنْ يُسْقِطَ ذِكْرَ أَحَدِ الرَّاوِيَيْنِ، وَيَرْوِيَ الْحَدِيثَ عَنِ الْآخَرِ وَحْدَهُ، بَلْ يَجِبُ ذِكْرُهُمَا جَمِيعًا مَقْرُونًا بِالْإِفْصَاحِ بِأَنَّ بَعْضَهُ عَنْ أَحَدِهِمَا، وَبَعْضَهُ عَنِ الْآخَرِ،”</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233, basılı s. 236]</w:t>
      </w:r>
    </w:p>
    <w:p>
      <w:pPr>
        <w:spacing w:after="120" w:line="360"/>
        <w:ind w:firstLine="567"/>
        <w:jc w:val="both"/>
      </w:pPr>
      <w:r>
        <w:rPr>
          <w:rFonts w:ascii="Times New Roman" w:cs="Traditional Arabic" w:eastAsia="Times New Roman" w:hAnsi="Times New Roman"/>
          <w:i w:val="false"/>
          <w:sz w:val="24"/>
          <w:szCs w:val="24"/>
        </w:rPr>
        <w:t xml:space="preserve">Bu kural nitel raporlaştırmada iki duruma uygulanabilir. Birincisi, araştırmacının iki farklı katılımcının sözlerini tek bir alıntı gibi birleştirmesidir. Bu, ancak birleştirmenin açıkça belirtilmesi şartıyla yapılabilir ve çoğu durumda alıntıların ayrı ayrı verilmesi daha doğrudur. İkincisi, katılımcıların kimliğini korumak için birkaç katılımcının özelliklerinden oluşturulan birleşik bir kurgusal karakterin kullanılmasıdır. Bu yöntem mahremiyeti korumak için başvurulabilecek bir yoldur. Ancak İbnü's-Salâh'ın “ikisini birlikte zikretme” şartı gereği, raporda bu karakterin birleşik bir kurgu olduğu açıkça belirtilmelidir. Okur, tek bir kişiye ait sandığı bir hikâyenin aslında birden fazla kişiden derlendiğini bilmelidir.</w:t>
      </w:r>
    </w:p>
    <w:p>
      <w:pPr>
        <w:pStyle w:val="Heading2"/>
        <w:keepNext/>
        <w:spacing w:after="120" w:before="240"/>
      </w:pPr>
      <w:r>
        <w:rPr>
          <w:rFonts w:ascii="Times New Roman" w:cs="Traditional Arabic" w:eastAsia="Times New Roman" w:hAnsi="Times New Roman"/>
          <w:b/>
          <w:bCs/>
          <w:i w:val="false"/>
          <w:sz w:val="24"/>
          <w:szCs w:val="24"/>
        </w:rPr>
        <w:t xml:space="preserve">14.5. Seçici Raporlama ve Tedlîs</w:t>
      </w:r>
    </w:p>
    <w:p>
      <w:pPr>
        <w:spacing w:after="120" w:line="360"/>
        <w:ind w:firstLine="567"/>
        <w:jc w:val="both"/>
      </w:pPr>
      <w:r>
        <w:rPr>
          <w:rFonts w:ascii="Times New Roman" w:cs="Traditional Arabic" w:eastAsia="Times New Roman" w:hAnsi="Times New Roman"/>
          <w:i w:val="false"/>
          <w:sz w:val="24"/>
          <w:szCs w:val="24"/>
        </w:rPr>
        <w:t xml:space="preserve">Araştırmacı, verinin yalnızca kendi yorumunu destekleyen kısımlarını raporlayarak okurda yanlış bir izlenim uyandırabilir. Hadis usulünde yanıltıcı izlenim uyandırmanın bir türü tedlîs kavramıyla ele alınmıştır. İbnü's-Salâh isnad tedlisini, kişinin karşılaştığı birinden ondan işitmediği bir şeyi onu ondan işitmiş izlenimi vererek rivayet etmesi ya da çağdaşı olup karşılaşmadığı birinden onunla karşılaşıp ondan işitmiş izlenimi vererek rivayet etmesi olarak tanımlamaktadır.</w:t>
      </w:r>
      <w:r>
        <w:rPr>
          <w:rStyle w:val="FootnoteReference"/>
        </w:rPr>
        <w:footnoteReference w:id="42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“أَحَدُهُمَا: تَدْلِيسُ الْإِسْنَادِ، وَهُوَ أَنْ يَرْوِيَ عَمَّنْ لَقِيَهُ مَا لَمْ يَسْمَعْ مِنْهُ، مُوهِمًا أَنَّهُ سَمِعَهُ مِنْهُ، أَوْ عَمَّنْ عَاصَرَهُ وَلَمْ يَلْقَهُ مُوهِمًا أَنَّهُ قَدْ لَقِيَهُ وَسَمِعَهُ مِنْهُ،”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70, basılı s. 73]</w:t>
      </w:r>
    </w:p>
    <w:p>
      <w:pPr>
        <w:spacing w:after="120" w:line="360"/>
        <w:ind w:firstLine="567"/>
        <w:jc w:val="both"/>
      </w:pPr>
      <w:r>
        <w:rPr>
          <w:rFonts w:ascii="Times New Roman" w:cs="Traditional Arabic" w:eastAsia="Times New Roman" w:hAnsi="Times New Roman"/>
          <w:i w:val="false"/>
          <w:sz w:val="24"/>
          <w:szCs w:val="24"/>
        </w:rPr>
        <w:t xml:space="preserve">Tedlîsin özü, açık bir yalan söylemeden yanıltıcı bir izlenim uyandırmaktır. Kanaatimizce nitel raporlaştırmada bunun iki karşılığı bulunmaktadır. Birincisi, verinin elde ediliş yoluna dair yanıltıcı izlenimdir. Araştırmacı başkasından duyduğu bir olayı bizzat gözlemiş gibi, ya da tek bir görüşmede duyduğu bir ifadeyi birçok katılımcının dile getirdiği bir görüş gibi sunarsa, tedlîse benzeyen bir hata yapmış olur. İkincisi, seçici alıntıdır. Araştırmacı bir temayı destekleyen birkaç çarpıcı alıntıyı verip ona uymayan anlatımları sessizce dışarıda bırakırsa, okur temanın veride olduğundan daha güçlü olduğu izlenimine kapılır. On ikinci bölümde ele alındığı gibi Yıldırım ve Şimşek de araştırmacının farklılıkları törpüleyerek ortak bir sonuca ulaşmak yerine onları olabildiğince bütün zenginliğiyle sergilemesi gerektiğini vurgulamaktadır.</w:t>
      </w:r>
      <w:r>
        <w:rPr>
          <w:rStyle w:val="FootnoteReference"/>
        </w:rPr>
        <w:footnoteReference w:id="42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Benzerliğin sınırı ise tedlîsin bir isnad zincirindeki halkalara dair olmasıdır. Seçici raporlama ise verinin temsil gücüne dairdir.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356.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14.6. Raporun Düzeni ve Betimlemenin Ölçüsü</w:t>
      </w:r>
    </w:p>
    <w:p>
      <w:pPr>
        <w:spacing w:after="120" w:line="360"/>
        <w:ind w:firstLine="567"/>
        <w:jc w:val="both"/>
      </w:pPr>
      <w:r>
        <w:rPr>
          <w:rFonts w:ascii="Times New Roman" w:cs="Traditional Arabic" w:eastAsia="Times New Roman" w:hAnsi="Times New Roman"/>
          <w:i w:val="false"/>
          <w:sz w:val="24"/>
          <w:szCs w:val="24"/>
        </w:rPr>
        <w:t xml:space="preserve">Yıldırım ve Şimşek betimlemenin bütün nitel araştırmalar için büyük önem taşıdığını, çünkü araştırmacının ulaştığı sonuçların geçerliğini bu betimlemelere dayandırmak zorunda olduğunu belirtmektedir. Yazarlara göre betimleme yapılırken araştırmacı kendi görüş ve yorumlarını dışarıda bırakmalı ve veri setini okura yorumsuz olarak sunmalıdır.</w:t>
      </w:r>
      <w:r>
        <w:rPr>
          <w:rStyle w:val="FootnoteReference"/>
        </w:rPr>
        <w:footnoteReference w:id="43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Yine yazarlar durum çalışması raporları için araştırmacının doğru bir betimleme ve analiz dozunu tutturması gerektiğini, raporun hem araştırmanın başlangıcında oluşturulan problem ve alt problemlere doyurucu cevaplar vermesi hem de gereksiz bilgi ve betimlemelerden kaçınması gerektiğini belirtmektedir.</w:t>
      </w:r>
      <w:r>
        <w:rPr>
          <w:rStyle w:val="FootnoteReference"/>
        </w:rPr>
        <w:footnoteReference w:id="43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bu ölçü, başka desenlerle yürütülen araştırmaların raporları için de yol göstericidir. Araştırma deseninde yapılan değişikliklerin gerekçeleriyle birlikte okura bildirilmesi de dördüncü bölümde görüldüğü gibi raporun vazgeçilmez bir parçasıdır.</w:t>
      </w:r>
      <w:r>
        <w:rPr>
          <w:rStyle w:val="FootnoteReference"/>
        </w:rPr>
        <w:footnoteReference w:id="43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“Betimleme tüm nitel araştırmalar için büyük önem taşır, çünkü araştırmacı araştırma sonucunda ulaştığı sonuçların geçerliğini bu betimlemelere dayandırmak zorundadır. Betimleme yaparken araştırmacının kendi görüş ve yorumlarını dışarıda bırakması ve veri setini okuyucuya yorumsuz olarak sunması gerekir.”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89, PDF s. 87]</w:t>
      </w:r>
    </w:p>
    <w:p>
      <w:pPr>
        <w:pStyle w:val="Dogrulama"/>
        <w:spacing w:after="20" w:line="276"/>
        <w:ind w:left="567"/>
        <w:jc w:val="both"/>
      </w:pPr>
      <w:r>
        <w:rPr>
          <w:rFonts w:ascii="Times New Roman" w:cs="Traditional Arabic" w:eastAsia="Times New Roman" w:hAnsi="Times New Roman"/>
          <w:i/>
          <w:iCs/>
          <w:sz w:val="22"/>
          <w:szCs w:val="22"/>
        </w:rPr>
        <w:t xml:space="preserve">“Bu anlamda, araştırmacının burada uğraşması gereken konu,”doğru bir betimleme ve analiz dozu”nu tutturmasıdır. Yani, durum çalışması raporu hem araştırmanın başlangıcında oluşturulmuş olan problem ve alt problemlere doyurucu yanıtlar vermeli, hem de bunu yaparken gereksiz bilgi ve betimlemelerden kaçınmalıdır.”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287, PDF s. 285]</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134.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On birinci bölümde Şehristânî'nin makâlât kitabı yazarlarının meselelere ve kişilere göre iki tertip yolunu aktarması</w:t>
      </w:r>
      <w:r>
        <w:rPr>
          <w:rStyle w:val="FootnoteReference"/>
        </w:rPr>
        <w:footnoteReference w:id="43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 kendi tercihini gerekçelendirmesi</w:t>
      </w:r>
      <w:r>
        <w:rPr>
          <w:rStyle w:val="FootnoteReference"/>
        </w:rPr>
        <w:footnoteReference w:id="43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ele alınmıştı. Raporun düzenine dair karar da aynı açıklıkla verilmelidir. Araştırmacı bulgularını temalara göre mi, katılımcılara ya da durumlara göre mi sunduğunu ve bunun sebebini okura bildirmelidir.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311.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312.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Raporun düzeni kadar dili de araştırmanın güvenilirliğini etkilemektedir. Klasik gelenekte müellifler eserlerinin üslubunu da bir tercih olarak beyan etmişlerdir. Hâkim en-Nîsâbûrî, hadis talebelerinin muhtaç olduğu hadis ilmi nevilerini içeren hafif bir kitap yazmaya yöneldiğini ve bunda çoğaltmakta uzatmaya gitmeksizin ihtisar yolunu tuttuğunu söylemektedir.</w:t>
      </w:r>
      <w:r>
        <w:rPr>
          <w:rStyle w:val="FootnoteReference"/>
        </w:rPr>
        <w:footnoteReference w:id="43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Modern yöntem kitapları da benzer bir ölçüyü önermektedir. Beraha bilimsel yazım dilinin sade olması gerektiğini, yalın bir dilin amacının okurun açıklamaları yanlış anlaması ihtimalini ortadan kaldırmak olduğunu belirtmekte,</w:t>
      </w:r>
      <w:r>
        <w:rPr>
          <w:rStyle w:val="FootnoteReference"/>
        </w:rPr>
        <w:footnoteReference w:id="43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çarpıcı olma çabasının bulguların abartılmasına yol açmaması gerektiğini de vurgulamaktadır.</w:t>
      </w:r>
      <w:r>
        <w:rPr>
          <w:rStyle w:val="FootnoteReference"/>
        </w:rPr>
        <w:footnoteReference w:id="43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Creswell ise aynı kavram için eş anlamlı terimler kullanmanın okuru yanıltacağını ve düşüncelerini sorgulamasına yol açacağını, düzenleme yaparken gereksiz kelimelerin çıkarılması gerektiğini ve güzel yazıda gözün duraklamadığını, zihnin bocalamadığını söylemektedir.</w:t>
      </w:r>
      <w:r>
        <w:rPr>
          <w:rStyle w:val="FootnoteReference"/>
        </w:rPr>
        <w:footnoteReference w:id="43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Strunk’ın sık alıntılanan kuralı da aynı yöndedir: Güçlü yazı özlüdür ve bu, her cümleyi kısa tutmak ya da ayrıntıdan kaçınmak değil, her kelimenin bir şey söylemesi demektir.</w:t>
      </w:r>
      <w:r>
        <w:rPr>
          <w:rStyle w:val="FootnoteReference"/>
        </w:rPr>
        <w:footnoteReference w:id="43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 raporu, doğası gereği uzun alıntılar ve ayrıntılı betimlemeler içerdiği için bu ölçüye özellikle muhtaçtır. Kanaatimizce din eğitimi araştırmalarında dikkat edilmesi gereken bir başka nokta, dinî terimlerin raporda tutarlı kullanılmasıdır. “Dindarlık”, “dinî tutum” ve “dinî hayat” gibi terimleri birbirinin yerine kullanmak, okurun hangi kavramın kastedildiğini anlamasını güçleştirir.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«دَعَانِي ذَلِكَ إِلَى تَصْنِيفِ كِتَابٍ خَفِيفٍ يَشْتَمِلُ عَلَى ذِكْرِ أَنْوَاعِ عِلْمِ الْحَدِيثِ مِمَّا يَحْتَاجُ إِلَيْهِ طَلَبَةُ الْأَخْبَارِ، الْمُوَاظِبُونَ عَلَى كِتَابَةِ الْآثَارِ، وَأَعْتَمِدُ فِي ذَلِكَ سُلُوكَ الِاخْتِصَارِ، دُونَ الْإِطْنَابِ فِي الْإِكْثَارِ»</w:t>
      </w:r>
    </w:p>
    <w:p>
      <w:pPr>
        <w:pStyle w:val="Dogrulama"/>
        <w:spacing w:after="80" w:line="240"/>
        <w:ind w:left="567"/>
      </w:pPr>
      <w:r>
        <w:rPr>
          <w:rFonts w:ascii="Times New Roman" w:cs="Traditional Arabic" w:eastAsia="Times New Roman" w:hAnsi="Times New Roman"/>
          <w:i w:val="false"/>
          <w:color w:val="7F7F7F"/>
          <w:sz w:val="18"/>
          <w:szCs w:val="18"/>
        </w:rPr>
        <w:t xml:space="preserve">[Şâmile kayıt no. 13179, basılı s. 2. Kaynak dosya: Sosyal_Bilimler_ve_Din_Egitiminde_Usul_Meselesi.docx, 10.2. kısım (Şâmile’den teyit edilmiş alıntı). Bu çalışmada Şâmile’ye erişilemediği için metin yeniden karşılaştırılamamıştır.]</w:t>
      </w:r>
    </w:p>
    <w:p>
      <w:pPr>
        <w:pStyle w:val="Dogrulama"/>
        <w:spacing w:after="20" w:line="276"/>
        <w:ind w:left="567"/>
        <w:jc w:val="both"/>
      </w:pPr>
      <w:r>
        <w:rPr>
          <w:rFonts w:ascii="Times New Roman" w:cs="Traditional Arabic" w:eastAsia="Times New Roman" w:hAnsi="Times New Roman"/>
          <w:i/>
          <w:iCs/>
          <w:sz w:val="22"/>
          <w:szCs w:val="22"/>
        </w:rPr>
        <w:t xml:space="preserve">“Öncelikle bilimsel yazım dili sade olmalıdır. Bu akademik yazında bazen gözden kaçan ancak aslında önemli bir özelliktir. Bilimde yalın bir dil kullanımının amacı, okuyucunun (iletişim sürecinde alıcı) açıklamaları yanlış anlaması olasılığını ortadan kaldırmaktır.”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Bilimsel Düşünce ve Araştırma Metodolojisi{Dr. Aydın Beraha}(2021, Gazi Kitabevi){116327078} libgen.li.pdf, basılı s. 40, PDF s. 50]</w:t>
      </w:r>
    </w:p>
    <w:p>
      <w:pPr>
        <w:pStyle w:val="Dogrulama"/>
        <w:spacing w:after="20" w:line="276"/>
        <w:ind w:left="567"/>
        <w:jc w:val="both"/>
      </w:pPr>
      <w:r>
        <w:rPr>
          <w:rFonts w:ascii="Times New Roman" w:cs="Traditional Arabic" w:eastAsia="Times New Roman" w:hAnsi="Times New Roman"/>
          <w:i/>
          <w:iCs/>
          <w:sz w:val="22"/>
          <w:szCs w:val="22"/>
        </w:rPr>
        <w:t xml:space="preserve">“Ancak, çarpıcı olma çabası bulguların abartılmasına neden olmamalıdır! Bulguların çarpıcı bir şekilde sunumu ve bulguların abartılarak sunulması arasında bir fark olduğu görülmelidir.”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Bilimsel Düşünce ve Araştırma Metodolojisi{Dr. Aydın Beraha}(2021, Gazi Kitabevi){116327078} libgen.li.pdf, basılı s. 43-44, PDF s. 53-54]</w:t>
      </w:r>
    </w:p>
    <w:p>
      <w:pPr>
        <w:pStyle w:val="Dogrulama"/>
        <w:spacing w:after="20" w:line="276"/>
        <w:ind w:left="567"/>
        <w:jc w:val="both"/>
      </w:pPr>
      <w:r>
        <w:rPr>
          <w:rFonts w:ascii="Times New Roman" w:cs="Traditional Arabic" w:eastAsia="Times New Roman" w:hAnsi="Times New Roman"/>
          <w:i/>
          <w:iCs/>
          <w:sz w:val="22"/>
          <w:szCs w:val="22"/>
        </w:rPr>
        <w:t xml:space="preserve">“Okuyucunun terimlerin ne olduğunu anlamaya çalışması ve anlamdaki ince değişiklikleri takip etmesi gibi bir probleme neden olacağı için bu terimlerin eş anlamlılarını kullanmaktan kaçının. Terimler çok az bile değişse, okuyucuyu yanlış yönlendirir ve düşüncelerinizi sorgulamasına neden olur.”</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87, PDF s. 118]</w:t>
      </w:r>
    </w:p>
    <w:p>
      <w:pPr>
        <w:pStyle w:val="Dogrulama"/>
        <w:spacing w:after="20" w:line="276"/>
        <w:ind w:left="567"/>
        <w:jc w:val="both"/>
      </w:pPr>
      <w:r>
        <w:rPr>
          <w:rFonts w:ascii="Times New Roman" w:cs="Traditional Arabic" w:eastAsia="Times New Roman" w:hAnsi="Times New Roman"/>
          <w:i/>
          <w:iCs/>
          <w:sz w:val="22"/>
          <w:szCs w:val="22"/>
        </w:rPr>
        <w:t xml:space="preserve">“Fazlalıklar düşünceleri ifade ederken gereksiz görünen ek kelimeleri ifade eder ve bunların düzenleme yaparken çıkarılmaları gerekir.”</w:t>
      </w:r>
      <w:r>
        <w:rPr>
          <w:rFonts w:ascii="Times New Roman" w:cs="Traditional Arabic" w:eastAsia="Times New Roman" w:hAnsi="Times New Roman"/>
          <w:i w:val="false"/>
          <w:sz w:val="22"/>
          <w:szCs w:val="22"/>
        </w:rPr>
        <w:t xml:space="preserve"> […] </w:t>
      </w:r>
      <w:r>
        <w:rPr>
          <w:rFonts w:ascii="Times New Roman" w:cs="Traditional Arabic" w:eastAsia="Times New Roman" w:hAnsi="Times New Roman"/>
          <w:i/>
          <w:iCs/>
          <w:sz w:val="22"/>
          <w:szCs w:val="22"/>
        </w:rPr>
        <w:t xml:space="preserve">“Güzel yazılarda, göz duraklamaz ve zihin bir okuma metninde bocalamaz.”</w:t>
      </w:r>
    </w:p>
    <w:p>
      <w:pPr>
        <w:pStyle w:val="Dogrulama"/>
        <w:spacing w:after="80" w:line="240"/>
        <w:ind w:left="567"/>
      </w:pPr>
      <w:r>
        <w:rPr>
          <w:rFonts w:ascii="Times New Roman" w:cs="Traditional Arabic" w:eastAsia="Times New Roman" w:hAnsi="Times New Roman"/>
          <w:i w:val="false"/>
          <w:color w:val="7F7F7F"/>
          <w:sz w:val="18"/>
          <w:szCs w:val="18"/>
        </w:rPr>
        <w:t xml:space="preserve">[Dosya: Araştırma Deseni - Nitel, Nicel ve Karma Yöntem Yaklaşımları{John W. Creswell}(2007, Eğiten Kitap){114587759} libgen.li.pdf, basılı s. 91, PDF s. 122]</w:t>
      </w:r>
    </w:p>
    <w:p>
      <w:pPr>
        <w:pStyle w:val="Dogrulama"/>
        <w:spacing w:after="20" w:line="276"/>
        <w:ind w:left="567"/>
        <w:jc w:val="both"/>
      </w:pPr>
      <w:r>
        <w:rPr>
          <w:rFonts w:ascii="Times New Roman" w:cs="Traditional Arabic" w:eastAsia="Times New Roman" w:hAnsi="Times New Roman"/>
          <w:i/>
          <w:iCs/>
          <w:sz w:val="22"/>
          <w:szCs w:val="22"/>
        </w:rPr>
        <w:t xml:space="preserve">“Vigorous writing is concise. A sentence should contain no unnecessary words, a paragraph no unnecessary sentences, for the same reason that a drawing should have no unnecessary lines and a machine no unnecessary parts. This requires not that the writer make all sentences short, or avoid all detail and treat subjects only in outline, but that every word tell.”</w:t>
      </w:r>
    </w:p>
    <w:p>
      <w:pPr>
        <w:pStyle w:val="Dogrulama"/>
        <w:spacing w:after="80" w:line="240"/>
        <w:ind w:left="567"/>
      </w:pPr>
      <w:r>
        <w:rPr>
          <w:rFonts w:ascii="Times New Roman" w:cs="Traditional Arabic" w:eastAsia="Times New Roman" w:hAnsi="Times New Roman"/>
          <w:i w:val="false"/>
          <w:color w:val="7F7F7F"/>
          <w:sz w:val="18"/>
          <w:szCs w:val="18"/>
        </w:rPr>
        <w:t xml:space="preserve">[Dosya: William Strunk_ E B White - The Elements of style (2003, ) - libgen.li.pdf, Kısım II, Kural 17 (“Omit needless words”), PDF s. 32. SAYFA NUMARASI DOĞRULANAMADI: Dosya eserin yeniden dizilmiş elektronik bir nüshasıdır ve basılı sayfa numaralarını göstermemektedir. İçindekiler’e göre kural s. 23’te başlamaktadır; basılı nüshadan kontrol edilmelidir. Metin içindeki Türkçe aktarım yazara aittir.]</w:t>
      </w:r>
    </w:p>
    <w:p>
      <w:pPr>
        <w:pStyle w:val="Heading2"/>
        <w:keepNext/>
        <w:spacing w:after="120" w:before="240"/>
      </w:pPr>
      <w:r>
        <w:rPr>
          <w:rFonts w:ascii="Times New Roman" w:cs="Traditional Arabic" w:eastAsia="Times New Roman" w:hAnsi="Times New Roman"/>
          <w:b/>
          <w:bCs/>
          <w:i w:val="false"/>
          <w:sz w:val="24"/>
          <w:szCs w:val="24"/>
        </w:rPr>
        <w:t xml:space="preserve">14.7. Din Eğitimi Uygulaması: Katılımcı Sözlerinin Aktarılması ve Kimliklerin Gizlenmesi</w:t>
      </w:r>
    </w:p>
    <w:p>
      <w:pPr>
        <w:spacing w:after="120" w:line="360"/>
        <w:ind w:firstLine="567"/>
        <w:jc w:val="both"/>
      </w:pPr>
      <w:r>
        <w:rPr>
          <w:rFonts w:ascii="Times New Roman" w:cs="Traditional Arabic" w:eastAsia="Times New Roman" w:hAnsi="Times New Roman"/>
          <w:i w:val="false"/>
          <w:sz w:val="24"/>
          <w:szCs w:val="24"/>
        </w:rPr>
        <w:t xml:space="preserve">Aşağıdaki kurgusal rapor parçası, bu bölümde ele alınan ilkelerin bir arada nasıl uygulanabileceğini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Bir bulgu paragrafı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Tema 2: “Hocam dinlerken”: Ders verme anının duygusal yükü</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Görüşülen on iki çocuğun dokuzu, ezberlerini öğreticiye okudukları anı kaygı ile sevincin iç içe geçtiği bir an olarak anlatmıştır. Ö4 kodlu katılımcı bu anı şöyle ifade etmiştir:</w:t>
      </w:r>
    </w:p>
    <w:p>
      <w:pPr>
        <w:shd w:fill="F2F2F2" w:color="auto" w:val="clear"/>
        <w:spacing w:after="60" w:line="300"/>
        <w:ind w:left="794" w:right="454"/>
        <w:jc w:val="both"/>
      </w:pPr>
      <w:r>
        <w:rPr>
          <w:rFonts w:ascii="Times New Roman" w:cs="Traditional Arabic" w:eastAsia="Times New Roman" w:hAnsi="Times New Roman"/>
          <w:i/>
          <w:iCs/>
          <w:sz w:val="22"/>
          <w:szCs w:val="22"/>
        </w:rPr>
        <w:t xml:space="preserve">“Hocam dinlerken kalbim hızlı atıyor [...] ama bitince çok seviniyorum, sanki bayram gibi oluyor.” (Ö4, 10 yaş)</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Ö7 kodlu katılımcı ise bu anın kendisi için yalnızca kaygı verici olduğunu, “bayram” benzetmesine katılmadığını söylemiştir. Katılımcının anlattığına göre ezberini unuttuğu bir gün arkadaşlarının önünde mahcup olmuş ve o günden sonra ders vermeden önceki geceleri uyuyamamıştır. Bu anlatım, temaya uymayan bir durum olarak ayrıca raporlanmaktadır.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Araştırmacının yorumu: Çocukların ders verme anına yükledikleri anlam, öğreticinin o andaki tepkisiyle yakından ilişkili görünmektedir. Bu yorum yalnızca bu kursun çocuklarının anlatımlarına dayanmaktadır.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Notlar: Alıntıdaki köşeli ayraçlı üç nokta, çocuğun sözünün anlamını değiştirmeyen bir tekrarın çıkarıldığını göstermektedir. Ö7'nin anlatımı özetlenerek aktarılmış ve bu durum “katılımcının anlattığına göre” ifadesiyle belirtilmiştir. Kursun bulunduğu ilçe ve cami adı, kimliklerin anlaşılmaması için raporda verilmemiştir.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örnekte doğrudan alıntı ile özetleme ayrılmış, kısaltma işaretlenmiş, araştırmacının yorumu katılımcının sözünden ayrı bir başlık altında verilmiş, temaya uymayan anlatım saklanmamış ve kimlikler gizlenmiştir. Yıldırım ve Şimşek doküman incelemesi için, bir dokümanda adı geçen ya da konu edilen kişi, grup ya da kurumların isimlerinin gizli tutulmasını, raporda kullanılacaksa gerçek isimler yerine takma isimler kullanılmasını istemektedir.</w:t>
      </w:r>
      <w:r>
        <w:rPr>
          <w:rStyle w:val="FootnoteReference"/>
        </w:rPr>
        <w:footnoteReference w:id="44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aynı ölçü görüşme ve gözlem verileri için de geçerlidir. Bu ilkelerin her biri, klasik rivayet usulünün söze ve onun aktarılmasına gösterdiği titizliğin katılımcı sözüne uygulanması olarak görülebilir.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280. dipnottaki doğrulama bloğunda verilmiştir.]</w:t>
      </w:r>
    </w:p>
    <w:p>
      <w:pPr>
        <w:keepNext/>
        <w:spacing w:after="80" w:before="200"/>
      </w:pPr>
      <w:r>
        <w:rPr>
          <w:rFonts w:ascii="Times New Roman" w:cs="Traditional Arabic" w:eastAsia="Times New Roman" w:hAnsi="Times New Roman"/>
          <w:b/>
          <w:bCs/>
          <w:i w:val="false"/>
          <w:sz w:val="22"/>
          <w:szCs w:val="22"/>
        </w:rPr>
        <w:t xml:space="preserve">Tablo 14.1. On dördüncü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1103"/>
        <w:gridCol w:w="1225"/>
        <w:gridCol w:w="1348"/>
        <w:gridCol w:w="1593"/>
        <w:gridCol w:w="1961"/>
        <w:gridCol w:w="1838"/>
      </w:tblGrid>
      <w:tr>
        <w:trPr>
          <w:cantSplit/>
          <w:tblHeader/>
        </w:trPr>
        <w:tc>
          <w:tcPr>
            <w:tcW w:type="dxa" w:w="110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122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34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59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1961"/>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83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Raporun işlevi</w:t>
            </w:r>
          </w:p>
        </w:tc>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Bilginin bulunmayana ve sonrakine ulaştırılması</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Târîh, 1/729 (Şamile 12320)</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Yazının sahada olmayana bilgi taşıması</w:t>
            </w:r>
          </w:p>
        </w:tc>
        <w:tc>
          <w:tcPr>
            <w:tcW w:type="dxa" w:w="196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ilmin telifini, rapor tecrübenin betimlenmesini konu edinir</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Raporun sahayı ayrıntılı betimlemesi</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Okurun aktarımı</w:t>
            </w:r>
          </w:p>
        </w:tc>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“Burada bulunan bulunmayana tebliğ etsin”</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Buhârî, Sahîhu'l-Buhârî, 1/242-243 (Şamile 1284)</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Okurun aktarılanı aktarandan daha iyi kavrayabilmesi</w:t>
            </w:r>
          </w:p>
        </w:tc>
        <w:tc>
          <w:tcPr>
            <w:tcW w:type="dxa" w:w="196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Rivayette tebliğ edilen bağlayıcı sözdür</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Raporun öğretmenlerin kendi bağlamlarında kullanabileceği biçimde yazılması</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Doğrudan alıntı ve özetleme</w:t>
            </w:r>
          </w:p>
        </w:tc>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Lafzen ve manen rivayet</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105, 213-215 (Şamile 22870)</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Lafzın korunması, özetlemenin yetkinlik ve işaret gerektirmesi</w:t>
            </w:r>
          </w:p>
        </w:tc>
        <w:tc>
          <w:tcPr>
            <w:tcW w:type="dxa" w:w="196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Hadiste lafız kutsiyet, araştırmada saygı ve doğruluk meselesidir</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Alıntıların değiştirilmemesi ve özetlerin işaretlenmesi</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Alıntının kısaltılması</w:t>
            </w:r>
          </w:p>
        </w:tc>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İhtisâr</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216 (Şamile 22870)</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Çıkarılan kısmın anlamı değiştirmemesi</w:t>
            </w:r>
          </w:p>
        </w:tc>
        <w:tc>
          <w:tcPr>
            <w:tcW w:type="dxa" w:w="196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kural hadis metnine, modern kural katılımcı sözüne uygulanır</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Köşeli ayraçlı kısaltma işareti</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 yorumunun alıntıya karışması</w:t>
            </w:r>
          </w:p>
        </w:tc>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İdrâc</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95 (Şamile 22870)</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Eklemenin asıl söze nispet edilmesinin önlenmesi</w:t>
            </w:r>
          </w:p>
        </w:tc>
        <w:tc>
          <w:tcPr>
            <w:tcW w:type="dxa" w:w="196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İdrâc rivayetin sıhhatini, rapordaki karışma yorumun şeffaflığını etkiler</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Araştırmacı açıklamalarının köşeli ayraçla verilmesi</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Birleşik alıntı ve birleşik karakter</w:t>
            </w:r>
          </w:p>
        </w:tc>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İki şeyhten işitilenin birleştirilmesi</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235-236 (Şamile 22870)</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Birleştirmenin ancak açıkça bildirilerek yapılabilmesi</w:t>
            </w:r>
          </w:p>
        </w:tc>
        <w:tc>
          <w:tcPr>
            <w:tcW w:type="dxa" w:w="196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kural râvilerin güvenilirliği, modern kural okurun yanıltılmaması içindir</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Birleşik kurgusal karakterlerin raporda bildirilmesi</w:t>
            </w:r>
          </w:p>
        </w:tc>
      </w:tr>
      <w:tr>
        <w:trPr>
          <w:cantSplit/>
        </w:trPr>
        <w:tc>
          <w:tcPr>
            <w:tcW w:type="dxa" w:w="110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Seçici raporlama</w:t>
            </w:r>
          </w:p>
        </w:tc>
        <w:tc>
          <w:tcPr>
            <w:tcW w:type="dxa" w:w="122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Tedlîs</w:t>
            </w:r>
          </w:p>
        </w:tc>
        <w:tc>
          <w:tcPr>
            <w:tcW w:type="dxa" w:w="134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73 (Şamile 22870)</w:t>
            </w:r>
          </w:p>
        </w:tc>
        <w:tc>
          <w:tcPr>
            <w:tcW w:type="dxa" w:w="159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Açık yalan söylemeden yanıltıcı izlenim uyandırma</w:t>
            </w:r>
          </w:p>
        </w:tc>
        <w:tc>
          <w:tcPr>
            <w:tcW w:type="dxa" w:w="1961"/>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Tedlîs isnad halkalarına, seçici raporlama verinin temsil gücüne dairdir</w:t>
            </w:r>
          </w:p>
        </w:tc>
        <w:tc>
          <w:tcPr>
            <w:tcW w:type="dxa" w:w="183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Temaya uymayan anlatımların da raporlanması</w:t>
            </w:r>
          </w:p>
        </w:tc>
      </w:tr>
    </w:tbl>
    <w:p>
      <w:pPr>
        <w:spacing w:after="160"/>
      </w:pPr>
    </w:p>
    <w:p>
      <w:pPr>
        <w:pageBreakBefore/>
        <w:spacing w:after="120" w:before="600"/>
        <w:jc w:val="center"/>
      </w:pPr>
      <w:r>
        <w:rPr>
          <w:rFonts w:ascii="Times New Roman" w:cs="Traditional Arabic" w:eastAsia="Times New Roman" w:hAnsi="Times New Roman"/>
          <w:b/>
          <w:bCs/>
          <w:i w:val="false"/>
          <w:color w:val="595959"/>
          <w:sz w:val="22"/>
          <w:szCs w:val="22"/>
        </w:rPr>
        <w:t xml:space="preserve">ON BEŞİNCİ BÖLÜM</w:t>
      </w:r>
    </w:p>
    <w:p>
      <w:pPr>
        <w:pStyle w:val="Heading1"/>
        <w:spacing w:after="360"/>
        <w:jc w:val="center"/>
      </w:pPr>
      <w:r>
        <w:rPr>
          <w:rFonts w:ascii="Times New Roman" w:cs="Traditional Arabic" w:eastAsia="Times New Roman" w:hAnsi="Times New Roman"/>
          <w:b/>
          <w:bCs/>
          <w:i w:val="false"/>
          <w:color w:val="1F3864"/>
          <w:sz w:val="28"/>
          <w:szCs w:val="28"/>
        </w:rPr>
        <w:t xml:space="preserve">15. Nitel Araştırma Sonuçlarının Din Eğitimine Katkısı</w:t>
      </w:r>
    </w:p>
    <w:p>
      <w:pPr>
        <w:spacing w:after="120" w:line="360"/>
        <w:ind w:firstLine="567"/>
        <w:jc w:val="both"/>
      </w:pPr>
      <w:r>
        <w:rPr>
          <w:rFonts w:ascii="Times New Roman" w:cs="Traditional Arabic" w:eastAsia="Times New Roman" w:hAnsi="Times New Roman"/>
          <w:i w:val="false"/>
          <w:sz w:val="24"/>
          <w:szCs w:val="24"/>
        </w:rPr>
        <w:t xml:space="preserve">Bir araştırma yöntemi sonunda şu soruyla karşı karşıya kalmaktadır: Bu araştırmalar, alanda çalışan insanların işine ne katmaktadır? Din eğitimi uygulamaya dönük bir alan olduğu için bu soru burada ayrı bir önem taşımaktadır. Bu bölümde nitel araştırma sonuçlarının bilime ve uygulamaya katkısının niteliği, bu katkının sınırları ve din eğitiminde program geliştirme, öğretmen yetiştirme ve politika alanlarına nasıl yansıyabileceği ele alınmaktadır. Klasik gelenekten ise İbn Haldûn'un öğretime dair gözlemleri, ilim ahlakı ve hisbe eserlerindeki öğretim ilkeleri ve bilginin ihtiyaç duyulduğunda paylaşılmasına dair bir ilke bu tartışmaya eşlik etmektedir.</w:t>
      </w:r>
    </w:p>
    <w:p>
      <w:pPr>
        <w:pStyle w:val="Heading2"/>
        <w:keepNext/>
        <w:spacing w:after="120" w:before="240"/>
      </w:pPr>
      <w:r>
        <w:rPr>
          <w:rFonts w:ascii="Times New Roman" w:cs="Traditional Arabic" w:eastAsia="Times New Roman" w:hAnsi="Times New Roman"/>
          <w:b/>
          <w:bCs/>
          <w:i w:val="false"/>
          <w:sz w:val="24"/>
          <w:szCs w:val="24"/>
        </w:rPr>
        <w:t xml:space="preserve">15.1. Katkının Niteliği: Kural Değil Deneyim</w:t>
      </w:r>
    </w:p>
    <w:p>
      <w:pPr>
        <w:spacing w:after="120" w:line="360"/>
        <w:ind w:firstLine="567"/>
        <w:jc w:val="both"/>
      </w:pPr>
      <w:r>
        <w:rPr>
          <w:rFonts w:ascii="Times New Roman" w:cs="Traditional Arabic" w:eastAsia="Times New Roman" w:hAnsi="Times New Roman"/>
          <w:i w:val="false"/>
          <w:sz w:val="24"/>
          <w:szCs w:val="24"/>
        </w:rPr>
        <w:t xml:space="preserve">Yıldırım ve Şimşek nitel araştırmanın bilime katkılarının nicel araştırmanın katkılarından bir dereceye kadar farklı olduğunu ve bu iki araştırma yönteminin katkılarının birbirini tamamlayıcı olabileceğini belirtmektedir.</w:t>
      </w:r>
      <w:r>
        <w:rPr>
          <w:rStyle w:val="FootnoteReference"/>
        </w:rPr>
        <w:footnoteReference w:id="44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nitel araştırmada uygulamaya yönelik sonuçlar, nicel araştırmalarda olduğu gibi kurallar ya da ilkeler biçiminde değildir. Sonuçlar uygulayıcılar için daha çok deneyim ve bakış açısı niteliği taşımaktadır ve nitel araştırma uygulayıcılara doğrudan ne yapmaları gerektiğine dair genellenebilir kurallar sunmayı amaçlamamaktadır.</w:t>
      </w:r>
      <w:r>
        <w:rPr>
          <w:rStyle w:val="FootnoteReference"/>
        </w:rPr>
        <w:footnoteReference w:id="44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Bununla birlikte yazarlar doğrudan genelleme mümkün olmasa da nitel araştırma sonuçlarından hareketle sınırlı genellemeler yapılabileceğini de kabul etmektedir.</w:t>
      </w:r>
      <w:r>
        <w:rPr>
          <w:rStyle w:val="FootnoteReference"/>
        </w:rPr>
        <w:footnoteReference w:id="44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“Görülebileceği gibi, nitel araştırmanın bu yöndeki katkıları, nicel araştırmanın katkılarından bir dereceye kadar farklıdır ve bu iki araştırma yönteminin katkıları birbirini tamamlayıcı olabilir.”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[309], PDF s. 307] Not: 309 numaralı sayfada basılı sayfa numarası görünmemektedir (bölüm açılış sayfası). Köşeli ayraç içindeki numara, önceki ve sonraki sayfaların basılı numaralarından çıkarılmıştır.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84. dipnottaki doğrulama bloğunda verilmiştir.]</w:t>
      </w:r>
    </w:p>
    <w:p>
      <w:pPr>
        <w:pStyle w:val="Dogrulama"/>
        <w:spacing w:after="20" w:line="276"/>
        <w:ind w:left="567"/>
        <w:jc w:val="both"/>
      </w:pPr>
      <w:r>
        <w:rPr>
          <w:rFonts w:ascii="Times New Roman" w:cs="Traditional Arabic" w:eastAsia="Times New Roman" w:hAnsi="Times New Roman"/>
          <w:i/>
          <w:iCs/>
          <w:sz w:val="22"/>
          <w:szCs w:val="22"/>
        </w:rPr>
        <w:t xml:space="preserve">“Doğrudan genelleme olası olmamakla birlikte, nitel araştırma sonuçlarından yola çıkarak sınırlı genellemeler yapmak mümkündür.”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90, PDF s. 88]</w:t>
      </w:r>
    </w:p>
    <w:p>
      <w:pPr>
        <w:spacing w:after="120" w:line="360"/>
        <w:ind w:firstLine="567"/>
        <w:jc w:val="both"/>
      </w:pPr>
      <w:r>
        <w:rPr>
          <w:rFonts w:ascii="Times New Roman" w:cs="Traditional Arabic" w:eastAsia="Times New Roman" w:hAnsi="Times New Roman"/>
          <w:i w:val="false"/>
          <w:sz w:val="24"/>
          <w:szCs w:val="24"/>
        </w:rPr>
        <w:t xml:space="preserve">Yazarlar nitel araştırmanın uygulamaya katkısının merkezini de şöyle tanımlamaktadır: Nitel araştırmanın temel amaçlarından biri bir olayın ya da olgunun neden ve nasıl oluştuğuna dair açıklamalar ortaya koymaktır. Uygulayıcılar bir olayın nasıl gerçekleştiğine ve hangi süreci izlediğine dair ayrıntılı bir bakış açısı geliştirebilirse, buradan hareketle uygulamanın daha etkili ve verimli olmasına katkıda bulunabilirler.</w:t>
      </w:r>
      <w:r>
        <w:rPr>
          <w:rStyle w:val="FootnoteReference"/>
        </w:rPr>
        <w:footnoteReference w:id="44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Yazarların ifadesiyle nitel araştırmanın uygulamaya getirdiği temel katkı, uygulayıcıya yeni deneyimler kazandırmak ve hâlihazırda yapmakta olduğu işe dair çeşitli düzeylerde örnekler ortaya koymaktır.</w:t>
      </w:r>
      <w:r>
        <w:rPr>
          <w:rStyle w:val="FootnoteReference"/>
        </w:rPr>
        <w:footnoteReference w:id="445"/>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araştırmanın temel amaçlarından birisi, bir olayın ya da olgunun neden ve nasıl oluştuğuna ya da anlaşıldığına ilişkin açıklamalar ortaya koymaktır. Eğer biz uygulayıcılar olarak, bir olayın nasıl gerçekleştiğine ve ne tür bir süreç izlediğine ilişkin ayrıntılı ve derinlemesine bir bakış açısı geliştirebilirsek, buradan yola çıkarak uygulamanın daha etkili ve verimli olmasına katkıda bulunabiliriz.”</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312-313, PDF s. 310-311]</w:t>
      </w:r>
    </w:p>
    <w:p>
      <w:pPr>
        <w:pStyle w:val="Dogrulama"/>
        <w:spacing w:after="20" w:line="276"/>
        <w:ind w:left="567"/>
        <w:jc w:val="both"/>
      </w:pPr>
      <w:r>
        <w:rPr>
          <w:rFonts w:ascii="Times New Roman" w:cs="Traditional Arabic" w:eastAsia="Times New Roman" w:hAnsi="Times New Roman"/>
          <w:i/>
          <w:iCs/>
          <w:sz w:val="22"/>
          <w:szCs w:val="22"/>
        </w:rPr>
        <w:t xml:space="preserve">“İşte nitel araştırmanın uygulamaya getirdiği temel katkı budur: uygulayıcıya yeni deneyimler kazandırmak ve hâlihazırda yapmakta olduğu işe ilişkin çeşitli düzeylerde örnekler ortaya koymak.”</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313, PDF s. 311]</w:t>
      </w:r>
    </w:p>
    <w:p>
      <w:pPr>
        <w:spacing w:after="120" w:line="360"/>
        <w:ind w:firstLine="567"/>
        <w:jc w:val="both"/>
      </w:pPr>
      <w:r>
        <w:rPr>
          <w:rFonts w:ascii="Times New Roman" w:cs="Traditional Arabic" w:eastAsia="Times New Roman" w:hAnsi="Times New Roman"/>
          <w:i w:val="false"/>
          <w:sz w:val="24"/>
          <w:szCs w:val="24"/>
        </w:rPr>
        <w:t xml:space="preserve">Bu katkının sınırları da açıktır. Yıldırım ve Şimşek, örneğin sınıf disiplini üzerine yapılan bir araştırmanın sonuçlarının aynı düzeydeki benzer sınıfların öğretmenleri tarafından doğrudan kendi durumlarına uygulanmasının beklenmemesi gerektiğini belirtmektedir.</w:t>
      </w:r>
      <w:r>
        <w:rPr>
          <w:rStyle w:val="FootnoteReference"/>
        </w:rPr>
        <w:footnoteReference w:id="44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araştırma sonuçlarını bir kurallar bütünü olarak görmeye alışmış kişiler nitel araştırma sonuçlarından fazla yararlanamayacaktır, çünkü nitel araştırma belli olgulara dair kurallar ortaya koymayı amaç edinmemektedir ve böyle bir yaklaşım onun temel varsayımlarına da aykırıdır.</w:t>
      </w:r>
      <w:r>
        <w:rPr>
          <w:rStyle w:val="FootnoteReference"/>
        </w:rPr>
        <w:footnoteReference w:id="44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nedenle nitel araştırma sonuçlarının kullanılması, uygulayıcıların işlerine ve çalıştıkları ortamlara karşı daha esnek, eleştirel ve yapıcı bir tavır geliştirmelerine imkân verebilir.</w:t>
      </w:r>
      <w:r>
        <w:rPr>
          <w:rStyle w:val="FootnoteReference"/>
        </w:rPr>
        <w:footnoteReference w:id="448"/>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“Örneğin sınıf disiplini ile ilgili bir araştırmanın sonuçlarını, aynı düzeydeki benzer sınıfların öğretmenlerinin doğrudan kendi durumlarına uygulaması beklenmemelidir.”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314, PDF s. 312]</w:t>
      </w:r>
    </w:p>
    <w:p>
      <w:pPr>
        <w:pStyle w:val="Dogrulama"/>
        <w:spacing w:after="20" w:line="276"/>
        <w:ind w:left="567"/>
        <w:jc w:val="both"/>
      </w:pPr>
      <w:r>
        <w:rPr>
          <w:rFonts w:ascii="Times New Roman" w:cs="Traditional Arabic" w:eastAsia="Times New Roman" w:hAnsi="Times New Roman"/>
          <w:i/>
          <w:iCs/>
          <w:sz w:val="22"/>
          <w:szCs w:val="22"/>
        </w:rPr>
        <w:t xml:space="preserve">“Araştırma sonuçlarını bir kurallar bütünü olarak görmeye alışmış bireylerin, nitel araştırma sonuçlarından fazla yararlanamayacağı ortadadır. Çünkü nitel araştırma, belirli olgulara ilişkin kurallar ortaya koymayı amaç edinmez, dahası bu tür bir yaklaşım nitel araştırmanın temel varsayımlarına da aykırıdır.”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314-315, PDF s. 312-313]</w:t>
      </w:r>
    </w:p>
    <w:p>
      <w:pPr>
        <w:pStyle w:val="Dogrulama"/>
        <w:spacing w:after="20" w:line="276"/>
        <w:ind w:left="567"/>
        <w:jc w:val="both"/>
      </w:pPr>
      <w:r>
        <w:rPr>
          <w:rFonts w:ascii="Times New Roman" w:cs="Traditional Arabic" w:eastAsia="Times New Roman" w:hAnsi="Times New Roman"/>
          <w:i/>
          <w:iCs/>
          <w:sz w:val="22"/>
          <w:szCs w:val="22"/>
        </w:rPr>
        <w:t xml:space="preserve">“Öyleyse, nitel araştırma sonuçları ve bunların uygulamada kullanılması, uygulayıcıların işlerine ve çalıştıkları ortamlara yönelik daha esnek, eleştirel ve yapıcı bir tavır geliştirmelerine olanak verebilir.”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315, PDF s. 313]</w:t>
      </w:r>
    </w:p>
    <w:p>
      <w:pPr>
        <w:spacing w:after="120" w:line="360"/>
        <w:ind w:firstLine="567"/>
        <w:jc w:val="both"/>
      </w:pPr>
      <w:r>
        <w:rPr>
          <w:rFonts w:ascii="Times New Roman" w:cs="Traditional Arabic" w:eastAsia="Times New Roman" w:hAnsi="Times New Roman"/>
          <w:i w:val="false"/>
          <w:sz w:val="24"/>
          <w:szCs w:val="24"/>
        </w:rPr>
        <w:t xml:space="preserve">Bu yaklaşım din eğitimcisi için önemli bir zihniyet değişikliğini gerektirmektedir. Din eğitimi alanında uygulayıcılar “ne yapmalıyım” sorusuna kesin bir cevap bekleyebilir. Nitel araştırma ise bu soruya bir reçete ile değil, “benzer bir durumda başkaları ne yaşadı ve bundan ne öğrenebilirim” sorusuna bir cevapla katkıda bulunmaktadır. On ikinci bölümde ele alınan Gazzâlî'nin iʿtibâr tanımı, yani zikredilenden başkasına geçmek,</w:t>
      </w:r>
      <w:r>
        <w:rPr>
          <w:rStyle w:val="FootnoteReference"/>
        </w:rPr>
        <w:footnoteReference w:id="44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katkı biçiminin klasik bir ifadesi olarak hatırlanabilir.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383.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15.2. Gözleme Dayanan Öğretim İlkeleri: İbn Haldûn</w:t>
      </w:r>
    </w:p>
    <w:p>
      <w:pPr>
        <w:spacing w:after="120" w:line="360"/>
        <w:ind w:firstLine="567"/>
        <w:jc w:val="both"/>
      </w:pPr>
      <w:r>
        <w:rPr>
          <w:rFonts w:ascii="Times New Roman" w:cs="Traditional Arabic" w:eastAsia="Times New Roman" w:hAnsi="Times New Roman"/>
          <w:i w:val="false"/>
          <w:sz w:val="24"/>
          <w:szCs w:val="24"/>
        </w:rPr>
        <w:t xml:space="preserve">Klasik gelenekte öğretime dair hükümlerini açıkça gözleme ve istikrâya dayandıran müelliflerden biri İbn Haldûn'dur. İbn Haldûn ilimlerin öğrencilere telkininin ancak tedricen, azar azar ve yavaş yavaş olduğunda faydalı olacağını, öğrenciye önce her babın esası olan meselelerin verilmesini ve bunların açıklanmasında özetleme yoluyla ona yaklaşılmasını öğütlemektedir.</w:t>
      </w:r>
      <w:r>
        <w:rPr>
          <w:rStyle w:val="FootnoteReference"/>
        </w:rPr>
        <w:footnoteReference w:id="45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ilkeyi kendi gözlemiyle desteklemektedir. Kendi döneminin muallimlerinden pek çoğunun öğretim yollarını ve faydalarını bilmediğini ve öğrenciye talimin başında ilmin kapalı meselelerini getirdiklerini gördüğünü söylemektedir.</w:t>
      </w:r>
      <w:r>
        <w:rPr>
          <w:rStyle w:val="FootnoteReference"/>
        </w:rPr>
        <w:footnoteReference w:id="451"/>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“اعلم أنّ تلقين العلوم للمتعلّمين إنّما يكون مفيدا إذا كان على التّدريج شيئا فشيئا وقليلا قليلا يلقى عليه أوّلا مسائل من كلّ باب من الفنّ هي أصول ذلك الباب. ويقرّب له في شرحها على سبيل الإجمال”</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732, basılı cilt/sayfa 1/734]</w:t>
      </w:r>
    </w:p>
    <w:p>
      <w:pPr>
        <w:pStyle w:val="DogrulamaAR"/>
        <w:bidi/>
        <w:spacing w:after="20" w:line="300"/>
        <w:ind w:end="567"/>
        <w:jc w:val="both"/>
      </w:pPr>
      <w:r>
        <w:rPr>
          <w:rFonts w:ascii="Times New Roman" w:cs="Traditional Arabic" w:eastAsia="Times New Roman" w:hAnsi="Times New Roman"/>
          <w:i/>
          <w:iCs/>
          <w:sz w:val="24"/>
          <w:szCs w:val="30"/>
          <w:rtl/>
        </w:rPr>
        <w:t xml:space="preserve">“وقد شاهدنا كثيرا من المعلّمين لهذا العهد الّذي أدركنا يجهلون طرق التّعليم وإفاداته ويحضرون للمتعلّم في أوّل تعليمه المسائل المقفلة من العلم”</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732, basılı cilt/sayfa 1/734]</w:t>
      </w:r>
    </w:p>
    <w:p>
      <w:pPr>
        <w:spacing w:after="120" w:line="360"/>
        <w:ind w:firstLine="567"/>
        <w:jc w:val="both"/>
      </w:pPr>
      <w:r>
        <w:rPr>
          <w:rFonts w:ascii="Times New Roman" w:cs="Traditional Arabic" w:eastAsia="Times New Roman" w:hAnsi="Times New Roman"/>
          <w:i w:val="false"/>
          <w:sz w:val="24"/>
          <w:szCs w:val="24"/>
        </w:rPr>
        <w:t xml:space="preserve">İbn Haldûn öğretimde sert davranmanın sonuçlarına dair de dikkat çekici bir tespitte bulunmaktadır. Ona göre öğretimde şiddet öğrenciye, özellikle küçük çocuklara zarar vermektedir. Baskı ve zorla yetiştirilen kimseye baskı hâkim olmakta, nefsinin genişliğini daraltmakta, neşesini gidermekte, onu tembelliğe sevk etmekte ve onu yalana ve kötülüğe, yani baskıya maruz kalma korkusuyla içindekinden başkasını göstermeye sürüklemektedir.</w:t>
      </w:r>
      <w:r>
        <w:rPr>
          <w:rStyle w:val="FootnoteReference"/>
        </w:rPr>
        <w:footnoteReference w:id="45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İbn Haldûn bu hükmünün dayanağını da göstermektedir. Ona göre baskı altına giren her millette durum böyle olmuştur ve bu durum onlarda istikrâ yoluyla bulunabilmektedir.</w:t>
      </w:r>
      <w:r>
        <w:rPr>
          <w:rStyle w:val="FootnoteReference"/>
        </w:rPr>
        <w:footnoteReference w:id="453"/>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“وذلك أنّ إرهاف الحدّ بالتّعليم مضرّ بالمتعلّم سيّما في أصاغر الولد لأنّه من سوء الملكة. ومن كان مرباه بالعسف والقهر من المتعلّمين أو المماليك أو الخدم سطا به القهر وضيّق عن النّفس في انبساطها وذهب بنشاطها ودعاه إلى الكسل وحمل على الكذب والخبث وهو التّظاهر بغير ما في ضميره خوفا من انبساط الأيدي بالقهر عليه”</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741, basılı cilt/sayfa 1/743]</w:t>
      </w:r>
    </w:p>
    <w:p>
      <w:pPr>
        <w:pStyle w:val="DogrulamaAR"/>
        <w:bidi/>
        <w:spacing w:after="20" w:line="300"/>
        <w:ind w:end="567"/>
        <w:jc w:val="both"/>
      </w:pPr>
      <w:r>
        <w:rPr>
          <w:rFonts w:ascii="Times New Roman" w:cs="Traditional Arabic" w:eastAsia="Times New Roman" w:hAnsi="Times New Roman"/>
          <w:i/>
          <w:iCs/>
          <w:sz w:val="24"/>
          <w:szCs w:val="30"/>
          <w:rtl/>
        </w:rPr>
        <w:t xml:space="preserve">“وهكذا وقع لكلّ أمّة حصلت في قبضة القهر ونال منها العسف واعتبره في كلّ من يملك أمره عليه. ولا تكون الملكة الكافلة له رفيقة به. وتجد ذلك فيهم استقراء”</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12320, page_id 741, basılı cilt/sayfa 1/743]</w:t>
      </w:r>
    </w:p>
    <w:p>
      <w:pPr>
        <w:spacing w:after="120" w:line="360"/>
        <w:ind w:firstLine="567"/>
        <w:jc w:val="both"/>
      </w:pPr>
      <w:r>
        <w:rPr>
          <w:rFonts w:ascii="Times New Roman" w:cs="Traditional Arabic" w:eastAsia="Times New Roman" w:hAnsi="Times New Roman"/>
          <w:i w:val="false"/>
          <w:sz w:val="24"/>
          <w:szCs w:val="24"/>
        </w:rPr>
        <w:t xml:space="preserve">Bu metinler iki bakımdan dikkat çekicidir. Birincisi, İbn Haldûn eğitime dair önerilerini “gördük” ve “istikrâ ile bulursun” gibi ifadelerle gözlem ve tümevarıma dayandırmaktadır. Bu tutum, eğitim önerilerinin tecrübeden beslenmesi gerektiği düşüncesinin klasik bir örneğidir. İkincisi, onun sert öğretimin öğrencide içindekinden başkasını gösterme haline yol açtığına dair tespiti, din eğitimcisi için doğrudan bir anlam taşımaktadır. Korku ve baskıya dayanan bir din eğitimi, öğrencide samimi bir benimseme yerine dış görünüşte bir uyum üretebilir. Nitel araştırma, öğrencilerin dinî tecrübelerini kendi dilleriyle anlatmalarına imkân vererek, dışa vurulan uyum ile iç dünyadaki tecrübe arasındaki bu mesafeyi görünür kılabilecek bir yoldur.</w:t>
      </w:r>
    </w:p>
    <w:p>
      <w:pPr>
        <w:spacing w:after="120" w:line="360"/>
        <w:ind w:firstLine="567"/>
        <w:jc w:val="both"/>
      </w:pPr>
      <w:r>
        <w:rPr>
          <w:rFonts w:ascii="Times New Roman" w:cs="Traditional Arabic" w:eastAsia="Times New Roman" w:hAnsi="Times New Roman"/>
          <w:i w:val="false"/>
          <w:sz w:val="24"/>
          <w:szCs w:val="24"/>
        </w:rPr>
        <w:t xml:space="preserve">İbn Haldûn'un gözlemleri ile nitel araştırma arasındaki farklar da kaydedilmelidir. İbn Haldûn'un “gördük” dediği şeyin nasıl gözlendiği, kimlerin gözlendiği ve gözlemlerin nasıl kaydedildiği metinde yer almamaktadır. Onun istikrâsı da bütün milletlere uzanan geniş bir genellemeye varmaktadır. Nitel araştırma ise gözlemin nasıl yapıldığını ayrıntılı biçimde göstermeyi ve vardığı yorumun sınırlarını belirtmeyi gerektirmektedir. Kanaatimizce İbn Haldûn'un örneği, eğitime dair hükümlerin tecrübeye dayanması gerektiği konusunda bir öncü tutumu temsil etmekte, fakat bu tecrübenin nasıl toplandığını gösterme yükümlülüğü modern nitel araştırmanın kendine has katkısı olarak kalmaktadır.</w:t>
      </w:r>
    </w:p>
    <w:p>
      <w:pPr>
        <w:pStyle w:val="Heading2"/>
        <w:keepNext/>
        <w:spacing w:after="120" w:before="240"/>
      </w:pPr>
      <w:r>
        <w:rPr>
          <w:rFonts w:ascii="Times New Roman" w:cs="Traditional Arabic" w:eastAsia="Times New Roman" w:hAnsi="Times New Roman"/>
          <w:b/>
          <w:bCs/>
          <w:i w:val="false"/>
          <w:sz w:val="24"/>
          <w:szCs w:val="24"/>
        </w:rPr>
        <w:t xml:space="preserve">15.3. Program Geliştirmeye Katkı</w:t>
      </w:r>
    </w:p>
    <w:p>
      <w:pPr>
        <w:spacing w:after="120" w:line="360"/>
        <w:ind w:firstLine="567"/>
        <w:jc w:val="both"/>
      </w:pPr>
      <w:r>
        <w:rPr>
          <w:rFonts w:ascii="Times New Roman" w:cs="Traditional Arabic" w:eastAsia="Times New Roman" w:hAnsi="Times New Roman"/>
          <w:i w:val="false"/>
          <w:sz w:val="24"/>
          <w:szCs w:val="24"/>
        </w:rPr>
        <w:t xml:space="preserve">Nitel araştırma sonuçları din eğitimi programlarının geliştirilmesine özellikle öğrencilerin dünyasını programa taşıyarak katkıda bulunabilir. Bir programın hedefleri ile öğrencilerin o hedefleri nasıl anladığı ve yaşadığı arasındaki mesafe, ancak öğrencilerin kendi anlatımlarıyla görünür hale gelmektedir. On birinci bölümdeki kurgusal örnekte görülen “kıssadan hayata, hayattan kıssaya” teması, bir program geliştiriciye değerler eğitimi ünitelerinde öğrencilerin kendi hayat durumlarından başlayan etkinliklere yer verilmesi yönünde bir fikir verebilir.</w:t>
      </w:r>
    </w:p>
    <w:p>
      <w:pPr>
        <w:spacing w:after="120" w:line="360"/>
        <w:ind w:firstLine="567"/>
        <w:jc w:val="both"/>
      </w:pPr>
      <w:r>
        <w:rPr>
          <w:rFonts w:ascii="Times New Roman" w:cs="Traditional Arabic" w:eastAsia="Times New Roman" w:hAnsi="Times New Roman"/>
          <w:i w:val="false"/>
          <w:sz w:val="24"/>
          <w:szCs w:val="24"/>
        </w:rPr>
        <w:t xml:space="preserve">Bir hisbe eseri olan </w:t>
      </w:r>
      <w:r>
        <w:rPr>
          <w:rFonts w:ascii="Times New Roman" w:cs="Traditional Arabic" w:eastAsia="Times New Roman" w:hAnsi="Times New Roman"/>
          <w:i/>
          <w:iCs/>
          <w:sz w:val="24"/>
          <w:szCs w:val="24"/>
        </w:rPr>
        <w:t xml:space="preserve">Meâlimü'l-kurbe</w:t>
      </w:r>
      <w:r>
        <w:rPr>
          <w:rFonts w:ascii="Times New Roman" w:cs="Traditional Arabic" w:eastAsia="Times New Roman" w:hAnsi="Times New Roman"/>
          <w:i w:val="false"/>
          <w:sz w:val="24"/>
          <w:szCs w:val="24"/>
        </w:rPr>
        <w:t xml:space="preserve">'deki öğretim ilkeleri de bu açıdan anlamlıdır. İbnü'l-Uhuvve, müeddibin küçük çocuğa yumuşak davranmasını, harfleri tanımada ve onları harekeleriyle zabtetmede mahir olduktan sonra ona kısa sureleri öğretmesini ve onu tabiatı alışıncaya kadar tedricen ilerletmesini istemektedir.</w:t>
      </w:r>
      <w:r>
        <w:rPr>
          <w:rStyle w:val="FootnoteReference"/>
        </w:rPr>
        <w:footnoteReference w:id="45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ilke, İbn Haldûn'un tedric ilkesiyle birlikte düşünüldüğünde, öğrencinin hazır bulunuşluğunu gözeten bir program anlayışını ifade etmektedir. Nitel araştırma, bu hazır bulunuşluğun belli bir yaş grubunda ve belli bir ortamda neye karşılık geldiğini, çocukların kendi tecrübeleri üzerinden somutlaştırabilir. Ancak klasik metinlerdeki ilkeler normatiftir, yani nasıl olması gerektiğini söylemektedir. Nitel araştırma ise var olanı anlamaya yöneliktir ve normatif bir ilkenin uygulamada nasıl karşılandığını gösterebilir.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258.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15.4. Öğretmen Yetiştirmeye Katkı</w:t>
      </w:r>
    </w:p>
    <w:p>
      <w:pPr>
        <w:spacing w:after="120" w:line="360"/>
        <w:ind w:firstLine="567"/>
        <w:jc w:val="both"/>
      </w:pPr>
      <w:r>
        <w:rPr>
          <w:rFonts w:ascii="Times New Roman" w:cs="Traditional Arabic" w:eastAsia="Times New Roman" w:hAnsi="Times New Roman"/>
          <w:i w:val="false"/>
          <w:sz w:val="24"/>
          <w:szCs w:val="24"/>
        </w:rPr>
        <w:t xml:space="preserve">Nitel araştırmanın öğretmen yetiştirmeye katkısı iki yönlüdür. Birincisi, nitel araştırma sonuçları öğretmen adaylarına sınıfın ve kursun gerçekliğine dair zengin örnekler sunmaktadır. İkincisi, nitel araştırma yöntemlerinin kendisi, özellikle eylem araştırması, öğretmenin kendi uygulamasını inceleme ve geliştirme aracına dönüşebilmektedir. Yıldırım ve Şimşek, eylem araştırmasının öğretmenlere kendi öğretim süreçlerine eleştirel bir gözle bakma, sorular belirleme, veri toplama, sonuçları analiz etme ve iyileştirmeye yönelik önlemler alma imkânı verdiğini belirtmektedir.</w:t>
      </w:r>
      <w:r>
        <w:rPr>
          <w:rStyle w:val="FootnoteReference"/>
        </w:rPr>
        <w:footnoteReference w:id="455"/>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172.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Klasik metinlerde öğretmenin kendi niyetini sorgulamasının örnekleri de bulunmaktadır. Beşinci bölümde ele alınan, Gazzâlî'nin kendi öğretimindeki niyeti sorgulaması</w:t>
      </w:r>
      <w:r>
        <w:rPr>
          <w:rStyle w:val="FootnoteReference"/>
        </w:rPr>
        <w:footnoteReference w:id="45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sorgulamanın dikkate değer bir örneğidir. İbnü'l-Uhuvve ise muallimde aranan nitelikleri sıralamaktadır. İbnü'l-Uhuvve muallimin salah, iffet ve emanet ehlinden olmasını, Kur'an'ı ezberlemiş, yazısı güzel ve hesap bilen biri olmasını şart koşmaktadır.</w:t>
      </w:r>
      <w:r>
        <w:rPr>
          <w:rStyle w:val="FootnoteReference"/>
        </w:rPr>
        <w:footnoteReference w:id="45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din eğitimi öğretmeni yetiştiren programlar, klasik geleneğin öğretmenin ahlakına ve niyetine dair hassasiyetini, nitel araştırmanın sağladığı yansıtıcı uygulama araçlarıyla bir araya getirebilir. Öğretmen adayı, bir yandan kendi niyetini ve tutumunu sorgulamayı, öte yandan kendi sınıfında veri toplayıp bu verileri yorumlamayı öğrenebilir.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173.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257.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15.5. Bilginin Paylaşılması ve Politika</w:t>
      </w:r>
    </w:p>
    <w:p>
      <w:pPr>
        <w:spacing w:after="120" w:line="360"/>
        <w:ind w:firstLine="567"/>
        <w:jc w:val="both"/>
      </w:pPr>
      <w:r>
        <w:rPr>
          <w:rFonts w:ascii="Times New Roman" w:cs="Traditional Arabic" w:eastAsia="Times New Roman" w:hAnsi="Times New Roman"/>
          <w:i w:val="false"/>
          <w:sz w:val="24"/>
          <w:szCs w:val="24"/>
        </w:rPr>
        <w:t xml:space="preserve">Nitel araştırmanın sonuçları ancak paylaşıldığında bir katkıya dönüşmektedir. İbnü's-Salâh hadis rivayet etmeye başlamak için uygun yaş meselesinde kendi görüşünü şöyle ifade etmektedir: Yanındaki bilgiye ihtiyaç duyulduğu zaman, hangi yaşta olursa olsun, onu rivayet etmeye ve yaymaya girişmesi müstehaptır.</w:t>
      </w:r>
      <w:r>
        <w:rPr>
          <w:rStyle w:val="FootnoteReference"/>
        </w:rPr>
        <w:footnoteReference w:id="45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ilke, kanaatimizce araştırma sonuçlarının paylaşılması için de geçerlidir. Genç bir araştırmacı da olsa, din eğitimi uygulamasında bir ihtiyaca cevap veren bulgulara sahip olan kişi, bu bulguları öğretmenlerle, kurumlarla ve politika yapıcılarla paylaşmalıdır. Paylaşım yalnızca akademik yayınla sınırlı kalmamalı, uygulayıcıların ulaşabileceği bir dille de yapılmalıdır.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AR"/>
        <w:bidi/>
        <w:spacing w:after="20" w:line="300"/>
        <w:ind w:end="567"/>
        <w:jc w:val="both"/>
      </w:pPr>
      <w:r>
        <w:rPr>
          <w:rFonts w:ascii="Times New Roman" w:cs="Traditional Arabic" w:eastAsia="Times New Roman" w:hAnsi="Times New Roman"/>
          <w:i/>
          <w:iCs/>
          <w:sz w:val="24"/>
          <w:szCs w:val="30"/>
          <w:rtl/>
        </w:rPr>
        <w:t xml:space="preserve">“وَالَّذِي نَقُولُهُ: إِنَّهُ مَتَى احْتِيجَ إِلَى مَا عِنْدَهُ اسْتُحِبَّ لَهُ التَّصَدِّي لِرِوَايَتِهِ، وَنَشْرِهِ، فِي أَيِّ سِنٍّ كَانَ،”</w:t>
      </w:r>
    </w:p>
    <w:p>
      <w:pPr>
        <w:pStyle w:val="Dogrulama"/>
        <w:spacing w:after="80" w:line="240"/>
        <w:ind w:left="567"/>
      </w:pPr>
      <w:r>
        <w:rPr>
          <w:rFonts w:ascii="Times New Roman" w:cs="Traditional Arabic" w:eastAsia="Times New Roman" w:hAnsi="Times New Roman"/>
          <w:i w:val="false"/>
          <w:color w:val="7F7F7F"/>
          <w:sz w:val="18"/>
          <w:szCs w:val="18"/>
        </w:rPr>
        <w:t xml:space="preserve">[Şamile kitap no. 22870, page_id 233, basılı s. 236]</w:t>
      </w:r>
    </w:p>
    <w:p>
      <w:pPr>
        <w:spacing w:after="120" w:line="360"/>
        <w:ind w:firstLine="567"/>
        <w:jc w:val="both"/>
      </w:pPr>
      <w:r>
        <w:rPr>
          <w:rFonts w:ascii="Times New Roman" w:cs="Traditional Arabic" w:eastAsia="Times New Roman" w:hAnsi="Times New Roman"/>
          <w:i w:val="false"/>
          <w:sz w:val="24"/>
          <w:szCs w:val="24"/>
        </w:rPr>
        <w:t xml:space="preserve">Politika alanında ise nitel araştırmanın katkısı daha dolaylıdır. Bir politika metni, bütün okullar ya da bütün kurslar için geçerli kurallar koymak durumunda kalabilir. Nitel araştırma ise belli bağlamlardaki tecrübeleri görünür kılmaktadır. Bu nedenle nitel araştırma, bir politikanın farklı bağlamlarda nasıl karşılandığını, hangi beklenmedik sonuçlar doğurduğunu ve uygulayıcıların onu nasıl yorumladığını göstererek politika yapıcılara değerli bir geri bildirim sunabilir.</w:t>
      </w:r>
    </w:p>
    <w:p>
      <w:pPr>
        <w:spacing w:after="120" w:line="360"/>
        <w:ind w:firstLine="567"/>
        <w:jc w:val="both"/>
      </w:pPr>
      <w:r>
        <w:rPr>
          <w:rFonts w:ascii="Times New Roman" w:cs="Traditional Arabic" w:eastAsia="Times New Roman" w:hAnsi="Times New Roman"/>
          <w:i w:val="false"/>
          <w:sz w:val="24"/>
          <w:szCs w:val="24"/>
        </w:rPr>
        <w:t xml:space="preserve">Bu noktada klasik metinlerden alınacak bir ders de vardır. İbnü'l-Hâc, yedinci bölümde görüldüğü gibi, kendi döneminde insanlarda dünyayı büyük, ahiret işini küçük görme halinin galip olduğunu tespit etmekte</w:t>
      </w:r>
      <w:r>
        <w:rPr>
          <w:rStyle w:val="FootnoteReference"/>
        </w:rPr>
        <w:footnoteReference w:id="45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 Kur'an okutan müeddibe dair bir tavsiyesini bu tespitten hareketle vermektedir.</w:t>
      </w:r>
      <w:r>
        <w:rPr>
          <w:rStyle w:val="FootnoteReference"/>
        </w:rPr>
        <w:footnoteReference w:id="46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tür genel tespitler, bir âlimin kendi dönemine dair kanaatini ifade etmektedir ve ahlaki bir uyarı olarak değerlidir. Ancak bir politika önerisinin dayanağı olarak kullanıldığında, bu tespitin hangi gözlemlere dayandığı sorulmalıdır. Nitel araştırmanın politikaya katkısı, bu tür genel kanaatlerin yerine belli bağlamlarda belli insanların tecrübesine dayanan ve sınırları açıkça belirtilmiş bulgular koyabilmesidir.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203.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204.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15.6. Nitel ve Nicel Araştırmanın Birlikte Kullanılması</w:t>
      </w:r>
    </w:p>
    <w:p>
      <w:pPr>
        <w:spacing w:after="120" w:line="360"/>
        <w:ind w:firstLine="567"/>
        <w:jc w:val="both"/>
      </w:pPr>
      <w:r>
        <w:rPr>
          <w:rFonts w:ascii="Times New Roman" w:cs="Traditional Arabic" w:eastAsia="Times New Roman" w:hAnsi="Times New Roman"/>
          <w:i w:val="false"/>
          <w:sz w:val="24"/>
          <w:szCs w:val="24"/>
        </w:rPr>
        <w:t xml:space="preserve">Nitel araştırmanın katkısını tartışırken onun nicel araştırmanın karşıtı olarak görülmemesi gerekmektedir. Yıldırım ve Şimşek nitel araştırma sonuçlarının nicel verilere derinlik, ayrıntı ve anlam kazandırmak amacıyla da etkili biçimde kullanılabileceğini, nicel yöntemlerin ise bir evrene ya da bir duruma dair bazı genel temaların bulunmasına imkân verdiğini belirtmektedir.</w:t>
      </w:r>
      <w:r>
        <w:rPr>
          <w:rStyle w:val="FootnoteReference"/>
        </w:rPr>
        <w:footnoteReference w:id="46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Yazarlara göre her nitel araştırmacı iki yöntemin birbirine sağlayacağı yararları iyi keşfetmeli, gerektiği yerde ve mümkün olduğu ölçüde araştırmasına her iki yöntemin kuramsal ve uygulamaya yönelik açılımlarını yansıtmalıdır.</w:t>
      </w:r>
      <w:r>
        <w:rPr>
          <w:rStyle w:val="FootnoteReference"/>
        </w:rPr>
        <w:footnoteReference w:id="462"/>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“Nitel araştırma sonuçları, nicel verilere derinlik, ayrıntı ve anlam kazandırmak amacıyla da çok etkili bir şekilde kullanılabilir. Nicel yöntemler, bir evrene veya bir duruma yönelik genel bazı temaların bulunmasına olanak verir.”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311, PDF s. 309]</w:t>
      </w:r>
    </w:p>
    <w:p>
      <w:pPr>
        <w:pStyle w:val="Dogrulama"/>
        <w:spacing w:after="20" w:line="276"/>
        <w:ind w:left="567"/>
        <w:jc w:val="both"/>
      </w:pPr>
      <w:r>
        <w:rPr>
          <w:rFonts w:ascii="Times New Roman" w:cs="Traditional Arabic" w:eastAsia="Times New Roman" w:hAnsi="Times New Roman"/>
          <w:i/>
          <w:iCs/>
          <w:sz w:val="22"/>
          <w:szCs w:val="22"/>
        </w:rPr>
        <w:t xml:space="preserve">“Öyleyse, her nitel araştırmacı, her iki araştırma yönteminin de birbirine sağlayacağı yararları iyi keşfetmeli, gerektiği yerde ve mümkün olduğu ölçüde araştırmasına her iki araştırma yönteminin kuramsal ve uygulamaya yönelik açılımlarını yansıtmalıdır.”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22e0e660-Ali_Y_ld_r_m_Hasan__im_ek_Sosyal_Bilimlerde_Nitel_Ara_t_rma_Y_ntemleri.pdf, basılı s. 311, PDF s. 309]</w:t>
      </w:r>
    </w:p>
    <w:p>
      <w:pPr>
        <w:spacing w:after="120" w:line="360"/>
        <w:ind w:firstLine="567"/>
        <w:jc w:val="both"/>
      </w:pPr>
      <w:r>
        <w:rPr>
          <w:rFonts w:ascii="Times New Roman" w:cs="Traditional Arabic" w:eastAsia="Times New Roman" w:hAnsi="Times New Roman"/>
          <w:i w:val="false"/>
          <w:sz w:val="24"/>
          <w:szCs w:val="24"/>
        </w:rPr>
        <w:t xml:space="preserve">Bu birliktelik bugün karma yöntem araştırması adıyla müstakil bir yaklaşım hâline gelmiştir. Creswell karma yöntemleri basitçe nicel ve nitel verilerin bir araya getirilmesi olarak görmemekte, iki veri türünün analiz edilip sonuçlarının birlikte yorumlanmasını, yani bütünleştirilmesini bu yaklaşımın ayırt edici özelliği saymaktadır.</w:t>
      </w:r>
      <w:r>
        <w:rPr>
          <w:rStyle w:val="FootnoteReference"/>
        </w:rPr>
        <w:footnoteReference w:id="46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Creswell üç temel desen tarif etmektedir. Yakınsayan desende nicel ve nitel veriler ayrı ayrı toplanıp analiz edilmekte ve sonuçlar birleştirilmektedir. Açıklayıcı ardışık desende önce nicel aşama yürütülmekte, ardından nicel sonuçları açıklamak için nitel bir çalışma yapılmaktadır, çünkü nicel sonuçlar genel eğilimleri gösterse de bu sonuçların nasıl oluştuğunu açıklamaya yetmemektedir. Keşfedici ardışık desende ise problem önce nitel veriyle keşfedilmekte, buradan bir veri toplama aracı ya da müdahale programı geliştirilmekte ve bu araç nicel bir aşamada sınanmaktadır.</w:t>
      </w:r>
      <w:r>
        <w:rPr>
          <w:rStyle w:val="FootnoteReference"/>
        </w:rPr>
        <w:footnoteReference w:id="464"/>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“Karma yöntemler, basitçe nicel ve nitel verilerin bir araya getirilmesi değildir. Nicel ve nitel veriyi bir araya getirmek iyi bir yol olabilir fakat nicel ve nitel verinin analiz edilip sonuçların bir arada yorumlanması durumunda ulaşılabilecek kadar güçlü sonuçlar ortaya koyamaz.”</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Karma Yöntem Araştırmalarına Giriş{John W. Creswell}(2021, Pegem Akademi Yayıncılık){116333257} libgen.li.pdf, basılı s. 2, PDF s. 22 (1. Bölüm, çev. Suat Çelik)]</w:t>
      </w:r>
    </w:p>
    <w:p>
      <w:pPr>
        <w:pStyle w:val="Dogrulama"/>
        <w:spacing w:after="20" w:line="276"/>
        <w:ind w:left="567"/>
        <w:jc w:val="both"/>
      </w:pPr>
      <w:r>
        <w:rPr>
          <w:rFonts w:ascii="Times New Roman" w:cs="Traditional Arabic" w:eastAsia="Times New Roman" w:hAnsi="Times New Roman"/>
          <w:i/>
          <w:iCs/>
          <w:sz w:val="22"/>
          <w:szCs w:val="22"/>
        </w:rPr>
        <w:t xml:space="preserve">“Birleştirme (çeşitleme) deseni nicel ve nitel verilerin ayrı toplanmasını ve analizini içermektedir. Birleştirme deseninin amacı nitel ve nicel araştırma verilerinin analizinden elde edilen sonuçları birleştirmektir.”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Karma Yöntem Araştırmalarına Giriş{John W. Creswell}(2021, Pegem Akademi Yayıncılık){116333257} libgen.li.pdf, basılı s. 37, PDF s. 57 (4. Bölüm, çev. İbrahim H. Acar). Not: Çeviride yakınsayan desen “birleştirme (çeşitleme) deseni” olarak adlandırılmaktadır.]</w:t>
      </w:r>
    </w:p>
    <w:p>
      <w:pPr>
        <w:pStyle w:val="Dogrulama"/>
        <w:spacing w:after="20" w:line="276"/>
        <w:ind w:left="567"/>
        <w:jc w:val="both"/>
      </w:pPr>
      <w:r>
        <w:rPr>
          <w:rFonts w:ascii="Times New Roman" w:cs="Traditional Arabic" w:eastAsia="Times New Roman" w:hAnsi="Times New Roman"/>
          <w:i/>
          <w:iCs/>
          <w:sz w:val="22"/>
          <w:szCs w:val="22"/>
        </w:rPr>
        <w:t xml:space="preserve">“Açıklayıcı ardışık desenin amacı, araştırma problemine hem verinin toplanması hem de analizi için nicel aşama ile başlayıp daha sonra nicel sonuçları açıklamak için nitel çalışmanın yürütülmesidir. Nicel sonuçlar istatistiksel anlamlılık, güven aralıkları ve etki boyutlarını sağlayarak çalışmanın genel sonuçlarını ortaya koyar. Ancak bu yöntem elde edilen sonuçların nasıl oluştuğunu açıklamaya yetmez.”</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Karma Yöntem Araştırmalarına Giriş{John W. Creswell}(2021, Pegem Akademi Yayıncılık){116333257} libgen.li.pdf, basılı s. 38, PDF s. 58]</w:t>
      </w:r>
    </w:p>
    <w:p>
      <w:pPr>
        <w:pStyle w:val="Dogrulama"/>
        <w:spacing w:after="20" w:line="276"/>
        <w:ind w:left="567"/>
        <w:jc w:val="both"/>
      </w:pPr>
      <w:r>
        <w:rPr>
          <w:rFonts w:ascii="Times New Roman" w:cs="Traditional Arabic" w:eastAsia="Times New Roman" w:hAnsi="Times New Roman"/>
          <w:i/>
          <w:iCs/>
          <w:sz w:val="22"/>
          <w:szCs w:val="22"/>
        </w:rPr>
        <w:t xml:space="preserve">“Keşfedici ardışık desenin amacı araştırma problemini ilk olarak nitel veri toplama ve analizi ile keşfedip inceleyerek bir veri toplama aracı veya müdahale programı geliştirmek ve üçüncü bir nicel aşama ile ikinci aşamayı takip etmektir.”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Karma Yöntem Araştırmalarına Giriş{John W. Creswell}(2021, Pegem Akademi Yayıncılık){116333257} libgen.li.pdf, basılı s. 40, PDF s. 60]</w:t>
      </w:r>
    </w:p>
    <w:p>
      <w:pPr>
        <w:spacing w:after="120" w:line="360"/>
        <w:ind w:firstLine="567"/>
        <w:jc w:val="both"/>
      </w:pPr>
      <w:r>
        <w:rPr>
          <w:rFonts w:ascii="Times New Roman" w:cs="Traditional Arabic" w:eastAsia="Times New Roman" w:hAnsi="Times New Roman"/>
          <w:i w:val="false"/>
          <w:sz w:val="24"/>
          <w:szCs w:val="24"/>
        </w:rPr>
        <w:t xml:space="preserve">Keşfedici ardışık desenin bu kitabın konusu bakımından ayrı bir önemi vardır. Creswell bu desenin, ilk aşamasının keşfedici olması sebebiyle, Batı araştırma dünyasından alınan ölçeklerin düşük uygulanabilirliği bulunan ve araştırmacıların hangi ölçeklerin verilen ortamda uygulanabileceğini önce keşfetmesi gereken ülkelerde yararlı bir desen olduğunu belirtmektedir.</w:t>
      </w:r>
      <w:r>
        <w:rPr>
          <w:rStyle w:val="FootnoteReference"/>
        </w:rPr>
        <w:footnoteReference w:id="46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tespit, din eğitimi araştırmalarında başka kültürlerde geliştirilmiş dindarlık ve dinî tutum ölçeklerinin çevrilerek doğrudan kullanılmasına karşı yöntemin kendi içinden gelen bir uyarıdır. Bir ölçeğin maddeleri, katılımcıların dinî tecrübeyi kendi dillerinde nasıl ifade ettikleri bilinmeden yazıldığında, ölçülen şey katılımcının tecrübesi değil, başka bir kültürün kategorileri olabilir. Kanaatimizce keşfedici desen, nitel araştırmayı nicel araştırmanın bir ön çalışması olmaktan çıkarıp ölçme araçlarının da kendi bağlamımızdan doğmasını sağlayan bir tahkîk aşaması hâline getirmektedir.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“Ayrıca, ilk aşamanın keşfedici olması sebebiyle bu desen Batı araştırma dünyasından alınan ölçeklerin düşük uygulanabilirliğinin olması ve araştırmacıların öncelikli olarak hangi ölçeklerin verilen ortamda uygulanabileceğini keşfetmesi gerektiğinden az gelişmiş ülkelerde (ve küresel sağlık araştırmaları) bu desen yararlı bir karma desendir.”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Karma Yöntem Araştırmalarına Giriş{John W. Creswell}(2021, Pegem Akademi Yayıncılık){116333257} libgen.li.pdf, basılı s. 41-42, PDF s. 61-62]</w:t>
      </w:r>
    </w:p>
    <w:p>
      <w:pPr>
        <w:spacing w:after="120" w:line="360"/>
        <w:ind w:firstLine="567"/>
        <w:jc w:val="both"/>
      </w:pPr>
      <w:r>
        <w:rPr>
          <w:rFonts w:ascii="Times New Roman" w:cs="Traditional Arabic" w:eastAsia="Times New Roman" w:hAnsi="Times New Roman"/>
          <w:i w:val="false"/>
          <w:sz w:val="24"/>
          <w:szCs w:val="24"/>
        </w:rPr>
        <w:t xml:space="preserve">Karma yöntemin sınırları da göz ardı edilmemelidir. Creswell karma yöntemle bir çalışma yürütmenin ciddi bir zaman ve bolca kaynak gerektirdiğini, ayrıca beceri yetersizliği ile farklı felsefe ve yöntemlerin birlikte kullanılmasından doğan zorluklar taşıdığını belirtmektedir.</w:t>
      </w:r>
      <w:r>
        <w:rPr>
          <w:rStyle w:val="FootnoteReference"/>
        </w:rPr>
        <w:footnoteReference w:id="46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Birinci bölümde ele alındığı üzere karma yöntem araştırmacılarının bir kısmı pragmatizmi felsefi temel olarak benimsemektedir. Tahkîk paradigması açısından karma yöntem bu felsefeye bağlanmak zorunda değildir. Üçüncü bölümde ortaya konan iki kayıt ilkesi, karma desenlerde ayrıca yol gösterici olabilir. Bir anketin sonuçları çoğu zaman katılımcıların beyanlarının sayımıdır ve birinci kayıtta durmaktadır. Görüşmeler ise bu beyanların hangi anlamlarla yapıldığını gösterebilir. İki veri türü birleştirilirken, varılan hükmün beyanlar hakkında mı yoksa beyanların ötesindeki bir vâkıa hakkında mı olduğu her seferinde açıkça belirtilmelidir.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“Karma yöntemle bir çalışma yürütmek ciddi bir zaman ve bolca kaynak gerektirir. Bu yöntemde birçok farklı veri toplama aracı ve yöntemiyle toplanan veriler; yine birçok farklı yöntemle analiz edilir. Bu zorluklar bu şekilde bir araştırmanın doğasında vardır. Bunların dışındaki zorluklar ise, beceri yetersizliği ve farklı felsefe ile yöntemlerin birlikte kullanılmasından kaynaklanıyor olabilir.”</w:t>
      </w:r>
    </w:p>
    <w:p>
      <w:pPr>
        <w:pStyle w:val="Dogrulama"/>
        <w:spacing w:after="80" w:line="240"/>
        <w:ind w:left="567"/>
      </w:pPr>
      <w:r>
        <w:rPr>
          <w:rFonts w:ascii="Times New Roman" w:cs="Traditional Arabic" w:eastAsia="Times New Roman" w:hAnsi="Times New Roman"/>
          <w:i w:val="false"/>
          <w:color w:val="7F7F7F"/>
          <w:sz w:val="18"/>
          <w:szCs w:val="18"/>
        </w:rPr>
        <w:t xml:space="preserve">[Dosya: [Turcademy - Turcademy] Karma Yöntem Araştırmalarına Giriş{John W. Creswell}(2021, Pegem Akademi Yayıncılık){116333257} libgen.li.pdf, basılı s. 118, PDF s. 138 (10. Bölüm, çev. Yüksel Göktaş)]</w:t>
      </w:r>
    </w:p>
    <w:p>
      <w:pPr>
        <w:spacing w:after="120" w:line="360"/>
        <w:ind w:firstLine="567"/>
        <w:jc w:val="both"/>
      </w:pPr>
      <w:r>
        <w:rPr>
          <w:rFonts w:ascii="Times New Roman" w:cs="Traditional Arabic" w:eastAsia="Times New Roman" w:hAnsi="Times New Roman"/>
          <w:i w:val="false"/>
          <w:sz w:val="24"/>
          <w:szCs w:val="24"/>
        </w:rPr>
        <w:t xml:space="preserve">Din eğitimi araştırmalarında bu birliktelik çeşitli biçimlerde kurulabilir. Geniş bir öğrenci grubuna uygulanan bir anket, din kültürü dersine yönelik tutumların genel dağılımını gösterebilir. Ardından seçilen az sayıda öğrenciyle yapılan görüşmeler, bu tutumların hangi tecrübelerden beslendiğini anlamaya yardımcı olabilir. Tersi de mümkündür. Bir nitel araştırmada ortaya çıkan temalar, daha geniş bir örneklemde ne ölçüde yaygın olduğunu sınamak için bir ölçme aracının geliştirilmesine kaynaklık edebilir.</w:t>
      </w:r>
    </w:p>
    <w:p>
      <w:pPr>
        <w:spacing w:after="120" w:line="360"/>
        <w:ind w:firstLine="567"/>
        <w:jc w:val="both"/>
      </w:pPr>
      <w:r>
        <w:rPr>
          <w:rFonts w:ascii="Times New Roman" w:cs="Traditional Arabic" w:eastAsia="Times New Roman" w:hAnsi="Times New Roman"/>
          <w:i w:val="false"/>
          <w:sz w:val="24"/>
          <w:szCs w:val="24"/>
        </w:rPr>
        <w:t xml:space="preserve">İkinci bölümde ele alınan Gazzâlî'nin tam olan ve tam olmayan istikrâ arasında yaptığı ayrım, iki yöntemin birlikteliğini düşünmek için de yararlı bir çerçeve sunmaktadır. Gazzâlî'ye göre istikrâ tam değilse yalnızca fıkhî meselelere elverişlidir, çünkü çoğunluk bir tarz üzere bulunduğunda diğerinin de öyle olduğu zann-ı galip olur.</w:t>
      </w:r>
      <w:r>
        <w:rPr>
          <w:rStyle w:val="FootnoteReference"/>
        </w:rPr>
        <w:footnoteReference w:id="46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farklı bilgi türlerinin farklı işlere yaradığına dair bu bilinç, nitel ve nicel araştırmanın birbirinin yerine değil, birbirini tamamlayacak biçimde kullanılması gerektiği düşüncesiyle uyumludur. Nicel araştırma bir eğilimin ne kadar yaygın olduğunu, nitel araştırma ise o eğilimin insanlar için ne anlam taşıdığını göstermektedir. Din eğitimi uygulayıcısı her iki bilgiye de ihtiyaç duymaktadır.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82. dipnottaki doğrulama bloğunda verilmiştir.]</w:t>
      </w:r>
    </w:p>
    <w:p>
      <w:pPr>
        <w:pStyle w:val="Heading2"/>
        <w:keepNext/>
        <w:spacing w:after="120" w:before="240"/>
      </w:pPr>
      <w:r>
        <w:rPr>
          <w:rFonts w:ascii="Times New Roman" w:cs="Traditional Arabic" w:eastAsia="Times New Roman" w:hAnsi="Times New Roman"/>
          <w:b/>
          <w:bCs/>
          <w:i w:val="false"/>
          <w:sz w:val="24"/>
          <w:szCs w:val="24"/>
        </w:rPr>
        <w:t xml:space="preserve">15.7. Din Eğitimi Uygulaması: Bulgulardan Önerilere</w:t>
      </w:r>
    </w:p>
    <w:p>
      <w:pPr>
        <w:spacing w:after="120" w:line="360"/>
        <w:ind w:firstLine="567"/>
        <w:jc w:val="both"/>
      </w:pPr>
      <w:r>
        <w:rPr>
          <w:rFonts w:ascii="Times New Roman" w:cs="Traditional Arabic" w:eastAsia="Times New Roman" w:hAnsi="Times New Roman"/>
          <w:i w:val="false"/>
          <w:sz w:val="24"/>
          <w:szCs w:val="24"/>
        </w:rPr>
        <w:t xml:space="preserve">Aşağıdaki kurgusal örnek, bir nitel araştırmanın bulgularının program geliştirme, öğretmen yetiştirme ve politika alanlarında nasıl önerilere dönüştürülebileceğini ve bu önerilerin nasıl bir dille yazılması gerektiğini göstermektedir.</w:t>
      </w:r>
    </w:p>
    <w:p>
      <w:pPr>
        <w:keepNext/>
        <w:shd w:fill="F2F2F2" w:color="auto" w:val="clear"/>
        <w:spacing w:after="60" w:before="120" w:line="300"/>
        <w:ind w:left="227" w:right="227"/>
      </w:pPr>
      <w:r>
        <w:rPr>
          <w:rFonts w:ascii="Times New Roman" w:cs="Traditional Arabic" w:eastAsia="Times New Roman" w:hAnsi="Times New Roman"/>
          <w:b/>
          <w:bCs/>
          <w:i w:val="false"/>
          <w:sz w:val="22"/>
          <w:szCs w:val="22"/>
        </w:rPr>
        <w:t xml:space="preserve">Kurgusal örnek: Bir araştırmanın öneriler kısmı</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Araştırma: İki ilçedeki altı yaz Kur'an kursunda çocukların ezber tecrübesi üzerine yürütülen bir nitel araştırma.</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Program geliştirmeye yönelik öneri: Bu araştırmadaki kurslarda çocukların ezberlerini öğreticiye okudukları an, hem kaygının hem de başarı duygusunun yoğunlaştığı bir an olarak anlatılmıştır. Kurs programlarında bu ana hazırlayan kısa grup çalışmalarının denenmesi düşünülebilir. Bu önerinin farklı kurslarda nasıl karşılanacağı ayrıca araştırılmalıdır.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Öğretmen yetiştirmeye yönelik öneri: Öğreticilerin çocukların okumasına verdikleri ilk tepkinin, çocukların anlatımlarında uzun süre hatırlandığı görülmüştür. Öğretici yetiştirme programlarında, bu ilk tepkinin dili üzerine düşünmeye imkân veren vaka çalışmalarına yer verilebilir.</w:t>
      </w:r>
    </w:p>
    <w:p>
      <w:pPr>
        <w:shd w:fill="F2F2F2" w:color="auto" w:val="clear"/>
        <w:spacing w:after="60" w:line="300"/>
        <w:ind w:left="227" w:right="227"/>
        <w:jc w:val="both"/>
      </w:pPr>
      <w:r>
        <w:rPr>
          <w:rFonts w:ascii="Times New Roman" w:cs="Traditional Arabic" w:eastAsia="Times New Roman" w:hAnsi="Times New Roman"/>
          <w:i w:val="false"/>
          <w:sz w:val="22"/>
          <w:szCs w:val="22"/>
        </w:rPr>
        <w:t xml:space="preserve">Politikaya yönelik öneri: Araştırmadaki kurslarda öğretici başına düşen çocuk sayısının fazla olduğu durumlarda, çocukların ders verme sırasını beklerken uzun süre yalnız kaldıkları gözlenmiştir. Bu gözlem altı kursla sınırlıdır ve bir kural önerisine dayanak olamaz. Ancak öğretici başına düşen çocuk sayısının çocukların tecrübesine etkisinin daha geniş örneklemli araştırmalarla incelenmesi önerilebilir.</w:t>
      </w:r>
    </w:p>
    <w:p>
      <w:pPr>
        <w:spacing w:after="120"/>
      </w:pPr>
    </w:p>
    <w:p>
      <w:pPr>
        <w:spacing w:after="120" w:line="360"/>
        <w:ind w:firstLine="567"/>
        <w:jc w:val="both"/>
      </w:pPr>
      <w:r>
        <w:rPr>
          <w:rFonts w:ascii="Times New Roman" w:cs="Traditional Arabic" w:eastAsia="Times New Roman" w:hAnsi="Times New Roman"/>
          <w:i w:val="false"/>
          <w:sz w:val="24"/>
          <w:szCs w:val="24"/>
        </w:rPr>
        <w:t xml:space="preserve">Bu örnekte önerilerin dili, Yıldırım ve Şimşek'in nitel araştırma sonuçlarının kural değil deneyim sunduğu yönündeki uyarısına</w:t>
      </w:r>
      <w:r>
        <w:rPr>
          <w:rStyle w:val="FootnoteReference"/>
        </w:rPr>
        <w:footnoteReference w:id="468"/>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uygun olarak ihtiyatlıdır. Öneriler bulguların sınırlarını belirtmekte ve bazı durumlarda nicel araştırmalarla tamamlanma ihtiyacını açıkça kaydetmektedir. Bu dil, İbn Cemâa'nın “bilmiyorum” demenin kişinin kadrini düşürmediği, aksine yükselttiği yönündeki sözünün</w:t>
      </w:r>
      <w:r>
        <w:rPr>
          <w:rStyle w:val="FootnoteReference"/>
        </w:rPr>
        <w:footnoteReference w:id="46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araştırma raporundaki karşılığıdır.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84.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408. dipnottaki doğrulama bloğunda verilmiştir.]</w:t>
      </w:r>
    </w:p>
    <w:p>
      <w:pPr>
        <w:keepNext/>
        <w:spacing w:after="80" w:before="200"/>
      </w:pPr>
      <w:r>
        <w:rPr>
          <w:rFonts w:ascii="Times New Roman" w:cs="Traditional Arabic" w:eastAsia="Times New Roman" w:hAnsi="Times New Roman"/>
          <w:b/>
          <w:bCs/>
          <w:i w:val="false"/>
          <w:sz w:val="22"/>
          <w:szCs w:val="22"/>
        </w:rPr>
        <w:t xml:space="preserve">Tablo 15.1. On beşinci bölümdeki kavram eşleştirmeleri</w:t>
      </w:r>
    </w:p>
    <w:tbl>
      <w:tblPr>
        <w:tblW w:type="dxa" w:w="9070"/>
        <w:tblBorders>
          <w:top w:val="single" w:color="8C8C8C" w:sz="4"/>
          <w:left w:val="single" w:color="8C8C8C" w:sz="4"/>
          <w:bottom w:val="single" w:color="8C8C8C" w:sz="4"/>
          <w:right w:val="single" w:color="8C8C8C" w:sz="4"/>
          <w:insideH w:val="single" w:color="8C8C8C" w:sz="4"/>
          <w:insideV w:val="single" w:color="8C8C8C" w:sz="4"/>
        </w:tblBorders>
      </w:tblPr>
      <w:tblGrid>
        <w:gridCol w:w="1118"/>
        <w:gridCol w:w="1242"/>
        <w:gridCol w:w="1987"/>
        <w:gridCol w:w="1242"/>
        <w:gridCol w:w="1863"/>
        <w:gridCol w:w="1615"/>
      </w:tblGrid>
      <w:tr>
        <w:trPr>
          <w:cantSplit/>
          <w:tblHeader/>
        </w:trPr>
        <w:tc>
          <w:tcPr>
            <w:tcW w:type="dxa" w:w="1118"/>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Modern kavram</w:t>
            </w:r>
          </w:p>
        </w:tc>
        <w:tc>
          <w:tcPr>
            <w:tcW w:type="dxa" w:w="1242"/>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Klasik kavram</w:t>
            </w:r>
          </w:p>
        </w:tc>
        <w:tc>
          <w:tcPr>
            <w:tcW w:type="dxa" w:w="1987"/>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Dayanak metin</w:t>
            </w:r>
          </w:p>
        </w:tc>
        <w:tc>
          <w:tcPr>
            <w:tcW w:type="dxa" w:w="1242"/>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Benzerlik</w:t>
            </w:r>
          </w:p>
        </w:tc>
        <w:tc>
          <w:tcPr>
            <w:tcW w:type="dxa" w:w="1863"/>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Ayrılık</w:t>
            </w:r>
          </w:p>
        </w:tc>
        <w:tc>
          <w:tcPr>
            <w:tcW w:type="dxa" w:w="1615"/>
            <w:shd w:fill="D9D9D9" w:color="auto" w:val="clear"/>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b/>
                <w:bCs/>
                <w:i w:val="false"/>
                <w:sz w:val="18"/>
                <w:szCs w:val="18"/>
              </w:rPr>
              <w:t xml:space="preserve">Din eğitimi araştırmasında kullanılabilirlik</w:t>
            </w:r>
          </w:p>
        </w:tc>
      </w:tr>
      <w:tr>
        <w:trPr>
          <w:cantSplit/>
        </w:trPr>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Tecrübeye dayanan eğitim önerisi</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Gözlem ve istikrâya dayanan öğretim hükmü</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Târîh, 1/734 ve 1/743 (Şamile 12320)</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Eğitim önerisinin gözlemle desteklenmesi</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gözlemin nasıl yapıldığını göstermez ve geniş genellemelere varır</w:t>
            </w:r>
          </w:p>
        </w:tc>
        <w:tc>
          <w:tcPr>
            <w:tcW w:type="dxa" w:w="16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Önerilerin bulgulara açıkça bağlanması</w:t>
            </w:r>
          </w:p>
        </w:tc>
      </w:tr>
      <w:tr>
        <w:trPr>
          <w:cantSplit/>
        </w:trPr>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Dışa vurulan uyum ile iç tecrübe arasındaki mesafe</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Baskı altında içindekinden başkasını gösterme</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Târîh, 1/743 (Şamile 12320)</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Baskının samimiyeti zedelediğine dikkat</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bir sonuç tespit eder, nitel araştırma bu mesafeyi anlamaya çalışır</w:t>
            </w:r>
          </w:p>
        </w:tc>
        <w:tc>
          <w:tcPr>
            <w:tcW w:type="dxa" w:w="16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Korkuya dayalı din eğitiminin öğrenci tecrübesindeki izlerinin incelenmesi</w:t>
            </w:r>
          </w:p>
        </w:tc>
      </w:tr>
      <w:tr>
        <w:trPr>
          <w:cantSplit/>
        </w:trPr>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Hazır bulunuşluk</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Tedric</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 Haldûn, Târîh, 1/734 (Şamile 12320), İbnü'l-Uhuvve, Meâlimü'l-kurbe, 170 (Şamile 10526)</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Öğretimin öğrencinin gelişimine göre ilerlemesi</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ilke normatiftir, nitel araştırma uygulamadaki karşılığını gösterir</w:t>
            </w:r>
          </w:p>
        </w:tc>
        <w:tc>
          <w:tcPr>
            <w:tcW w:type="dxa" w:w="16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Program etkinliklerinin öğrencinin hayatından başlaması</w:t>
            </w:r>
          </w:p>
        </w:tc>
      </w:tr>
      <w:tr>
        <w:trPr>
          <w:cantSplit/>
        </w:trPr>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Yansıtıcı öğretmenlik</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Öğretimdeki niyetin muhasebesi ve muallimin nitelikleri</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Gazzâlî, el-Munkız, 173 (Şamile 9246), İbnü'l-Uhuvve, 170 (Şamile 10526)</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Öğretmenin kendini ve niteliklerini sorgulaması</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metinler ahlaki ve manevi, eylem araştırması planlı ve veriye dayalıdır</w:t>
            </w:r>
          </w:p>
        </w:tc>
        <w:tc>
          <w:tcPr>
            <w:tcW w:type="dxa" w:w="16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Öğretmen yetiştirmede eylem araştırması</w:t>
            </w:r>
          </w:p>
        </w:tc>
      </w:tr>
      <w:tr>
        <w:trPr>
          <w:cantSplit/>
        </w:trPr>
        <w:tc>
          <w:tcPr>
            <w:tcW w:type="dxa" w:w="1118"/>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Bulguların paylaşılması</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İhtiyaç duyulduğunda rivayet ve neşir</w:t>
            </w:r>
          </w:p>
        </w:tc>
        <w:tc>
          <w:tcPr>
            <w:tcW w:type="dxa" w:w="1987"/>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İbnü's-Salâh, 236 (Şamile 22870)</w:t>
            </w:r>
          </w:p>
        </w:tc>
        <w:tc>
          <w:tcPr>
            <w:tcW w:type="dxa" w:w="1242"/>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Bilginin ihtiyaç anında yaşa bakılmaksızın paylaşılması</w:t>
            </w:r>
          </w:p>
        </w:tc>
        <w:tc>
          <w:tcPr>
            <w:tcW w:type="dxa" w:w="1863"/>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Klasik ilke hadis rivayetine, modern ilke araştırma sonuçlarının yayılmasına dairdir</w:t>
            </w:r>
          </w:p>
        </w:tc>
        <w:tc>
          <w:tcPr>
            <w:tcW w:type="dxa" w:w="1615"/>
            <w:tcMar>
              <w:top w:type="dxa" w:w="40"/>
              <w:left w:type="dxa" w:w="70"/>
              <w:bottom w:type="dxa" w:w="40"/>
              <w:right w:type="dxa" w:w="70"/>
            </w:tcMar>
            <w:vAlign w:val="top"/>
          </w:tcPr>
          <w:p>
            <w:pPr>
              <w:spacing w:after="20" w:line="240"/>
              <w:jc w:val="left"/>
            </w:pPr>
            <w:r>
              <w:rPr>
                <w:rFonts w:ascii="Times New Roman" w:cs="Traditional Arabic" w:eastAsia="Times New Roman" w:hAnsi="Times New Roman"/>
                <w:i w:val="false"/>
                <w:sz w:val="18"/>
                <w:szCs w:val="18"/>
              </w:rPr>
              <w:t xml:space="preserve">Bulguların uygulayıcıların dilinde paylaşılması</w:t>
            </w:r>
          </w:p>
        </w:tc>
      </w:tr>
    </w:tbl>
    <w:p>
      <w:pPr>
        <w:spacing w:after="160"/>
      </w:pPr>
    </w:p>
    <w:p>
      <w:pPr>
        <w:pStyle w:val="Heading1"/>
        <w:pageBreakBefore/>
        <w:spacing w:after="360" w:before="600"/>
        <w:jc w:val="center"/>
      </w:pPr>
      <w:r>
        <w:rPr>
          <w:rFonts w:ascii="Times New Roman" w:cs="Traditional Arabic" w:eastAsia="Times New Roman" w:hAnsi="Times New Roman"/>
          <w:b/>
          <w:bCs/>
          <w:i w:val="false"/>
          <w:color w:val="1F3864"/>
          <w:sz w:val="28"/>
          <w:szCs w:val="28"/>
        </w:rPr>
        <w:t xml:space="preserve">SONUÇ</w:t>
      </w:r>
    </w:p>
    <w:p>
      <w:pPr>
        <w:pStyle w:val="Heading2"/>
        <w:keepNext/>
        <w:spacing w:after="120" w:before="240"/>
      </w:pPr>
      <w:r>
        <w:rPr>
          <w:rFonts w:ascii="Times New Roman" w:cs="Traditional Arabic" w:eastAsia="Times New Roman" w:hAnsi="Times New Roman"/>
          <w:b/>
          <w:bCs/>
          <w:i w:val="false"/>
          <w:sz w:val="24"/>
          <w:szCs w:val="24"/>
        </w:rPr>
        <w:t xml:space="preserve">Klasik Usulün Çağdaş Din Eğitimi Araştırmalarına Katkıları ve Sınırları</w:t>
      </w:r>
    </w:p>
    <w:p>
      <w:pPr>
        <w:spacing w:after="120" w:line="360"/>
        <w:ind w:firstLine="567"/>
        <w:jc w:val="both"/>
      </w:pPr>
      <w:r>
        <w:rPr>
          <w:rFonts w:ascii="Times New Roman" w:cs="Traditional Arabic" w:eastAsia="Times New Roman" w:hAnsi="Times New Roman"/>
          <w:i w:val="false"/>
          <w:sz w:val="24"/>
          <w:szCs w:val="24"/>
        </w:rPr>
        <w:t xml:space="preserve">Bu kitap üç soruyla yola çıkmıştır. Birincisi, nitel araştırmanın din eğitimi alanında nasıl kullanılabileceğidir. İkincisi, din eğitimcisinin ve ilahiyatçının elinde bulunan klasik usul birikiminin bu araştırma anlayışıyla nasıl bir konuşmaya girebileceğidir. Üçüncüsü ise bu konuşmanın, Batı modellerinin taklidi olmayan ve onların birikiminden de yüz çevirmeyen kendine has bir araştırma paradigmasına imkân verip vermediğidir. İkinci ve üçüncü soru baştan bir hipotez olarak konmuş, metinler üzerinde sınanmış ve her mukayesede benzerlik kadar ayrılık noktaları da yazılmıştır. Bu son kısımda önce tahkîk paradigmasının bilançosu çıkarılmakta, ardından katkılar ve sınırlar ayrı başlıklar altında değerlendirilmektedir.</w:t>
      </w:r>
    </w:p>
    <w:p>
      <w:pPr>
        <w:pStyle w:val="Heading2"/>
        <w:keepNext/>
        <w:spacing w:after="120" w:before="240"/>
      </w:pPr>
      <w:r>
        <w:rPr>
          <w:rFonts w:ascii="Times New Roman" w:cs="Traditional Arabic" w:eastAsia="Times New Roman" w:hAnsi="Times New Roman"/>
          <w:b/>
          <w:bCs/>
          <w:i w:val="false"/>
          <w:sz w:val="24"/>
          <w:szCs w:val="24"/>
        </w:rPr>
        <w:t xml:space="preserve">Tahkîk Paradigmasının Bilançosu</w:t>
      </w:r>
    </w:p>
    <w:p>
      <w:pPr>
        <w:spacing w:after="120" w:line="360"/>
        <w:ind w:firstLine="567"/>
        <w:jc w:val="both"/>
      </w:pPr>
      <w:r>
        <w:rPr>
          <w:rFonts w:ascii="Times New Roman" w:cs="Traditional Arabic" w:eastAsia="Times New Roman" w:hAnsi="Times New Roman"/>
          <w:i w:val="false"/>
          <w:sz w:val="24"/>
          <w:szCs w:val="24"/>
        </w:rPr>
        <w:t xml:space="preserve">Birinci bölümde görüldüğü üzere Batı sosyal bilimi, doğa bilimlerinin yöntem idealini taklit ederek kurulmuş, zamanla anlamanın, araştırmacının konumunun ve geleneğin bilgideki payının farkına varmış, postmodern eleştiriyle de bilgi iddialarının konumluluğunu öne çıkarmıştır. Bu yolculuğun ulaştığı yer, din eğitimi araştırmacısı için hem bir imkân hem de bir boşluk ihtiva etmektedir. İmkân, araştırmacının gelenekte konumlanmasının artık bilimselliğe aykırı sayılmamasıdır. Boşluk ise paradigmalar arasında ortak bir ölçüt kalmadığında hakikat sorusunun askıya alınma tehlikesidir.</w:t>
      </w:r>
    </w:p>
    <w:p>
      <w:pPr>
        <w:spacing w:after="120" w:line="360"/>
        <w:ind w:firstLine="567"/>
        <w:jc w:val="both"/>
      </w:pPr>
      <w:r>
        <w:rPr>
          <w:rFonts w:ascii="Times New Roman" w:cs="Traditional Arabic" w:eastAsia="Times New Roman" w:hAnsi="Times New Roman"/>
          <w:i w:val="false"/>
          <w:sz w:val="24"/>
          <w:szCs w:val="24"/>
        </w:rPr>
        <w:t xml:space="preserve">Üçüncü bölümde kurulan tahkîk paradigması bu boşluğa kendi geleneğimizin diliyle bir cevap vermeye çalışmıştır. Paradigmanın varlık kabulü, araştırmacının hükmünden bağımsız bir nefsü'l-emrin bulunduğu ve insanın iç hâllerinin de bu hakikatin parçası olduğudur. Bilgi kabulü, araştırmanın hükmünün usûle bağlı bir hüküm olduğu ve nitel bulguların yakîn değil, usûlüne uygun temellendirilmiş dereceli bir kanaat ifade ettiğidir. Yöntem kabulü, araştırmayı semere, müsmir, istismâr yolu ve müstesmirden oluşan dört kutuplu bir mimari içinde düzenlemektir. Değer kabulü ise katılımcının sözünü, sırrını ve güvenini bir emanet saymak, araştırmacıyı da adalet ve zabt ölçütleriyle denetlemektir. Bu dört kabul, hakikat, usûlî hüküm, iki kayıt, dereceli kesinlik, müstesmir, adalet ve zabt, istikrâ, sebr ve taksîm, münazara ve emanet ilkeleri hâlinde somutlaşmış ve kitabın ikinci ve üçüncü kısımlarında veri toplamadan raporlaştırmaya kadar her aşamada işletilmiştir.</w:t>
      </w:r>
    </w:p>
    <w:p>
      <w:pPr>
        <w:spacing w:after="120" w:line="360"/>
        <w:ind w:firstLine="567"/>
        <w:jc w:val="both"/>
      </w:pPr>
      <w:r>
        <w:rPr>
          <w:rFonts w:ascii="Times New Roman" w:cs="Traditional Arabic" w:eastAsia="Times New Roman" w:hAnsi="Times New Roman"/>
          <w:i w:val="false"/>
          <w:sz w:val="24"/>
          <w:szCs w:val="24"/>
        </w:rPr>
        <w:t xml:space="preserve">Kanaatimizce bu paradigmanın Batı modelleri karşısındaki asıl farkı, hakikat iddiası ile araştırmacının tevazuunu bir arada tutabilmesidir. Pozitivist ideal hakikati yöntemin kesinliğine bağlamış, yapılandırmacı yaklaşım ise anlamların ötesindeki hakikat sorusunu çoğu zaman paranteze almıştır. Tahkîk paradigması hakikatin varlığını kabul etmekle birlikte, araştırmacının ona ancak usûlün izin verdiği derecede yaklaşabileceğini söyler. Bu tavır, Batı birikiminin yansıtıcılık, çeşitleme, katılımcı teyidi ve şeffaflık gibi sınanmış araçlarını dışlamaz. Aksine bu araçları adalet, zabt, istikrâ ve münazara gibi kendi usul kavramlarımızın içine mezc ederek onlara bir ahlak ve hakikat zemini kazandırır. Ne var ki bu paradigma henüz bir öneridir ve gerçek araştırmalarda sınanması, eleştirilmesi ve gerektiğinde düzeltilmesi gerekmektedir. Münazara ilkesinin gereği olarak bu eleştiri, paradigmanın kendisine de açıktır.</w:t>
      </w:r>
    </w:p>
    <w:p>
      <w:pPr>
        <w:pStyle w:val="Heading2"/>
        <w:keepNext/>
        <w:spacing w:after="120" w:before="240"/>
      </w:pPr>
      <w:r>
        <w:rPr>
          <w:rFonts w:ascii="Times New Roman" w:cs="Traditional Arabic" w:eastAsia="Times New Roman" w:hAnsi="Times New Roman"/>
          <w:b/>
          <w:bCs/>
          <w:i w:val="false"/>
          <w:sz w:val="24"/>
          <w:szCs w:val="24"/>
        </w:rPr>
        <w:t xml:space="preserve">Katkılar</w:t>
      </w:r>
    </w:p>
    <w:p>
      <w:pPr>
        <w:spacing w:after="120" w:line="360"/>
        <w:ind w:firstLine="567"/>
        <w:jc w:val="both"/>
      </w:pPr>
      <w:r>
        <w:rPr>
          <w:rFonts w:ascii="Times New Roman" w:cs="Traditional Arabic" w:eastAsia="Times New Roman" w:hAnsi="Times New Roman"/>
          <w:i w:val="false"/>
          <w:sz w:val="24"/>
          <w:szCs w:val="24"/>
        </w:rPr>
        <w:t xml:space="preserve">Klasik usulün nitel araştırmaya ilk katkısı bir dil sunmasıdır. Mâtürîdî'nin ʿiyân, haber ve nazar ayrımı,</w:t>
      </w:r>
      <w:r>
        <w:rPr>
          <w:rStyle w:val="FootnoteReference"/>
        </w:rPr>
        <w:footnoteReference w:id="47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 sürecinin gözlem, anlatım ve yorum aşamalarını din eğitimcisinin aşina olduğu bir dille adlandırmaya imkân vermiştir. Rivayet ile dirayet arasındaki ayrım da veriye ulaşma ile veriyi anlama arasındaki farkı hatırlatan ikinci bir ilke olarak işlev görmüştür. Bu dil, nitel araştırmayı din eğitimcisi için yabancı bir teknik olmaktan çıkarıp kendi ilim geleneğinin sorularıyla konuşan bir araştırma anlayışı haline getirebilir.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İkinci katkı araştırmacının ahlakına dairdir. Hadis usulünün râvi için aradığı adalet ve zabt şartları,</w:t>
      </w:r>
      <w:r>
        <w:rPr>
          <w:rStyle w:val="FootnoteReference"/>
        </w:rPr>
        <w:footnoteReference w:id="47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katılımcıya değil araştırmacıya uygulandığında, nitel araştırmanın inandırıcılığının en sağlam temellerinden birini oluşturmaktadır. Araştırmacının dürüstlüğü, sahadaki uyanıklığı ve kayıtlarını titizlikle tutması, okurun araştırmaya duyabileceği güvenin ölçüsüdür. İlim ahlakı eserlerindeki niyet, şefkat, emanet ve “bilmiyorum” diyebilme vurguları ise modern araştırma etiğinin dışarıdan konan kurallarını içeriden destekleyen bir ahlak zemini sunmaktadır. Mâverdî'nin mallar konusunda güvenilir olan herkesin sırlar konusunda güvenilir olmadığına dair tespiti,</w:t>
      </w:r>
      <w:r>
        <w:rPr>
          <w:rStyle w:val="FootnoteReference"/>
        </w:rPr>
        <w:footnoteReference w:id="47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katılımcıların sırlarını taşıyan araştırmacının sorumluluğunu belki de en iyi anlatan cümlelerden biridir.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8.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404.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Üçüncü katkı kayıt ve raporlaştırma disiplinidir. Zabt, mukâbele, lafız ile mana arasındaki ayrım, kısaltmanın şartları, idrâc ve iki kaynaktan gelen sözün birleştirilmesine dair kurallar, katılımcının sözüne gösterilmesi gereken saygıyı ayrıntılı biçimde düzenleyen bir birikim olarak karşımıza çıkmıştır. Bu kurallar, nitel araştırma raporunda doğrudan alıntının değiştirilmemesi, özetlemenin işaretlenmesi, araştırmacının sözünün katılımcının sözünden ayrılması ve birleşik anlatımların açıkça bildirilmesi gibi ilkelere güçlü bir dayanak sağlamaktadır. Bu kitabın kendi hazırlanışında uygulanan alıntı ve doğrulama kuralları da aynı birikimin bir uygulamasıdır.</w:t>
      </w:r>
    </w:p>
    <w:p>
      <w:pPr>
        <w:spacing w:after="120" w:line="360"/>
        <w:ind w:firstLine="567"/>
        <w:jc w:val="both"/>
      </w:pPr>
      <w:r>
        <w:rPr>
          <w:rFonts w:ascii="Times New Roman" w:cs="Traditional Arabic" w:eastAsia="Times New Roman" w:hAnsi="Times New Roman"/>
          <w:i w:val="false"/>
          <w:sz w:val="24"/>
          <w:szCs w:val="24"/>
        </w:rPr>
        <w:t xml:space="preserve">Dördüncü katkı yorumda ihtiyattır. İllet kavramı, görünüşte sağlam bir yorumun bütün veriler bir araya getirildiğinde gizli bir kusur taşıyabileceğini hatırlatmıştır. İbn Haldûn'un taraftarlık</w:t>
      </w:r>
      <w:r>
        <w:rPr>
          <w:rStyle w:val="FootnoteReference"/>
        </w:rPr>
        <w:footnoteReference w:id="47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 maksatlardan gaflet</w:t>
      </w:r>
      <w:r>
        <w:rPr>
          <w:rStyle w:val="FootnoteReference"/>
        </w:rPr>
        <w:footnoteReference w:id="47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uyarıları ile İbnü's-Salâh'ın öfke perdesine dair tespiti,</w:t>
      </w:r>
      <w:r>
        <w:rPr>
          <w:rStyle w:val="FootnoteReference"/>
        </w:rPr>
        <w:footnoteReference w:id="47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araştırmacının kendi kanaatlerinin ve duygularının yorumunu nasıl etkileyebileceğini gösteren klasik metinlerdir. Gazzâlî'nin tenbih ile taʿbîr arasında yaptığı ayrım</w:t>
      </w:r>
      <w:r>
        <w:rPr>
          <w:rStyle w:val="FootnoteReference"/>
        </w:rPr>
        <w:footnoteReference w:id="47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ise, on birinci bölümde belirtilen kanaate göre, yorumun veriye eklenen bir katman olduğunu ve verinin zâhirini ortadan kaldırmaması gerektiğini hatırlatmaktadır. </w:t>
      </w:r>
      <w:r>
        <w:rPr>
          <w:rFonts w:ascii="Times New Roman" w:cs="Traditional Arabic" w:eastAsia="Times New Roman" w:hAnsi="Times New Roman"/>
          <w:i/>
          <w:iCs/>
          <w:sz w:val="24"/>
          <w:szCs w:val="24"/>
        </w:rPr>
        <w:t xml:space="preserve">et-Taʿrîfât</w:t>
      </w:r>
      <w:r>
        <w:rPr>
          <w:rFonts w:ascii="Times New Roman" w:cs="Traditional Arabic" w:eastAsia="Times New Roman" w:hAnsi="Times New Roman"/>
          <w:i w:val="false"/>
          <w:sz w:val="24"/>
          <w:szCs w:val="24"/>
        </w:rPr>
        <w:t xml:space="preserve">'taki timsah örneği</w:t>
      </w:r>
      <w:r>
        <w:rPr>
          <w:rStyle w:val="FootnoteReference"/>
        </w:rPr>
        <w:footnoteReference w:id="477"/>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de nâkıs istikrânın, incelenmemiş ve hükmü farklı bir cüz bulunabileceği için yakîn ifade etmediğini göstermektedir. Kanaatimizce bu örnek, bir temaya uymayan tek bir durumun bile göz ardı edilmemesi gerektiğini hatırlatmaktadır.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367.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368.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373.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306.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331.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Beşinci katkı bağlama ve içeriden bakışa duyarlılıktır. Nüzul sebeplerini bilmenin faydalarından birinin manaya vâkıf olmak olduğuna dair tespit,</w:t>
      </w:r>
      <w:r>
        <w:rPr>
          <w:rStyle w:val="FootnoteReference"/>
        </w:rPr>
        <w:footnoteReference w:id="478"/>
      </w:r>
      <w:r>
        <w:rPr>
          <w:rStyle w:val="FootnoteReference"/>
        </w:rPr>
        <w:footnoteReference w:id="479"/>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insanların kendi saydığı ölçünün fıkhî hükümlerde dikkate alınması</w:t>
      </w:r>
      <w:r>
        <w:rPr>
          <w:rStyle w:val="FootnoteReference"/>
        </w:rPr>
        <w:footnoteReference w:id="480"/>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 Bîrûnî'nin başka bir inancı aktarırken söylediği “bu onun inancıdır ve onu en iyi bilen kendisidir” sözü,</w:t>
      </w:r>
      <w:r>
        <w:rPr>
          <w:rStyle w:val="FootnoteReference"/>
        </w:rPr>
        <w:footnoteReference w:id="481"/>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nitel araştırmanın katılımcıyı kendi bağlamı ve kendi diliyle anlama çabasıyla kayda değer bir yakınlık göstermiştir. Özellikle Bîrûnî'nin örneği, kendi dinî kanaatini taşıyan bir araştırmacının başka bir inancı dürüstçe tasvir edebileceğini göstermesi bakımından din eğitimi araştırmacısı için değerlidir.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122.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123.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126.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145.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Toker, din sosyolojisi açısından yaptığı değerlendirmede bilim, toplum ve din başta olmak üzere bütün kavramların yeniden gözden geçirildiği bir dönemde dinin toplumsal olarak incelenmesinin de kendisine düşen payı alması gerektiğini belirtmektedir.</w:t>
      </w:r>
      <w:r>
        <w:rPr>
          <w:rStyle w:val="FootnoteReference"/>
        </w:rPr>
        <w:footnoteReference w:id="482"/>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Kanaatimizce bu tespit din eğitimi için de geçerlidir. Din eğitimi araştırmaları, hem nitel araştırmanın imkânlarından hem de kendi ilim geleneğinin usul birikiminden yararlanarak bu yeniden düşünme sürecine katılabilir.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“Bilim, toplum ve din başta olmak üzere bütün kavramların yeniden gözden geçirildiği bir dönemde, dinin toplumsal olarak incelenmesi de kendisine düşen payı almak durumundadır.”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18f10c14-nitel_ara_t_rma_paradigmas__ve_din.pdf, basılı s. 71, PDF s. 19]</w:t>
      </w:r>
    </w:p>
    <w:p>
      <w:pPr>
        <w:pStyle w:val="Heading2"/>
        <w:keepNext/>
        <w:spacing w:after="120" w:before="240"/>
      </w:pPr>
      <w:r>
        <w:rPr>
          <w:rFonts w:ascii="Times New Roman" w:cs="Traditional Arabic" w:eastAsia="Times New Roman" w:hAnsi="Times New Roman"/>
          <w:b/>
          <w:bCs/>
          <w:i w:val="false"/>
          <w:sz w:val="24"/>
          <w:szCs w:val="24"/>
        </w:rPr>
        <w:t xml:space="preserve">Sınırlar</w:t>
      </w:r>
    </w:p>
    <w:p>
      <w:pPr>
        <w:spacing w:after="120" w:line="360"/>
        <w:ind w:firstLine="567"/>
        <w:jc w:val="both"/>
      </w:pPr>
      <w:r>
        <w:rPr>
          <w:rFonts w:ascii="Times New Roman" w:cs="Traditional Arabic" w:eastAsia="Times New Roman" w:hAnsi="Times New Roman"/>
          <w:i w:val="false"/>
          <w:sz w:val="24"/>
          <w:szCs w:val="24"/>
        </w:rPr>
        <w:t xml:space="preserve">Bu karşılaştırmanın sınırları da en az katkıları kadar açıktır. İlk ve en önemli sınır, iki geleneğin amaçlarının farklı olmasıdır. Klasik usul büyük ölçüde bir haberin doğruluğunu, bir hükmün gerekçesini ya da bir inancın hakikatini belirlemeye yöneliktir. Nitel araştırma ise insanların tecrübelerini ve bu tecrübelere yükledikleri anlamları anlamaya çalışmaktadır. Bu nedenle klasik kavramların hemen hepsi nitel araştırmaya ancak bir daraltma ile taşınabilmiştir. Görüşme verisinin bir rivayet gibi doğru ya da yanlış diye sınanmaması ve tevâtür ile örneklem büyüklüğü arasında bir benzerlik kurulmaması bu daraltmaların en önemlileridir.</w:t>
      </w:r>
    </w:p>
    <w:p>
      <w:pPr>
        <w:spacing w:after="120" w:line="360"/>
        <w:ind w:firstLine="567"/>
        <w:jc w:val="both"/>
      </w:pPr>
      <w:r>
        <w:rPr>
          <w:rFonts w:ascii="Times New Roman" w:cs="Traditional Arabic" w:eastAsia="Times New Roman" w:hAnsi="Times New Roman"/>
          <w:i w:val="false"/>
          <w:sz w:val="24"/>
          <w:szCs w:val="24"/>
        </w:rPr>
        <w:t xml:space="preserve">İkinci sınır, klasik metinlerin çoğunun normatif olmasıdır. Bu çalışmada kullanılan ilim ahlakı ve hisbe eserleri bir muallimin nasıl olması gerektiğini söylemekte, muallimlerin gerçekte nasıl olduğunu doğrudan anlatmamaktadır. İbn Haldûn</w:t>
      </w:r>
      <w:r>
        <w:rPr>
          <w:rStyle w:val="FootnoteReference"/>
        </w:rPr>
        <w:footnoteReference w:id="483"/>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ve İbn Battûta</w:t>
      </w:r>
      <w:r>
        <w:rPr>
          <w:rStyle w:val="FootnoteReference"/>
        </w:rPr>
        <w:footnoteReference w:id="484"/>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gibi müelliflerin gözlemleri ise değerli olmakla birlikte, bu gözlemlerin nasıl yapıldığı bu çalışmada aktarılan pasajlarda gösterilmemektedir. Nitel araştırmanın kendine has katkısı, gözlemin ve yorumun nasıl yapıldığını okura gösterme yükümlülüğüdür.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451. dipnottaki doğrulama bloğunda verilmiştir.]</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253. dipnottaki doğrulama bloğunda verilmiştir.]</w:t>
      </w:r>
    </w:p>
    <w:p>
      <w:pPr>
        <w:spacing w:after="120" w:line="360"/>
        <w:ind w:firstLine="567"/>
        <w:jc w:val="both"/>
      </w:pPr>
      <w:r>
        <w:rPr>
          <w:rFonts w:ascii="Times New Roman" w:cs="Traditional Arabic" w:eastAsia="Times New Roman" w:hAnsi="Times New Roman"/>
          <w:i w:val="false"/>
          <w:sz w:val="24"/>
          <w:szCs w:val="24"/>
        </w:rPr>
        <w:t xml:space="preserve">Üçüncü sınır, bazı modern kavramlar için incelenen metinlerde bir karşılık bulunamamasıdır. Durum çalışması bunun en açık örneğidir. Mecazların gerekçesinin sorulması ve desen değişikliklerinin raporlanması için de doğrudan bir klasik dayanak getirilememiştir. Bu durum bir eksiklik olarak değil, karşılaştırmanın dürüstlüğünün bir göstergesi olarak kaydedilmiştir. Her modern kavrama bir klasik karşılık bulma çabası, kitabın başında kaçınılması gereken tutumlardan biri olarak belirlenmişti.</w:t>
      </w:r>
    </w:p>
    <w:p>
      <w:pPr>
        <w:spacing w:after="120" w:line="360"/>
        <w:ind w:firstLine="567"/>
        <w:jc w:val="both"/>
      </w:pPr>
      <w:r>
        <w:rPr>
          <w:rFonts w:ascii="Times New Roman" w:cs="Traditional Arabic" w:eastAsia="Times New Roman" w:hAnsi="Times New Roman"/>
          <w:i w:val="false"/>
          <w:sz w:val="24"/>
          <w:szCs w:val="24"/>
        </w:rPr>
        <w:t xml:space="preserve">Dördüncü sınır kaynaklarla ilgilidir. Rivayet usulü ve ilim ahlakı için temel eserler arasında sayılan bazı kitapların metinleri, çalışmada kullanılan kütüphanede okunamadığı için bu kitaplardan yararlanılamamıştır. Son gözden geçirme sırasında Şâmile'ye yeniden erişilemediği için bazı klasik alıntılar hazırlık çalışmalarındaki teyitli hâlleriyle aktarılmıştır ve basılı nüshalardan yeniden karşılaştırılmaları gerekmektedir. Modern yöntem bilgisi bu gözden geçirmede Creswell, Gadamer, Bauman, Beraha, Barnes, Hollinger ve Gordon gibi yazarlarla genişletilmiş olmakla birlikte, çocuklarla görüşme gibi bazı konular kullanılan eserlerde ayrıntılı olarak ele alınmamaktadır. Kuhn gibi paradigma tartışmasının kurucu isimlerine ise ancak sağlanan ikincil eserlerin kendi değerlendirmeleri üzerinden temas edilebilmiştir. Âyetlerin yorumunda tefsir kaynaklarına başvurulmamış, ansiklopedi maddeleri kullanılmamıştır. Bu sınırlar, kitapta yer alan bazı yorumların ileride daha geniş bir kaynak temeliyle sınanması gerektiğini göstermektedir.</w:t>
      </w:r>
    </w:p>
    <w:p>
      <w:pPr>
        <w:pStyle w:val="Heading2"/>
        <w:keepNext/>
        <w:spacing w:after="120" w:before="240"/>
      </w:pPr>
      <w:r>
        <w:rPr>
          <w:rFonts w:ascii="Times New Roman" w:cs="Traditional Arabic" w:eastAsia="Times New Roman" w:hAnsi="Times New Roman"/>
          <w:b/>
          <w:bCs/>
          <w:i w:val="false"/>
          <w:sz w:val="24"/>
          <w:szCs w:val="24"/>
        </w:rPr>
        <w:t xml:space="preserve">Din Eğitimi Araştırmacısı İçin İlkeler</w:t>
      </w:r>
    </w:p>
    <w:p>
      <w:pPr>
        <w:spacing w:after="120" w:line="360"/>
        <w:ind w:firstLine="567"/>
        <w:jc w:val="both"/>
      </w:pPr>
      <w:r>
        <w:rPr>
          <w:rFonts w:ascii="Times New Roman" w:cs="Traditional Arabic" w:eastAsia="Times New Roman" w:hAnsi="Times New Roman"/>
          <w:i w:val="false"/>
          <w:sz w:val="24"/>
          <w:szCs w:val="24"/>
        </w:rPr>
        <w:t xml:space="preserve">Kitap boyunca yapılan karşılaştırmalar, din eğitimi alanında nitel araştırma yapacak bir araştırmacı için aşağıdaki ilkeler halinde özetlenebilir. Bu ilkeler, modern yöntem bilgisinin ve klasik usul birikiminin birlikte okunmasından çıkarılmış yazar önerileridir ve üçüncü bölümde ortaya konan tahkîk paradigmasının on ilkesinin uygulamadaki karşılıklarıdır.</w:t>
      </w:r>
    </w:p>
    <w:p>
      <w:pPr>
        <w:spacing w:after="80" w:line="360"/>
        <w:ind w:left="567" w:hanging="283"/>
        <w:jc w:val="both"/>
      </w:pPr>
      <w:r>
        <w:rPr>
          <w:rFonts w:ascii="Times New Roman" w:cs="Traditional Arabic" w:eastAsia="Times New Roman" w:hAnsi="Times New Roman"/>
          <w:i w:val="false"/>
          <w:sz w:val="24"/>
          <w:szCs w:val="24"/>
        </w:rPr>
        <w:t xml:space="preserve">• Araştırmacı, sahaya çıkmadan önce sorusunu, alan yazınını ve kendi niyetini gözden geçirmelidir.</w:t>
      </w:r>
    </w:p>
    <w:p>
      <w:pPr>
        <w:spacing w:after="80" w:line="360"/>
        <w:ind w:left="567" w:hanging="283"/>
        <w:jc w:val="both"/>
      </w:pPr>
      <w:r>
        <w:rPr>
          <w:rFonts w:ascii="Times New Roman" w:cs="Traditional Arabic" w:eastAsia="Times New Roman" w:hAnsi="Times New Roman"/>
          <w:i w:val="false"/>
          <w:sz w:val="24"/>
          <w:szCs w:val="24"/>
        </w:rPr>
        <w:t xml:space="preserve">• Katılımcının anlatımı bir rivayet gibi doğru ya da yanlış diye sınanmamalı, katılımcının tecrübesinin ve anlam dünyasının ifadesi olarak anlaşılmaya çalışılmalıdır.</w:t>
      </w:r>
    </w:p>
    <w:p>
      <w:pPr>
        <w:spacing w:after="80" w:line="360"/>
        <w:ind w:left="567" w:hanging="283"/>
        <w:jc w:val="both"/>
      </w:pPr>
      <w:r>
        <w:rPr>
          <w:rFonts w:ascii="Times New Roman" w:cs="Traditional Arabic" w:eastAsia="Times New Roman" w:hAnsi="Times New Roman"/>
          <w:i w:val="false"/>
          <w:sz w:val="24"/>
          <w:szCs w:val="24"/>
        </w:rPr>
        <w:t xml:space="preserve">• Klasik tenkit ölçütleri, özellikle adalet ve zabt, araştırmacının kendisine uygulanmalıdır. Araştırmacı duymadığını duymuş, görmediğini görmüş gibi yazmamalı ve kayıtlarını titizlikle tutmalıdır.</w:t>
      </w:r>
    </w:p>
    <w:p>
      <w:pPr>
        <w:spacing w:after="80" w:line="360"/>
        <w:ind w:left="567" w:hanging="283"/>
        <w:jc w:val="both"/>
      </w:pPr>
      <w:r>
        <w:rPr>
          <w:rFonts w:ascii="Times New Roman" w:cs="Traditional Arabic" w:eastAsia="Times New Roman" w:hAnsi="Times New Roman"/>
          <w:i w:val="false"/>
          <w:sz w:val="24"/>
          <w:szCs w:val="24"/>
        </w:rPr>
        <w:t xml:space="preserve">• Sorular katılımcının ağzına araştırmacının sözünü koymamalı, telkin araştırmacının kusuru olarak görülmelidir.</w:t>
      </w:r>
    </w:p>
    <w:p>
      <w:pPr>
        <w:spacing w:after="80" w:line="360"/>
        <w:ind w:left="567" w:hanging="283"/>
        <w:jc w:val="both"/>
      </w:pPr>
      <w:r>
        <w:rPr>
          <w:rFonts w:ascii="Times New Roman" w:cs="Traditional Arabic" w:eastAsia="Times New Roman" w:hAnsi="Times New Roman"/>
          <w:i w:val="false"/>
          <w:sz w:val="24"/>
          <w:szCs w:val="24"/>
        </w:rPr>
        <w:t xml:space="preserve">• Gözlem notlarında görülen, katılımcıların açıklaması ve araştırmacının yorumu birbirinden ayrılmalıdır.</w:t>
      </w:r>
    </w:p>
    <w:p>
      <w:pPr>
        <w:spacing w:after="80" w:line="360"/>
        <w:ind w:left="567" w:hanging="283"/>
        <w:jc w:val="both"/>
      </w:pPr>
      <w:r>
        <w:rPr>
          <w:rFonts w:ascii="Times New Roman" w:cs="Traditional Arabic" w:eastAsia="Times New Roman" w:hAnsi="Times New Roman"/>
          <w:i w:val="false"/>
          <w:sz w:val="24"/>
          <w:szCs w:val="24"/>
        </w:rPr>
        <w:t xml:space="preserve">• Belgelerin aidiyeti, elde ediliş yolu ve sonradan eklenen kısımları açıkça bildirilmelidir.</w:t>
      </w:r>
    </w:p>
    <w:p>
      <w:pPr>
        <w:spacing w:after="80" w:line="360"/>
        <w:ind w:left="567" w:hanging="283"/>
        <w:jc w:val="both"/>
      </w:pPr>
      <w:r>
        <w:rPr>
          <w:rFonts w:ascii="Times New Roman" w:cs="Traditional Arabic" w:eastAsia="Times New Roman" w:hAnsi="Times New Roman"/>
          <w:i w:val="false"/>
          <w:sz w:val="24"/>
          <w:szCs w:val="24"/>
        </w:rPr>
        <w:t xml:space="preserve">• Temalar tek bir çarpıcı alıntıya değil, birbirini destekleyen pek çok işaretin birikimine dayanmalı, temaya uymayan durumlar da ayrıca incelenmelidir.</w:t>
      </w:r>
    </w:p>
    <w:p>
      <w:pPr>
        <w:spacing w:after="80" w:line="360"/>
        <w:ind w:left="567" w:hanging="283"/>
        <w:jc w:val="both"/>
      </w:pPr>
      <w:r>
        <w:rPr>
          <w:rFonts w:ascii="Times New Roman" w:cs="Traditional Arabic" w:eastAsia="Times New Roman" w:hAnsi="Times New Roman"/>
          <w:i w:val="false"/>
          <w:sz w:val="24"/>
          <w:szCs w:val="24"/>
        </w:rPr>
        <w:t xml:space="preserve">• Araştırmacı kendi dinî kanaatinin ve duygularının yorumunu nasıl etkileyebileceğini bilmeli ve bunu raporunda okura bildirmelidir.</w:t>
      </w:r>
    </w:p>
    <w:p>
      <w:pPr>
        <w:spacing w:after="80" w:line="360"/>
        <w:ind w:left="567" w:hanging="283"/>
        <w:jc w:val="both"/>
      </w:pPr>
      <w:r>
        <w:rPr>
          <w:rFonts w:ascii="Times New Roman" w:cs="Traditional Arabic" w:eastAsia="Times New Roman" w:hAnsi="Times New Roman"/>
          <w:i w:val="false"/>
          <w:sz w:val="24"/>
          <w:szCs w:val="24"/>
        </w:rPr>
        <w:t xml:space="preserve">• Katılımcıların sırları bir emanet olarak korunmalı, özellikle çocuklarla yapılan araştırmalarda veli izni, çocuğun rızası ve mahremiyet titizlikle gözetilmelidir.</w:t>
      </w:r>
    </w:p>
    <w:p>
      <w:pPr>
        <w:spacing w:after="80" w:line="360"/>
        <w:ind w:left="567" w:hanging="283"/>
        <w:jc w:val="both"/>
      </w:pPr>
      <w:r>
        <w:rPr>
          <w:rFonts w:ascii="Times New Roman" w:cs="Traditional Arabic" w:eastAsia="Times New Roman" w:hAnsi="Times New Roman"/>
          <w:i w:val="false"/>
          <w:sz w:val="24"/>
          <w:szCs w:val="24"/>
        </w:rPr>
        <w:t xml:space="preserve">• Raporda doğrudan alıntı ile özetleme ayrılmalı, kısaltmalar işaretlenmeli, verinin taşıyamayacağı hükümlerden kaçınılmalı ve bilinmeyen bilinmiyor diye yazılmalıdır.</w:t>
      </w:r>
    </w:p>
    <w:p>
      <w:pPr>
        <w:pStyle w:val="Heading2"/>
        <w:keepNext/>
        <w:spacing w:after="120" w:before="240"/>
      </w:pPr>
      <w:r>
        <w:rPr>
          <w:rFonts w:ascii="Times New Roman" w:cs="Traditional Arabic" w:eastAsia="Times New Roman" w:hAnsi="Times New Roman"/>
          <w:b/>
          <w:bCs/>
          <w:i w:val="false"/>
          <w:sz w:val="24"/>
          <w:szCs w:val="24"/>
        </w:rPr>
        <w:t xml:space="preserve">İleriki Çalışmalar İçin Öneriler</w:t>
      </w:r>
    </w:p>
    <w:p>
      <w:pPr>
        <w:spacing w:after="120" w:line="360"/>
        <w:ind w:firstLine="567"/>
        <w:jc w:val="both"/>
      </w:pPr>
      <w:r>
        <w:rPr>
          <w:rFonts w:ascii="Times New Roman" w:cs="Traditional Arabic" w:eastAsia="Times New Roman" w:hAnsi="Times New Roman"/>
          <w:i w:val="false"/>
          <w:sz w:val="24"/>
          <w:szCs w:val="24"/>
        </w:rPr>
        <w:t xml:space="preserve">Bu çalışmanın açtığı yoldan devam etmek isteyenler için birkaç öneri sıralanabilir. Birincisi, fetva ve nevâzil eserlerinin durum çalışması ile karşılaştırılabilecek bir çalışma tarzı içerip içermediği incelenebilir. İkincisi, bu çalışmada okunamayan rivayet usulü ve ilim ahlakı eserleri, uygun baskılarıyla ele alındığında tahammül, kitâbet ve ders meclisi âdâbına dair karşılaştırmalar genişletilebilir. Üçüncüsü, bu kitapta kurgusal örneklerle gösterilen araştırma tasarımları gerçek araştırmalarla sınanabilir. Özellikle Kur'an kurslarında çocukların tecrübesi, din kültürü derslerinde değer ile hayat arasındaki gerilim ve gençlerin dinî soruları, nitel araştırma için verimli alanlar olarak görünmektedir. Dördüncüsü, araştırmacının dindarlığı ve konumunun araştırma sürecine etkisi, din eğitimi araştırmacılarının kendi tecrübeleri üzerinden ayrıca incelenebilir. Beşincisi, tahkîk paradigmasının dört kutuplu mimarisi ve on ilkesi, din eğitimi dışındaki sosyal bilim alanlarında, özellikle din sosyolojisi, din psikolojisi ve ilahiyatın diğer uygulamalı alanlarında sınanarak geliştirilebilir.</w:t>
      </w:r>
    </w:p>
    <w:p>
      <w:pPr>
        <w:spacing w:after="120" w:line="360"/>
        <w:ind w:firstLine="567"/>
        <w:jc w:val="both"/>
      </w:pPr>
      <w:r>
        <w:rPr>
          <w:rFonts w:ascii="Times New Roman" w:cs="Traditional Arabic" w:eastAsia="Times New Roman" w:hAnsi="Times New Roman"/>
          <w:i w:val="false"/>
          <w:sz w:val="24"/>
          <w:szCs w:val="24"/>
        </w:rPr>
        <w:t xml:space="preserve">Toker makalesini kişisel bir kanaatle bitirmekte ve din sosyolojisi alanının eleştirel müdahalelere daha açık hale gelmesinin, bireyleri ve toplumları daha iyi anlama yolunda daha uygun ve daha insanî seçeneklere imkân açacağına inandığını belirtmektedir.</w:t>
      </w:r>
      <w:r>
        <w:rPr>
          <w:rStyle w:val="FootnoteReference"/>
        </w:rPr>
        <w:footnoteReference w:id="485"/>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Bu kitabın umudu da benzerdir. Din eğitimi araştırmacısı, hem nitel araştırmanın insanı kendi dünyasıyla anlama çabasını hem de kendi ilim geleneğinin dürüstlük, titizlik ve ihtiyat ahlakını taşıyabilirse, din eğitimine dair daha derin, daha dürüst ve daha insanî bir bilginin üretilmesine katkıda bulunabilir. Bu bilgi, Gazzâlî'nin iʿtibâr tanımında</w:t>
      </w:r>
      <w:r>
        <w:rPr>
          <w:rStyle w:val="FootnoteReference"/>
        </w:rPr>
        <w:footnoteReference w:id="486"/>
      </w:r>
      <w:r>
        <w:rPr>
          <w:rFonts w:ascii="Times New Roman" w:cs="Traditional Arabic" w:eastAsia="Times New Roman" w:hAnsi="Times New Roman"/>
          <w:i w:val="false"/>
          <w:sz w:val="24"/>
          <w:szCs w:val="24"/>
        </w:rPr>
        <w:t xml:space="preserve"> </w:t>
      </w:r>
      <w:r>
        <w:rPr>
          <w:rFonts w:ascii="Times New Roman" w:cs="Traditional Arabic" w:eastAsia="Times New Roman" w:hAnsi="Times New Roman"/>
          <w:i w:val="false"/>
          <w:sz w:val="24"/>
          <w:szCs w:val="24"/>
        </w:rPr>
        <w:t xml:space="preserve">olduğu gibi, okuyanın kendi durumuna geçmesine ve orada yeni bir anlayış kazanmasına imkân verdiği ölçüde değer kazanacaktır.</w:t>
      </w:r>
    </w:p>
    <w:p>
      <w:pPr>
        <w:pStyle w:val="Dogrulama"/>
        <w:keepNext/>
        <w:spacing w:after="20" w:before="60"/>
      </w:pPr>
      <w:r>
        <w:rPr>
          <w:rFonts w:ascii="Times New Roman" w:cs="Traditional Arabic" w:eastAsia="Times New Roman" w:hAnsi="Times New Roman"/>
          <w:b/>
          <w:bCs/>
          <w:i w:val="false"/>
          <w:color w:val="7F7F7F"/>
          <w:sz w:val="18"/>
          <w:szCs w:val="18"/>
        </w:rPr>
        <w:t xml:space="preserve">Doğrulama</w:t>
      </w:r>
    </w:p>
    <w:p>
      <w:pPr>
        <w:pStyle w:val="Dogrulama"/>
        <w:spacing w:after="20" w:line="276"/>
        <w:ind w:left="567"/>
        <w:jc w:val="both"/>
      </w:pPr>
      <w:r>
        <w:rPr>
          <w:rFonts w:ascii="Times New Roman" w:cs="Traditional Arabic" w:eastAsia="Times New Roman" w:hAnsi="Times New Roman"/>
          <w:i/>
          <w:iCs/>
          <w:sz w:val="22"/>
          <w:szCs w:val="22"/>
        </w:rPr>
        <w:t xml:space="preserve">“Kişisel inancım odur ki, din sosyolojisi alanının bu tür eleştirel müdahalelere daha açık hale gelmesi, bireylerin ve toplumların daha iyi anlaşılmaları amacı doğrultusunda, daha uygun ve daha insanî seçeneklere yönelme imkânlarını ortaya çıkartacaktır.”</w:t>
      </w:r>
    </w:p>
    <w:p>
      <w:pPr>
        <w:pStyle w:val="Dogrulama"/>
        <w:spacing w:after="80" w:line="240"/>
        <w:ind w:left="567"/>
      </w:pPr>
      <w:r>
        <w:rPr>
          <w:rFonts w:ascii="Times New Roman" w:cs="Traditional Arabic" w:eastAsia="Times New Roman" w:hAnsi="Times New Roman"/>
          <w:i w:val="false"/>
          <w:color w:val="7F7F7F"/>
          <w:sz w:val="18"/>
          <w:szCs w:val="18"/>
        </w:rPr>
        <w:t xml:space="preserve">[Dosya: 18f10c14-nitel_ara_t_rma_paradigmas__ve_din.pdf, basılı s. 73, PDF s. 21]</w:t>
      </w:r>
    </w:p>
    <w:p>
      <w:pPr>
        <w:pStyle w:val="Dogrulama"/>
        <w:spacing w:after="80" w:line="240"/>
        <w:ind w:left="567"/>
      </w:pPr>
      <w:r>
        <w:rPr>
          <w:rFonts w:ascii="Times New Roman" w:cs="Traditional Arabic" w:eastAsia="Times New Roman" w:hAnsi="Times New Roman"/>
          <w:i w:val="false"/>
          <w:color w:val="7F7F7F"/>
          <w:sz w:val="18"/>
          <w:szCs w:val="18"/>
        </w:rPr>
        <w:t xml:space="preserve">[Bu atfın özgün metni 383. dipnottaki doğrulama bloğunda verilmiştir.]</w:t>
      </w:r>
    </w:p>
    <w:p>
      <w:pPr>
        <w:pStyle w:val="Heading1"/>
        <w:pageBreakBefore/>
        <w:spacing w:after="360" w:before="600"/>
        <w:jc w:val="center"/>
      </w:pPr>
      <w:r>
        <w:rPr>
          <w:rFonts w:ascii="Times New Roman" w:cs="Traditional Arabic" w:eastAsia="Times New Roman" w:hAnsi="Times New Roman"/>
          <w:b/>
          <w:bCs/>
          <w:i w:val="false"/>
          <w:color w:val="1F3864"/>
          <w:sz w:val="28"/>
          <w:szCs w:val="28"/>
        </w:rPr>
        <w:t xml:space="preserve">KAYNAKÇA</w:t>
      </w:r>
    </w:p>
    <w:p>
      <w:pPr>
        <w:keepNext/>
        <w:spacing w:after="80" w:before="200"/>
      </w:pPr>
      <w:r>
        <w:rPr>
          <w:rFonts w:ascii="Times New Roman" w:cs="Traditional Arabic" w:eastAsia="Times New Roman" w:hAnsi="Times New Roman"/>
          <w:b/>
          <w:bCs/>
          <w:i w:val="false"/>
          <w:sz w:val="22"/>
          <w:szCs w:val="22"/>
        </w:rPr>
        <w:t xml:space="preserve">Klasik Eserler</w:t>
      </w:r>
    </w:p>
    <w:p>
      <w:pPr>
        <w:spacing w:after="100" w:line="300"/>
        <w:ind w:left="567" w:hanging="567"/>
        <w:jc w:val="both"/>
      </w:pPr>
      <w:r>
        <w:rPr>
          <w:rFonts w:ascii="Times New Roman" w:cs="Traditional Arabic" w:eastAsia="Times New Roman" w:hAnsi="Times New Roman"/>
          <w:i w:val="false"/>
          <w:sz w:val="22"/>
          <w:szCs w:val="22"/>
        </w:rPr>
        <w:t xml:space="preserve">Bîrûnî [MÜELLİFİN TAM ADI DOĞRULANAMADI]. </w:t>
      </w:r>
      <w:r>
        <w:rPr>
          <w:rFonts w:ascii="Times New Roman" w:cs="Traditional Arabic" w:eastAsia="Times New Roman" w:hAnsi="Times New Roman"/>
          <w:i/>
          <w:iCs/>
          <w:sz w:val="22"/>
          <w:szCs w:val="22"/>
        </w:rPr>
        <w:t xml:space="preserve">Tahkîku mâ li'l-Hind min makûle makbûle fi'l-akl ev merzûle</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تحقيق ما للهند من مقولة مقبولة في العقل أو مرذولة</w:t>
      </w:r>
      <w:r>
        <w:rPr>
          <w:rFonts w:ascii="Times New Roman" w:cs="Traditional Arabic" w:eastAsia="Times New Roman" w:hAnsi="Times New Roman"/>
          <w:i w:val="false"/>
          <w:sz w:val="22"/>
          <w:szCs w:val="22"/>
        </w:rPr>
        <w:t xml:space="preserve">, kayıt no. 11655.</w:t>
      </w:r>
    </w:p>
    <w:p>
      <w:pPr>
        <w:spacing w:after="100" w:line="300"/>
        <w:ind w:left="567" w:hanging="567"/>
        <w:jc w:val="both"/>
      </w:pPr>
      <w:r>
        <w:rPr>
          <w:rFonts w:ascii="Times New Roman" w:cs="Traditional Arabic" w:eastAsia="Times New Roman" w:hAnsi="Times New Roman"/>
          <w:i w:val="false"/>
          <w:sz w:val="22"/>
          <w:szCs w:val="22"/>
        </w:rPr>
        <w:t xml:space="preserve">Buhârî [MÜELLİFİN TAM ADI DOĞRULANAMADI]. </w:t>
      </w:r>
      <w:r>
        <w:rPr>
          <w:rFonts w:ascii="Times New Roman" w:cs="Traditional Arabic" w:eastAsia="Times New Roman" w:hAnsi="Times New Roman"/>
          <w:i/>
          <w:iCs/>
          <w:sz w:val="22"/>
          <w:szCs w:val="22"/>
        </w:rPr>
        <w:t xml:space="preserve">Sahîhu'l-Buhârî [et-Teʾsîl baskısı]</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صحيح البخاري - ط التأصيل</w:t>
      </w:r>
      <w:r>
        <w:rPr>
          <w:rFonts w:ascii="Times New Roman" w:cs="Traditional Arabic" w:eastAsia="Times New Roman" w:hAnsi="Times New Roman"/>
          <w:i w:val="false"/>
          <w:sz w:val="22"/>
          <w:szCs w:val="22"/>
        </w:rPr>
        <w:t xml:space="preserve">, kayıt no. 1284.</w:t>
      </w:r>
    </w:p>
    <w:p>
      <w:pPr>
        <w:spacing w:after="100" w:line="300"/>
        <w:ind w:left="567" w:hanging="567"/>
        <w:jc w:val="both"/>
      </w:pPr>
      <w:r>
        <w:rPr>
          <w:rFonts w:ascii="Times New Roman" w:cs="Traditional Arabic" w:eastAsia="Times New Roman" w:hAnsi="Times New Roman"/>
          <w:i w:val="false"/>
          <w:sz w:val="22"/>
          <w:szCs w:val="22"/>
        </w:rPr>
        <w:t xml:space="preserve">Cürcânî, Abdülkâhir [MÜELLİFİN TAM ADI DOĞRULANAMADI]. </w:t>
      </w:r>
      <w:r>
        <w:rPr>
          <w:rFonts w:ascii="Times New Roman" w:cs="Traditional Arabic" w:eastAsia="Times New Roman" w:hAnsi="Times New Roman"/>
          <w:i/>
          <w:iCs/>
          <w:sz w:val="22"/>
          <w:szCs w:val="22"/>
        </w:rPr>
        <w:t xml:space="preserve">Esrârü'l-belâğa</w:t>
      </w:r>
      <w:r>
        <w:rPr>
          <w:rFonts w:ascii="Times New Roman" w:cs="Traditional Arabic" w:eastAsia="Times New Roman" w:hAnsi="Times New Roman"/>
          <w:i w:val="false"/>
          <w:sz w:val="22"/>
          <w:szCs w:val="22"/>
        </w:rPr>
        <w:t xml:space="preserve">. Thk. Mahmûd Şâkir [ADI ŞAMİLE ESER ADINDAKİ KISALTMADAN ALINMIŞTIR]. BASKI BİLGİSİ DOĞRULANAMADI. Şâmile'deki adı: </w:t>
      </w:r>
      <w:r>
        <w:rPr>
          <w:rFonts w:ascii="Times New Roman" w:cs="Traditional Arabic" w:eastAsia="Times New Roman" w:hAnsi="Times New Roman"/>
          <w:i w:val="false"/>
          <w:sz w:val="22"/>
          <w:szCs w:val="27"/>
          <w:rtl/>
        </w:rPr>
        <w:t xml:space="preserve">أسرار البلاغة - ت محمود شاكر</w:t>
      </w:r>
      <w:r>
        <w:rPr>
          <w:rFonts w:ascii="Times New Roman" w:cs="Traditional Arabic" w:eastAsia="Times New Roman" w:hAnsi="Times New Roman"/>
          <w:i w:val="false"/>
          <w:sz w:val="22"/>
          <w:szCs w:val="22"/>
        </w:rPr>
        <w:t xml:space="preserve">, kayıt no. 8187.</w:t>
      </w:r>
    </w:p>
    <w:p>
      <w:pPr>
        <w:spacing w:after="100" w:line="300"/>
        <w:ind w:left="567" w:hanging="567"/>
        <w:jc w:val="both"/>
      </w:pPr>
      <w:r>
        <w:rPr>
          <w:rFonts w:ascii="Times New Roman" w:cs="Traditional Arabic" w:eastAsia="Times New Roman" w:hAnsi="Times New Roman"/>
          <w:i w:val="false"/>
          <w:sz w:val="22"/>
          <w:szCs w:val="22"/>
        </w:rPr>
        <w:t xml:space="preserve">Cürcânî, Şerîf [MÜELLİFİN TAM ADI DOĞRULANAMADI]. </w:t>
      </w:r>
      <w:r>
        <w:rPr>
          <w:rFonts w:ascii="Times New Roman" w:cs="Traditional Arabic" w:eastAsia="Times New Roman" w:hAnsi="Times New Roman"/>
          <w:i/>
          <w:iCs/>
          <w:sz w:val="22"/>
          <w:szCs w:val="22"/>
        </w:rPr>
        <w:t xml:space="preserve">et-Taʿrîfât</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التعريفات</w:t>
      </w:r>
      <w:r>
        <w:rPr>
          <w:rFonts w:ascii="Times New Roman" w:cs="Traditional Arabic" w:eastAsia="Times New Roman" w:hAnsi="Times New Roman"/>
          <w:i w:val="false"/>
          <w:sz w:val="22"/>
          <w:szCs w:val="22"/>
        </w:rPr>
        <w:t xml:space="preserve">, kayıt no. 7312.</w:t>
      </w:r>
    </w:p>
    <w:p>
      <w:pPr>
        <w:spacing w:after="100" w:line="300"/>
        <w:ind w:left="567" w:hanging="567"/>
        <w:jc w:val="both"/>
      </w:pPr>
      <w:r>
        <w:rPr>
          <w:rFonts w:ascii="Times New Roman" w:cs="Traditional Arabic" w:eastAsia="Times New Roman" w:hAnsi="Times New Roman"/>
          <w:i w:val="false"/>
          <w:sz w:val="22"/>
          <w:szCs w:val="22"/>
        </w:rPr>
        <w:t xml:space="preserve">Gazzâlî, Ebû Hâmid Muhammed b. Muhammed. </w:t>
      </w:r>
      <w:r>
        <w:rPr>
          <w:rFonts w:ascii="Times New Roman" w:cs="Traditional Arabic" w:eastAsia="Times New Roman" w:hAnsi="Times New Roman"/>
          <w:i/>
          <w:iCs/>
          <w:sz w:val="22"/>
          <w:szCs w:val="22"/>
        </w:rPr>
        <w:t xml:space="preserve">İhyâu ulûmi'd-dîn</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إحياء علوم الدين</w:t>
      </w:r>
      <w:r>
        <w:rPr>
          <w:rFonts w:ascii="Times New Roman" w:cs="Traditional Arabic" w:eastAsia="Times New Roman" w:hAnsi="Times New Roman"/>
          <w:i w:val="false"/>
          <w:sz w:val="22"/>
          <w:szCs w:val="22"/>
        </w:rPr>
        <w:t xml:space="preserve">, kayıt no. 9472.</w:t>
      </w:r>
    </w:p>
    <w:p>
      <w:pPr>
        <w:spacing w:after="100" w:line="300"/>
        <w:ind w:left="567" w:hanging="567"/>
        <w:jc w:val="both"/>
      </w:pPr>
      <w:r>
        <w:rPr>
          <w:rFonts w:ascii="Times New Roman" w:cs="Traditional Arabic" w:eastAsia="Times New Roman" w:hAnsi="Times New Roman"/>
          <w:i w:val="false"/>
          <w:sz w:val="22"/>
          <w:szCs w:val="22"/>
        </w:rPr>
        <w:t xml:space="preserve">Gazzâlî, Ebû Hâmid Muhammed b. Muhammed. </w:t>
      </w:r>
      <w:r>
        <w:rPr>
          <w:rFonts w:ascii="Times New Roman" w:cs="Traditional Arabic" w:eastAsia="Times New Roman" w:hAnsi="Times New Roman"/>
          <w:i/>
          <w:iCs/>
          <w:sz w:val="22"/>
          <w:szCs w:val="22"/>
        </w:rPr>
        <w:t xml:space="preserve">el-Munkız mine'd-dalâl</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المنقذ من الضلال</w:t>
      </w:r>
      <w:r>
        <w:rPr>
          <w:rFonts w:ascii="Times New Roman" w:cs="Traditional Arabic" w:eastAsia="Times New Roman" w:hAnsi="Times New Roman"/>
          <w:i w:val="false"/>
          <w:sz w:val="22"/>
          <w:szCs w:val="22"/>
        </w:rPr>
        <w:t xml:space="preserve">, kayıt no. 9246.</w:t>
      </w:r>
    </w:p>
    <w:p>
      <w:pPr>
        <w:spacing w:after="100" w:line="300"/>
        <w:ind w:left="567" w:hanging="567"/>
        <w:jc w:val="both"/>
      </w:pPr>
      <w:r>
        <w:rPr>
          <w:rFonts w:ascii="Times New Roman" w:cs="Traditional Arabic" w:eastAsia="Times New Roman" w:hAnsi="Times New Roman"/>
          <w:i w:val="false"/>
          <w:sz w:val="22"/>
          <w:szCs w:val="22"/>
        </w:rPr>
        <w:t xml:space="preserve">Gazzâlî, Ebû Hâmid Muhammed b. Muhammed. </w:t>
      </w:r>
      <w:r>
        <w:rPr>
          <w:rFonts w:ascii="Times New Roman" w:cs="Traditional Arabic" w:eastAsia="Times New Roman" w:hAnsi="Times New Roman"/>
          <w:i/>
          <w:iCs/>
          <w:sz w:val="22"/>
          <w:szCs w:val="22"/>
        </w:rPr>
        <w:t xml:space="preserve">el-Mustasfâ</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المستصفى</w:t>
      </w:r>
      <w:r>
        <w:rPr>
          <w:rFonts w:ascii="Times New Roman" w:cs="Traditional Arabic" w:eastAsia="Times New Roman" w:hAnsi="Times New Roman"/>
          <w:i w:val="false"/>
          <w:sz w:val="22"/>
          <w:szCs w:val="22"/>
        </w:rPr>
        <w:t xml:space="preserve">, kayıt no. 5459.</w:t>
      </w:r>
    </w:p>
    <w:p>
      <w:pPr>
        <w:spacing w:after="100" w:line="300"/>
        <w:ind w:left="567" w:hanging="567"/>
        <w:jc w:val="both"/>
      </w:pPr>
      <w:r>
        <w:rPr>
          <w:rFonts w:ascii="Times New Roman" w:cs="Traditional Arabic" w:eastAsia="Times New Roman" w:hAnsi="Times New Roman"/>
          <w:i w:val="false"/>
          <w:sz w:val="22"/>
          <w:szCs w:val="22"/>
        </w:rPr>
        <w:t xml:space="preserve">Hatîb el-Bağdâdî [MÜELLİFİN TAM ADI DOĞRULANAMADI]. </w:t>
      </w:r>
      <w:r>
        <w:rPr>
          <w:rFonts w:ascii="Times New Roman" w:cs="Traditional Arabic" w:eastAsia="Times New Roman" w:hAnsi="Times New Roman"/>
          <w:i/>
          <w:iCs/>
          <w:sz w:val="22"/>
          <w:szCs w:val="22"/>
        </w:rPr>
        <w:t xml:space="preserve">er-Rıhle fî talebi'l-hadîs</w:t>
      </w:r>
      <w:r>
        <w:rPr>
          <w:rFonts w:ascii="Times New Roman" w:cs="Traditional Arabic" w:eastAsia="Times New Roman" w:hAnsi="Times New Roman"/>
          <w:i w:val="false"/>
          <w:sz w:val="22"/>
          <w:szCs w:val="22"/>
        </w:rPr>
        <w:t xml:space="preserve">. Thk. Ebû Üveys [ADI ŞAMİLE ESER ADINDAKİ KISALTMADAN ALINMIŞTIR]. BASKI BİLGİSİ DOĞRULANAMADI. Şâmile'deki adı: </w:t>
      </w:r>
      <w:r>
        <w:rPr>
          <w:rFonts w:ascii="Times New Roman" w:cs="Traditional Arabic" w:eastAsia="Times New Roman" w:hAnsi="Times New Roman"/>
          <w:i w:val="false"/>
          <w:sz w:val="22"/>
          <w:szCs w:val="27"/>
          <w:rtl/>
        </w:rPr>
        <w:t xml:space="preserve">الرحلة في طلب الحديث - ت أبي أويس</w:t>
      </w:r>
      <w:r>
        <w:rPr>
          <w:rFonts w:ascii="Times New Roman" w:cs="Traditional Arabic" w:eastAsia="Times New Roman" w:hAnsi="Times New Roman"/>
          <w:i w:val="false"/>
          <w:sz w:val="22"/>
          <w:szCs w:val="22"/>
        </w:rPr>
        <w:t xml:space="preserve">, kayıt no. 1454.</w:t>
      </w:r>
    </w:p>
    <w:p>
      <w:pPr>
        <w:spacing w:after="100" w:line="300"/>
        <w:ind w:left="567" w:hanging="567"/>
        <w:jc w:val="both"/>
      </w:pPr>
      <w:r>
        <w:rPr>
          <w:rFonts w:ascii="Times New Roman" w:cs="Traditional Arabic" w:eastAsia="Times New Roman" w:hAnsi="Times New Roman"/>
          <w:i w:val="false"/>
          <w:sz w:val="22"/>
          <w:szCs w:val="22"/>
        </w:rPr>
        <w:t xml:space="preserve">Hâkim en-Nîsâbûrî, Ebû Abdillâh [MÜELLİFİN TAM ADI DOĞRULANAMADI]. </w:t>
      </w:r>
      <w:r>
        <w:rPr>
          <w:rFonts w:ascii="Times New Roman" w:cs="Traditional Arabic" w:eastAsia="Times New Roman" w:hAnsi="Times New Roman"/>
          <w:i/>
          <w:iCs/>
          <w:sz w:val="22"/>
          <w:szCs w:val="22"/>
        </w:rPr>
        <w:t xml:space="preserve">Maʿrifetü ulûmi'l-hadîs</w:t>
      </w:r>
      <w:r>
        <w:rPr>
          <w:rFonts w:ascii="Times New Roman" w:cs="Traditional Arabic" w:eastAsia="Times New Roman" w:hAnsi="Times New Roman"/>
          <w:i w:val="false"/>
          <w:sz w:val="22"/>
          <w:szCs w:val="22"/>
        </w:rPr>
        <w:t xml:space="preserve">. BASKI BİLGİSİ DOĞRULANAMADI. Şâmile kayıt no. 13179.</w:t>
      </w:r>
    </w:p>
    <w:p>
      <w:pPr>
        <w:spacing w:after="100" w:line="300"/>
        <w:ind w:left="567" w:hanging="567"/>
        <w:jc w:val="both"/>
      </w:pPr>
      <w:r>
        <w:rPr>
          <w:rFonts w:ascii="Times New Roman" w:cs="Traditional Arabic" w:eastAsia="Times New Roman" w:hAnsi="Times New Roman"/>
          <w:i w:val="false"/>
          <w:sz w:val="22"/>
          <w:szCs w:val="22"/>
        </w:rPr>
        <w:t xml:space="preserve">İbn Abdilber [MÜELLİFİN TAM ADI DOĞRULANAMADI]. </w:t>
      </w:r>
      <w:r>
        <w:rPr>
          <w:rFonts w:ascii="Times New Roman" w:cs="Traditional Arabic" w:eastAsia="Times New Roman" w:hAnsi="Times New Roman"/>
          <w:i/>
          <w:iCs/>
          <w:sz w:val="22"/>
          <w:szCs w:val="22"/>
        </w:rPr>
        <w:t xml:space="preserve">Câmiʿu beyâni'l-ilm ve fazlih</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جامع بيان العلم وفضله</w:t>
      </w:r>
      <w:r>
        <w:rPr>
          <w:rFonts w:ascii="Times New Roman" w:cs="Traditional Arabic" w:eastAsia="Times New Roman" w:hAnsi="Times New Roman"/>
          <w:i w:val="false"/>
          <w:sz w:val="22"/>
          <w:szCs w:val="22"/>
        </w:rPr>
        <w:t xml:space="preserve">, kayıt no. 22367.</w:t>
      </w:r>
    </w:p>
    <w:p>
      <w:pPr>
        <w:spacing w:after="100" w:line="300"/>
        <w:ind w:left="567" w:hanging="567"/>
        <w:jc w:val="both"/>
      </w:pPr>
      <w:r>
        <w:rPr>
          <w:rFonts w:ascii="Times New Roman" w:cs="Traditional Arabic" w:eastAsia="Times New Roman" w:hAnsi="Times New Roman"/>
          <w:i w:val="false"/>
          <w:sz w:val="22"/>
          <w:szCs w:val="22"/>
        </w:rPr>
        <w:t xml:space="preserve">İbn Battûta [MÜELLİFİN TAM ADI DOĞRULANAMADI]. </w:t>
      </w:r>
      <w:r>
        <w:rPr>
          <w:rFonts w:ascii="Times New Roman" w:cs="Traditional Arabic" w:eastAsia="Times New Roman" w:hAnsi="Times New Roman"/>
          <w:i/>
          <w:iCs/>
          <w:sz w:val="22"/>
          <w:szCs w:val="22"/>
        </w:rPr>
        <w:t xml:space="preserve">Rihletü İbn Battûta</w:t>
      </w:r>
      <w:r>
        <w:rPr>
          <w:rFonts w:ascii="Times New Roman" w:cs="Traditional Arabic" w:eastAsia="Times New Roman" w:hAnsi="Times New Roman"/>
          <w:i w:val="false"/>
          <w:sz w:val="22"/>
          <w:szCs w:val="22"/>
        </w:rPr>
        <w:t xml:space="preserve">. [Akademiyyetü'l-Memleketi'l-Mağribiyye baskısı]. BASKI BİLGİSİ DOĞRULANAMADI. Şâmile'deki adı: </w:t>
      </w:r>
      <w:r>
        <w:rPr>
          <w:rFonts w:ascii="Times New Roman" w:cs="Traditional Arabic" w:eastAsia="Times New Roman" w:hAnsi="Times New Roman"/>
          <w:i w:val="false"/>
          <w:sz w:val="22"/>
          <w:szCs w:val="27"/>
          <w:rtl/>
        </w:rPr>
        <w:t xml:space="preserve">رحلة ابن بطوطة ط أكاديمية المملكة المغربية</w:t>
      </w:r>
      <w:r>
        <w:rPr>
          <w:rFonts w:ascii="Times New Roman" w:cs="Traditional Arabic" w:eastAsia="Times New Roman" w:hAnsi="Times New Roman"/>
          <w:i w:val="false"/>
          <w:sz w:val="22"/>
          <w:szCs w:val="22"/>
        </w:rPr>
        <w:t xml:space="preserve">, kayıt no. 11769.</w:t>
      </w:r>
    </w:p>
    <w:p>
      <w:pPr>
        <w:spacing w:after="100" w:line="300"/>
        <w:ind w:left="567" w:hanging="567"/>
        <w:jc w:val="both"/>
      </w:pPr>
      <w:r>
        <w:rPr>
          <w:rFonts w:ascii="Times New Roman" w:cs="Traditional Arabic" w:eastAsia="Times New Roman" w:hAnsi="Times New Roman"/>
          <w:i w:val="false"/>
          <w:sz w:val="22"/>
          <w:szCs w:val="22"/>
        </w:rPr>
        <w:t xml:space="preserve">İbn Cemâa [MÜELLİFİN TAM ADI DOĞRULANAMADI]. </w:t>
      </w:r>
      <w:r>
        <w:rPr>
          <w:rFonts w:ascii="Times New Roman" w:cs="Traditional Arabic" w:eastAsia="Times New Roman" w:hAnsi="Times New Roman"/>
          <w:i/>
          <w:iCs/>
          <w:sz w:val="22"/>
          <w:szCs w:val="22"/>
        </w:rPr>
        <w:t xml:space="preserve">Tezkiretü's-sâmiʿ ve'l-mütekellim fî edebi'l-âlim ve'l-müteallim</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تذكرة السامع والمتكلم في أدب العالم والمتعلم</w:t>
      </w:r>
      <w:r>
        <w:rPr>
          <w:rFonts w:ascii="Times New Roman" w:cs="Traditional Arabic" w:eastAsia="Times New Roman" w:hAnsi="Times New Roman"/>
          <w:i w:val="false"/>
          <w:sz w:val="22"/>
          <w:szCs w:val="22"/>
        </w:rPr>
        <w:t xml:space="preserve">, kayıt no. 151180.</w:t>
      </w:r>
    </w:p>
    <w:p>
      <w:pPr>
        <w:spacing w:after="100" w:line="300"/>
        <w:ind w:left="567" w:hanging="567"/>
        <w:jc w:val="both"/>
      </w:pPr>
      <w:r>
        <w:rPr>
          <w:rFonts w:ascii="Times New Roman" w:cs="Traditional Arabic" w:eastAsia="Times New Roman" w:hAnsi="Times New Roman"/>
          <w:i w:val="false"/>
          <w:sz w:val="22"/>
          <w:szCs w:val="22"/>
        </w:rPr>
        <w:t xml:space="preserve">İbn Hacer el-Askalânî [MÜELLİFİN TAM ADI DOĞRULANAMADI]. </w:t>
      </w:r>
      <w:r>
        <w:rPr>
          <w:rFonts w:ascii="Times New Roman" w:cs="Traditional Arabic" w:eastAsia="Times New Roman" w:hAnsi="Times New Roman"/>
          <w:i/>
          <w:iCs/>
          <w:sz w:val="22"/>
          <w:szCs w:val="22"/>
        </w:rPr>
        <w:t xml:space="preserve">Nüzhetü'n-nazar fî tavzîhi Nuhbeti'l-fiker</w:t>
      </w:r>
      <w:r>
        <w:rPr>
          <w:rFonts w:ascii="Times New Roman" w:cs="Traditional Arabic" w:eastAsia="Times New Roman" w:hAnsi="Times New Roman"/>
          <w:i w:val="false"/>
          <w:sz w:val="22"/>
          <w:szCs w:val="22"/>
        </w:rPr>
        <w:t xml:space="preserve">. nşr. Nûreddin Itr. BASKI BİLGİSİ DOĞRULANAMADI. Şâmile kayıt no. 1565.</w:t>
      </w:r>
    </w:p>
    <w:p>
      <w:pPr>
        <w:spacing w:after="100" w:line="300"/>
        <w:ind w:left="567" w:hanging="567"/>
        <w:jc w:val="both"/>
      </w:pPr>
      <w:r>
        <w:rPr>
          <w:rFonts w:ascii="Times New Roman" w:cs="Traditional Arabic" w:eastAsia="Times New Roman" w:hAnsi="Times New Roman"/>
          <w:i w:val="false"/>
          <w:sz w:val="22"/>
          <w:szCs w:val="22"/>
        </w:rPr>
        <w:t xml:space="preserve">İbn Haldûn [MÜELLİFİN TAM ADI DOĞRULANAMADI]. </w:t>
      </w:r>
      <w:r>
        <w:rPr>
          <w:rFonts w:ascii="Times New Roman" w:cs="Traditional Arabic" w:eastAsia="Times New Roman" w:hAnsi="Times New Roman"/>
          <w:i/>
          <w:iCs/>
          <w:sz w:val="22"/>
          <w:szCs w:val="22"/>
        </w:rPr>
        <w:t xml:space="preserve">Târîhu İbn Haldûn</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تاريخ ابن خلدون</w:t>
      </w:r>
      <w:r>
        <w:rPr>
          <w:rFonts w:ascii="Times New Roman" w:cs="Traditional Arabic" w:eastAsia="Times New Roman" w:hAnsi="Times New Roman"/>
          <w:i w:val="false"/>
          <w:sz w:val="22"/>
          <w:szCs w:val="22"/>
        </w:rPr>
        <w:t xml:space="preserve">, kayıt no. 12320.</w:t>
      </w:r>
    </w:p>
    <w:p>
      <w:pPr>
        <w:spacing w:after="100" w:line="300"/>
        <w:ind w:left="567" w:hanging="567"/>
        <w:jc w:val="both"/>
      </w:pPr>
      <w:r>
        <w:rPr>
          <w:rFonts w:ascii="Times New Roman" w:cs="Traditional Arabic" w:eastAsia="Times New Roman" w:hAnsi="Times New Roman"/>
          <w:i w:val="false"/>
          <w:sz w:val="22"/>
          <w:szCs w:val="22"/>
        </w:rPr>
        <w:t xml:space="preserve">İbn Nüceym, Zeynüddîn. </w:t>
      </w:r>
      <w:r>
        <w:rPr>
          <w:rFonts w:ascii="Times New Roman" w:cs="Traditional Arabic" w:eastAsia="Times New Roman" w:hAnsi="Times New Roman"/>
          <w:i/>
          <w:iCs/>
          <w:sz w:val="22"/>
          <w:szCs w:val="22"/>
        </w:rPr>
        <w:t xml:space="preserve">el-Eşbâh ve'n-nezâir</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الأشباه والنظائر - ابن نجيم</w:t>
      </w:r>
      <w:r>
        <w:rPr>
          <w:rFonts w:ascii="Times New Roman" w:cs="Traditional Arabic" w:eastAsia="Times New Roman" w:hAnsi="Times New Roman"/>
          <w:i w:val="false"/>
          <w:sz w:val="22"/>
          <w:szCs w:val="22"/>
        </w:rPr>
        <w:t xml:space="preserve">, kayıt no. 1666.</w:t>
      </w:r>
    </w:p>
    <w:p>
      <w:pPr>
        <w:spacing w:after="100" w:line="300"/>
        <w:ind w:left="567" w:hanging="567"/>
        <w:jc w:val="both"/>
      </w:pPr>
      <w:r>
        <w:rPr>
          <w:rFonts w:ascii="Times New Roman" w:cs="Traditional Arabic" w:eastAsia="Times New Roman" w:hAnsi="Times New Roman"/>
          <w:i w:val="false"/>
          <w:sz w:val="22"/>
          <w:szCs w:val="22"/>
        </w:rPr>
        <w:t xml:space="preserve">İbnü'l-Hâc [MÜELLİFİN TAM ADI DOĞRULANAMADI]. </w:t>
      </w:r>
      <w:r>
        <w:rPr>
          <w:rFonts w:ascii="Times New Roman" w:cs="Traditional Arabic" w:eastAsia="Times New Roman" w:hAnsi="Times New Roman"/>
          <w:i/>
          <w:iCs/>
          <w:sz w:val="22"/>
          <w:szCs w:val="22"/>
        </w:rPr>
        <w:t xml:space="preserve">el-Medhal</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المدخل لابن الحاج</w:t>
      </w:r>
      <w:r>
        <w:rPr>
          <w:rFonts w:ascii="Times New Roman" w:cs="Traditional Arabic" w:eastAsia="Times New Roman" w:hAnsi="Times New Roman"/>
          <w:i w:val="false"/>
          <w:sz w:val="22"/>
          <w:szCs w:val="22"/>
        </w:rPr>
        <w:t xml:space="preserve">, kayıt no. 11406.</w:t>
      </w:r>
    </w:p>
    <w:p>
      <w:pPr>
        <w:spacing w:after="100" w:line="300"/>
        <w:ind w:left="567" w:hanging="567"/>
        <w:jc w:val="both"/>
      </w:pPr>
      <w:r>
        <w:rPr>
          <w:rFonts w:ascii="Times New Roman" w:cs="Traditional Arabic" w:eastAsia="Times New Roman" w:hAnsi="Times New Roman"/>
          <w:i w:val="false"/>
          <w:sz w:val="22"/>
          <w:szCs w:val="22"/>
        </w:rPr>
        <w:t xml:space="preserve">İbnü'l-Kayyim [MÜELLİFİN TAM ADI DOĞRULANAMADI]. </w:t>
      </w:r>
      <w:r>
        <w:rPr>
          <w:rFonts w:ascii="Times New Roman" w:cs="Traditional Arabic" w:eastAsia="Times New Roman" w:hAnsi="Times New Roman"/>
          <w:i/>
          <w:iCs/>
          <w:sz w:val="22"/>
          <w:szCs w:val="22"/>
        </w:rPr>
        <w:t xml:space="preserve">el-Menârü'l-münîf fi's-sahîh ve'd-daîf</w:t>
      </w:r>
      <w:r>
        <w:rPr>
          <w:rFonts w:ascii="Times New Roman" w:cs="Traditional Arabic" w:eastAsia="Times New Roman" w:hAnsi="Times New Roman"/>
          <w:i w:val="false"/>
          <w:sz w:val="22"/>
          <w:szCs w:val="22"/>
        </w:rPr>
        <w:t xml:space="preserve">. Thk. Ebû Gudde [ADI ŞAMİLE ESER ADINDAKİ KISALTMADAN ALINMIŞTIR]. BASKI BİLGİSİ DOĞRULANAMADI. Şâmile'deki adı: </w:t>
      </w:r>
      <w:r>
        <w:rPr>
          <w:rFonts w:ascii="Times New Roman" w:cs="Traditional Arabic" w:eastAsia="Times New Roman" w:hAnsi="Times New Roman"/>
          <w:i w:val="false"/>
          <w:sz w:val="22"/>
          <w:szCs w:val="27"/>
          <w:rtl/>
        </w:rPr>
        <w:t xml:space="preserve">المنار المنيف في الصحيح والضعيف - ت أبي غدة</w:t>
      </w:r>
      <w:r>
        <w:rPr>
          <w:rFonts w:ascii="Times New Roman" w:cs="Traditional Arabic" w:eastAsia="Times New Roman" w:hAnsi="Times New Roman"/>
          <w:i w:val="false"/>
          <w:sz w:val="22"/>
          <w:szCs w:val="22"/>
        </w:rPr>
        <w:t xml:space="preserve">, kayıt no. 8566.</w:t>
      </w:r>
    </w:p>
    <w:p>
      <w:pPr>
        <w:spacing w:after="100" w:line="300"/>
        <w:ind w:left="567" w:hanging="567"/>
        <w:jc w:val="both"/>
      </w:pPr>
      <w:r>
        <w:rPr>
          <w:rFonts w:ascii="Times New Roman" w:cs="Traditional Arabic" w:eastAsia="Times New Roman" w:hAnsi="Times New Roman"/>
          <w:i w:val="false"/>
          <w:sz w:val="22"/>
          <w:szCs w:val="22"/>
        </w:rPr>
        <w:t xml:space="preserve">İbnü'l-Uhuvve [MÜELLİFİN TAM ADI DOĞRULANAMADI]. </w:t>
      </w:r>
      <w:r>
        <w:rPr>
          <w:rFonts w:ascii="Times New Roman" w:cs="Traditional Arabic" w:eastAsia="Times New Roman" w:hAnsi="Times New Roman"/>
          <w:i/>
          <w:iCs/>
          <w:sz w:val="22"/>
          <w:szCs w:val="22"/>
        </w:rPr>
        <w:t xml:space="preserve">Meâlimü'l-kurbe fî talebi'l-hisbe</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معالم القربة في طلب الحسبة</w:t>
      </w:r>
      <w:r>
        <w:rPr>
          <w:rFonts w:ascii="Times New Roman" w:cs="Traditional Arabic" w:eastAsia="Times New Roman" w:hAnsi="Times New Roman"/>
          <w:i w:val="false"/>
          <w:sz w:val="22"/>
          <w:szCs w:val="22"/>
        </w:rPr>
        <w:t xml:space="preserve">, kayıt no. 10526.</w:t>
      </w:r>
    </w:p>
    <w:p>
      <w:pPr>
        <w:spacing w:after="100" w:line="300"/>
        <w:ind w:left="567" w:hanging="567"/>
        <w:jc w:val="both"/>
      </w:pPr>
      <w:r>
        <w:rPr>
          <w:rFonts w:ascii="Times New Roman" w:cs="Traditional Arabic" w:eastAsia="Times New Roman" w:hAnsi="Times New Roman"/>
          <w:i w:val="false"/>
          <w:sz w:val="22"/>
          <w:szCs w:val="22"/>
        </w:rPr>
        <w:t xml:space="preserve">İbnü's-Salâh, Ebû Amr Takıyyüddîn Osmân b. Abdirrahmân. </w:t>
      </w:r>
      <w:r>
        <w:rPr>
          <w:rFonts w:ascii="Times New Roman" w:cs="Traditional Arabic" w:eastAsia="Times New Roman" w:hAnsi="Times New Roman"/>
          <w:i/>
          <w:iCs/>
          <w:sz w:val="22"/>
          <w:szCs w:val="22"/>
        </w:rPr>
        <w:t xml:space="preserve">Maʿrifetü envâʿi ʿulûmi'l-hadîs (Mukaddimetü İbni's-Salâh)</w:t>
      </w:r>
      <w:r>
        <w:rPr>
          <w:rFonts w:ascii="Times New Roman" w:cs="Traditional Arabic" w:eastAsia="Times New Roman" w:hAnsi="Times New Roman"/>
          <w:i w:val="false"/>
          <w:sz w:val="22"/>
          <w:szCs w:val="22"/>
        </w:rPr>
        <w:t xml:space="preserve">. thk. Nûreddin Itr. Suriye [ŞEHİR DOĞRULANAMADI]: Dâru'l-Fikr / Beyrut: Dâru'l-Fikri'l-Muʿâsır, 1406/1986. Şâmile'deki adı: </w:t>
      </w:r>
      <w:r>
        <w:rPr>
          <w:rFonts w:ascii="Times New Roman" w:cs="Traditional Arabic" w:eastAsia="Times New Roman" w:hAnsi="Times New Roman"/>
          <w:i w:val="false"/>
          <w:sz w:val="22"/>
          <w:szCs w:val="27"/>
          <w:rtl/>
        </w:rPr>
        <w:t xml:space="preserve">مقدمة ابن الصلاح = معرفة أنواع علوم الحديث - ت عتر</w:t>
      </w:r>
      <w:r>
        <w:rPr>
          <w:rFonts w:ascii="Times New Roman" w:cs="Traditional Arabic" w:eastAsia="Times New Roman" w:hAnsi="Times New Roman"/>
          <w:i w:val="false"/>
          <w:sz w:val="22"/>
          <w:szCs w:val="22"/>
        </w:rPr>
        <w:t xml:space="preserve">, kayıt no. 22870. Kitap kartına göre sayfa numaraları matbu baskıya uygundur.</w:t>
      </w:r>
    </w:p>
    <w:p>
      <w:pPr>
        <w:spacing w:after="100" w:line="300"/>
        <w:ind w:left="567" w:hanging="567"/>
        <w:jc w:val="both"/>
      </w:pPr>
      <w:r>
        <w:rPr>
          <w:rFonts w:ascii="Times New Roman" w:cs="Traditional Arabic" w:eastAsia="Times New Roman" w:hAnsi="Times New Roman"/>
          <w:i w:val="false"/>
          <w:sz w:val="22"/>
          <w:szCs w:val="22"/>
        </w:rPr>
        <w:t xml:space="preserve">Karâfî [MÜELLİFİN TAM ADI DOĞRULANAMADI]. </w:t>
      </w:r>
      <w:r>
        <w:rPr>
          <w:rFonts w:ascii="Times New Roman" w:cs="Traditional Arabic" w:eastAsia="Times New Roman" w:hAnsi="Times New Roman"/>
          <w:i/>
          <w:iCs/>
          <w:sz w:val="22"/>
          <w:szCs w:val="22"/>
        </w:rPr>
        <w:t xml:space="preserve">el-Furûk (Envârü'l-burûk fî envâi'l-furûk)</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الفروق للقرافي = أنوار البروق في أنواء الفروق</w:t>
      </w:r>
      <w:r>
        <w:rPr>
          <w:rFonts w:ascii="Times New Roman" w:cs="Traditional Arabic" w:eastAsia="Times New Roman" w:hAnsi="Times New Roman"/>
          <w:i w:val="false"/>
          <w:sz w:val="22"/>
          <w:szCs w:val="22"/>
        </w:rPr>
        <w:t xml:space="preserve">, kayıt no. 2215.</w:t>
      </w:r>
    </w:p>
    <w:p>
      <w:pPr>
        <w:spacing w:after="100" w:line="300"/>
        <w:ind w:left="567" w:hanging="567"/>
        <w:jc w:val="both"/>
      </w:pPr>
      <w:r>
        <w:rPr>
          <w:rFonts w:ascii="Times New Roman" w:cs="Traditional Arabic" w:eastAsia="Times New Roman" w:hAnsi="Times New Roman"/>
          <w:i w:val="false"/>
          <w:sz w:val="22"/>
          <w:szCs w:val="22"/>
        </w:rPr>
        <w:t xml:space="preserve">Kuşeyrî [MÜELLİFİN TAM ADI DOĞRULANAMADI]. </w:t>
      </w:r>
      <w:r>
        <w:rPr>
          <w:rFonts w:ascii="Times New Roman" w:cs="Traditional Arabic" w:eastAsia="Times New Roman" w:hAnsi="Times New Roman"/>
          <w:i/>
          <w:iCs/>
          <w:sz w:val="22"/>
          <w:szCs w:val="22"/>
        </w:rPr>
        <w:t xml:space="preserve">er-Risâletü'l-Kuşeyriyye</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الرسالة القشيرية</w:t>
      </w:r>
      <w:r>
        <w:rPr>
          <w:rFonts w:ascii="Times New Roman" w:cs="Traditional Arabic" w:eastAsia="Times New Roman" w:hAnsi="Times New Roman"/>
          <w:i w:val="false"/>
          <w:sz w:val="22"/>
          <w:szCs w:val="22"/>
        </w:rPr>
        <w:t xml:space="preserve">, kayıt no. 9953.</w:t>
      </w:r>
    </w:p>
    <w:p>
      <w:pPr>
        <w:spacing w:after="100" w:line="300"/>
        <w:ind w:left="567" w:hanging="567"/>
        <w:jc w:val="both"/>
      </w:pPr>
      <w:r>
        <w:rPr>
          <w:rFonts w:ascii="Times New Roman" w:cs="Traditional Arabic" w:eastAsia="Times New Roman" w:hAnsi="Times New Roman"/>
          <w:i w:val="false"/>
          <w:sz w:val="22"/>
          <w:szCs w:val="22"/>
        </w:rPr>
        <w:t xml:space="preserve">Mâtürîdî [MÜELLİFİN TAM ADI DOĞRULANAMADI]. </w:t>
      </w:r>
      <w:r>
        <w:rPr>
          <w:rFonts w:ascii="Times New Roman" w:cs="Traditional Arabic" w:eastAsia="Times New Roman" w:hAnsi="Times New Roman"/>
          <w:i/>
          <w:iCs/>
          <w:sz w:val="22"/>
          <w:szCs w:val="22"/>
        </w:rPr>
        <w:t xml:space="preserve">Kitâbü't-Tevhîd</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التوحيد للماتريدي</w:t>
      </w:r>
      <w:r>
        <w:rPr>
          <w:rFonts w:ascii="Times New Roman" w:cs="Traditional Arabic" w:eastAsia="Times New Roman" w:hAnsi="Times New Roman"/>
          <w:i w:val="false"/>
          <w:sz w:val="22"/>
          <w:szCs w:val="22"/>
        </w:rPr>
        <w:t xml:space="preserve">, kayıt no. 6365.</w:t>
      </w:r>
    </w:p>
    <w:p>
      <w:pPr>
        <w:spacing w:after="100" w:line="300"/>
        <w:ind w:left="567" w:hanging="567"/>
        <w:jc w:val="both"/>
      </w:pPr>
      <w:r>
        <w:rPr>
          <w:rFonts w:ascii="Times New Roman" w:cs="Traditional Arabic" w:eastAsia="Times New Roman" w:hAnsi="Times New Roman"/>
          <w:i w:val="false"/>
          <w:sz w:val="22"/>
          <w:szCs w:val="22"/>
        </w:rPr>
        <w:t xml:space="preserve">Mâverdî [MÜELLİFİN TAM ADI DOĞRULANAMADI]. </w:t>
      </w:r>
      <w:r>
        <w:rPr>
          <w:rFonts w:ascii="Times New Roman" w:cs="Traditional Arabic" w:eastAsia="Times New Roman" w:hAnsi="Times New Roman"/>
          <w:i/>
          <w:iCs/>
          <w:sz w:val="22"/>
          <w:szCs w:val="22"/>
        </w:rPr>
        <w:t xml:space="preserve">Edebü'd-dünyâ ve'd-dîn</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أدب الدنيا والدين</w:t>
      </w:r>
      <w:r>
        <w:rPr>
          <w:rFonts w:ascii="Times New Roman" w:cs="Traditional Arabic" w:eastAsia="Times New Roman" w:hAnsi="Times New Roman"/>
          <w:i w:val="false"/>
          <w:sz w:val="22"/>
          <w:szCs w:val="22"/>
        </w:rPr>
        <w:t xml:space="preserve">, kayıt no. 765.</w:t>
      </w:r>
    </w:p>
    <w:p>
      <w:pPr>
        <w:spacing w:after="100" w:line="300"/>
        <w:ind w:left="567" w:hanging="567"/>
        <w:jc w:val="both"/>
      </w:pPr>
      <w:r>
        <w:rPr>
          <w:rFonts w:ascii="Times New Roman" w:cs="Traditional Arabic" w:eastAsia="Times New Roman" w:hAnsi="Times New Roman"/>
          <w:i w:val="false"/>
          <w:sz w:val="22"/>
          <w:szCs w:val="22"/>
        </w:rPr>
        <w:t xml:space="preserve">Müslim [MÜELLİFİN TAM ADI DOĞRULANAMADI]. </w:t>
      </w:r>
      <w:r>
        <w:rPr>
          <w:rFonts w:ascii="Times New Roman" w:cs="Traditional Arabic" w:eastAsia="Times New Roman" w:hAnsi="Times New Roman"/>
          <w:i/>
          <w:iCs/>
          <w:sz w:val="22"/>
          <w:szCs w:val="22"/>
        </w:rPr>
        <w:t xml:space="preserve">es-Sahîh [Türkiye baskısı]</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صحيح مسلم - ط التركية</w:t>
      </w:r>
      <w:r>
        <w:rPr>
          <w:rFonts w:ascii="Times New Roman" w:cs="Traditional Arabic" w:eastAsia="Times New Roman" w:hAnsi="Times New Roman"/>
          <w:i w:val="false"/>
          <w:sz w:val="22"/>
          <w:szCs w:val="22"/>
        </w:rPr>
        <w:t xml:space="preserve">, kayıt no. 711.</w:t>
      </w:r>
    </w:p>
    <w:p>
      <w:pPr>
        <w:spacing w:after="100" w:line="300"/>
        <w:ind w:left="567" w:hanging="567"/>
        <w:jc w:val="both"/>
      </w:pPr>
      <w:r>
        <w:rPr>
          <w:rFonts w:ascii="Times New Roman" w:cs="Traditional Arabic" w:eastAsia="Times New Roman" w:hAnsi="Times New Roman"/>
          <w:i w:val="false"/>
          <w:sz w:val="22"/>
          <w:szCs w:val="22"/>
        </w:rPr>
        <w:t xml:space="preserve">Nevevî [MÜELLİFİN TAM ADI DOĞRULANAMADI]. </w:t>
      </w:r>
      <w:r>
        <w:rPr>
          <w:rFonts w:ascii="Times New Roman" w:cs="Traditional Arabic" w:eastAsia="Times New Roman" w:hAnsi="Times New Roman"/>
          <w:i/>
          <w:iCs/>
          <w:sz w:val="22"/>
          <w:szCs w:val="22"/>
        </w:rPr>
        <w:t xml:space="preserve">et-Tibyân fî âdâbi hameleti'l-Kur'ân</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التبيان في آداب حملة القرآن</w:t>
      </w:r>
      <w:r>
        <w:rPr>
          <w:rFonts w:ascii="Times New Roman" w:cs="Traditional Arabic" w:eastAsia="Times New Roman" w:hAnsi="Times New Roman"/>
          <w:i w:val="false"/>
          <w:sz w:val="22"/>
          <w:szCs w:val="22"/>
        </w:rPr>
        <w:t xml:space="preserve">, kayıt no. 1969.</w:t>
      </w:r>
    </w:p>
    <w:p>
      <w:pPr>
        <w:spacing w:after="100" w:line="300"/>
        <w:ind w:left="567" w:hanging="567"/>
        <w:jc w:val="both"/>
      </w:pPr>
      <w:r>
        <w:rPr>
          <w:rFonts w:ascii="Times New Roman" w:cs="Traditional Arabic" w:eastAsia="Times New Roman" w:hAnsi="Times New Roman"/>
          <w:i w:val="false"/>
          <w:sz w:val="22"/>
          <w:szCs w:val="22"/>
        </w:rPr>
        <w:t xml:space="preserve">Şâfiî, Muhammed b. İdrîs. </w:t>
      </w:r>
      <w:r>
        <w:rPr>
          <w:rFonts w:ascii="Times New Roman" w:cs="Traditional Arabic" w:eastAsia="Times New Roman" w:hAnsi="Times New Roman"/>
          <w:i/>
          <w:iCs/>
          <w:sz w:val="22"/>
          <w:szCs w:val="22"/>
        </w:rPr>
        <w:t xml:space="preserve">er-Risâle</w:t>
      </w:r>
      <w:r>
        <w:rPr>
          <w:rFonts w:ascii="Times New Roman" w:cs="Traditional Arabic" w:eastAsia="Times New Roman" w:hAnsi="Times New Roman"/>
          <w:i w:val="false"/>
          <w:sz w:val="22"/>
          <w:szCs w:val="22"/>
        </w:rPr>
        <w:t xml:space="preserve">. BASKI BİLGİSİ DOĞRULANAMADI. Şâmile kayıt no. 8180.</w:t>
      </w:r>
    </w:p>
    <w:p>
      <w:pPr>
        <w:spacing w:after="100" w:line="300"/>
        <w:ind w:left="567" w:hanging="567"/>
        <w:jc w:val="both"/>
      </w:pPr>
      <w:r>
        <w:rPr>
          <w:rFonts w:ascii="Times New Roman" w:cs="Traditional Arabic" w:eastAsia="Times New Roman" w:hAnsi="Times New Roman"/>
          <w:i w:val="false"/>
          <w:sz w:val="22"/>
          <w:szCs w:val="22"/>
        </w:rPr>
        <w:t xml:space="preserve">Şâtıbî [MÜELLİFİN TAM ADI DOĞRULANAMADI]. </w:t>
      </w:r>
      <w:r>
        <w:rPr>
          <w:rFonts w:ascii="Times New Roman" w:cs="Traditional Arabic" w:eastAsia="Times New Roman" w:hAnsi="Times New Roman"/>
          <w:i/>
          <w:iCs/>
          <w:sz w:val="22"/>
          <w:szCs w:val="22"/>
        </w:rPr>
        <w:t xml:space="preserve">el-Muvâfakât</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الموافقات</w:t>
      </w:r>
      <w:r>
        <w:rPr>
          <w:rFonts w:ascii="Times New Roman" w:cs="Traditional Arabic" w:eastAsia="Times New Roman" w:hAnsi="Times New Roman"/>
          <w:i w:val="false"/>
          <w:sz w:val="22"/>
          <w:szCs w:val="22"/>
        </w:rPr>
        <w:t xml:space="preserve">, kayıt no. 11435.</w:t>
      </w:r>
    </w:p>
    <w:p>
      <w:pPr>
        <w:spacing w:after="100" w:line="300"/>
        <w:ind w:left="567" w:hanging="567"/>
        <w:jc w:val="both"/>
      </w:pPr>
      <w:r>
        <w:rPr>
          <w:rFonts w:ascii="Times New Roman" w:cs="Traditional Arabic" w:eastAsia="Times New Roman" w:hAnsi="Times New Roman"/>
          <w:i w:val="false"/>
          <w:sz w:val="22"/>
          <w:szCs w:val="22"/>
        </w:rPr>
        <w:t xml:space="preserve">Şehristânî [MÜELLİFİN TAM ADI DOĞRULANAMADI]. </w:t>
      </w:r>
      <w:r>
        <w:rPr>
          <w:rFonts w:ascii="Times New Roman" w:cs="Traditional Arabic" w:eastAsia="Times New Roman" w:hAnsi="Times New Roman"/>
          <w:i/>
          <w:iCs/>
          <w:sz w:val="22"/>
          <w:szCs w:val="22"/>
        </w:rPr>
        <w:t xml:space="preserve">el-Milel ve'n-nihal</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الملل والنحل</w:t>
      </w:r>
      <w:r>
        <w:rPr>
          <w:rFonts w:ascii="Times New Roman" w:cs="Traditional Arabic" w:eastAsia="Times New Roman" w:hAnsi="Times New Roman"/>
          <w:i w:val="false"/>
          <w:sz w:val="22"/>
          <w:szCs w:val="22"/>
        </w:rPr>
        <w:t xml:space="preserve">, kayıt no. 11812.</w:t>
      </w:r>
    </w:p>
    <w:p>
      <w:pPr>
        <w:spacing w:after="100" w:line="300"/>
        <w:ind w:left="567" w:hanging="567"/>
        <w:jc w:val="both"/>
      </w:pPr>
      <w:r>
        <w:rPr>
          <w:rFonts w:ascii="Times New Roman" w:cs="Traditional Arabic" w:eastAsia="Times New Roman" w:hAnsi="Times New Roman"/>
          <w:i w:val="false"/>
          <w:sz w:val="22"/>
          <w:szCs w:val="22"/>
        </w:rPr>
        <w:t xml:space="preserve">Şinkîtî, Muhammed el-Emîn. </w:t>
      </w:r>
      <w:r>
        <w:rPr>
          <w:rFonts w:ascii="Times New Roman" w:cs="Traditional Arabic" w:eastAsia="Times New Roman" w:hAnsi="Times New Roman"/>
          <w:i/>
          <w:iCs/>
          <w:sz w:val="22"/>
          <w:szCs w:val="22"/>
        </w:rPr>
        <w:t xml:space="preserve">Âdâbü'l-bahs ve'l-münâzara</w:t>
      </w:r>
      <w:r>
        <w:rPr>
          <w:rFonts w:ascii="Times New Roman" w:cs="Traditional Arabic" w:eastAsia="Times New Roman" w:hAnsi="Times New Roman"/>
          <w:i w:val="false"/>
          <w:sz w:val="22"/>
          <w:szCs w:val="22"/>
        </w:rPr>
        <w:t xml:space="preserve">. BASKI BİLGİSİ DOĞRULANAMADI. Şâmile kayıt no. 266.</w:t>
      </w:r>
    </w:p>
    <w:p>
      <w:pPr>
        <w:spacing w:after="100" w:line="300"/>
        <w:ind w:left="567" w:hanging="567"/>
        <w:jc w:val="both"/>
      </w:pPr>
      <w:r>
        <w:rPr>
          <w:rFonts w:ascii="Times New Roman" w:cs="Traditional Arabic" w:eastAsia="Times New Roman" w:hAnsi="Times New Roman"/>
          <w:i w:val="false"/>
          <w:sz w:val="22"/>
          <w:szCs w:val="22"/>
        </w:rPr>
        <w:t xml:space="preserve">Zerkeşî, Bedreddîn. </w:t>
      </w:r>
      <w:r>
        <w:rPr>
          <w:rFonts w:ascii="Times New Roman" w:cs="Traditional Arabic" w:eastAsia="Times New Roman" w:hAnsi="Times New Roman"/>
          <w:i/>
          <w:iCs/>
          <w:sz w:val="22"/>
          <w:szCs w:val="22"/>
        </w:rPr>
        <w:t xml:space="preserve">el-Burhân fî ulûmi'l-Kur'ân</w:t>
      </w:r>
      <w:r>
        <w:rPr>
          <w:rFonts w:ascii="Times New Roman" w:cs="Traditional Arabic" w:eastAsia="Times New Roman" w:hAnsi="Times New Roman"/>
          <w:i w:val="false"/>
          <w:sz w:val="22"/>
          <w:szCs w:val="22"/>
        </w:rPr>
        <w:t xml:space="preserve">. BASKI BİLGİSİ DOĞRULANAMADI. Şâmile'deki adı: </w:t>
      </w:r>
      <w:r>
        <w:rPr>
          <w:rFonts w:ascii="Times New Roman" w:cs="Traditional Arabic" w:eastAsia="Times New Roman" w:hAnsi="Times New Roman"/>
          <w:i w:val="false"/>
          <w:sz w:val="22"/>
          <w:szCs w:val="27"/>
          <w:rtl/>
        </w:rPr>
        <w:t xml:space="preserve">البرهان في علوم القرآن</w:t>
      </w:r>
      <w:r>
        <w:rPr>
          <w:rFonts w:ascii="Times New Roman" w:cs="Traditional Arabic" w:eastAsia="Times New Roman" w:hAnsi="Times New Roman"/>
          <w:i w:val="false"/>
          <w:sz w:val="22"/>
          <w:szCs w:val="22"/>
        </w:rPr>
        <w:t xml:space="preserve">, kayıt no. 11436.</w:t>
      </w:r>
    </w:p>
    <w:p>
      <w:pPr>
        <w:keepNext/>
        <w:spacing w:after="80" w:before="200"/>
      </w:pPr>
      <w:r>
        <w:rPr>
          <w:rFonts w:ascii="Times New Roman" w:cs="Traditional Arabic" w:eastAsia="Times New Roman" w:hAnsi="Times New Roman"/>
          <w:b/>
          <w:bCs/>
          <w:i w:val="false"/>
          <w:sz w:val="22"/>
          <w:szCs w:val="22"/>
        </w:rPr>
        <w:t xml:space="preserve">Modern Eserler</w:t>
      </w:r>
    </w:p>
    <w:p>
      <w:pPr>
        <w:spacing w:after="100" w:line="300"/>
        <w:ind w:left="567" w:hanging="567"/>
        <w:jc w:val="both"/>
      </w:pPr>
      <w:r>
        <w:rPr>
          <w:rFonts w:ascii="Times New Roman" w:cs="Traditional Arabic" w:eastAsia="Times New Roman" w:hAnsi="Times New Roman"/>
          <w:i w:val="false"/>
          <w:sz w:val="22"/>
          <w:szCs w:val="22"/>
        </w:rPr>
        <w:t xml:space="preserve">Akpunar, Burhan. “Eğitim Felsefesi, Akımlar, Öncüleri ve Eğitime İlişkin Görüşleri”. </w:t>
      </w:r>
      <w:r>
        <w:rPr>
          <w:rFonts w:ascii="Times New Roman" w:cs="Traditional Arabic" w:eastAsia="Times New Roman" w:hAnsi="Times New Roman"/>
          <w:i/>
          <w:iCs/>
          <w:sz w:val="22"/>
          <w:szCs w:val="22"/>
        </w:rPr>
        <w:t xml:space="preserve">Eğitim Felsefesi</w:t>
      </w:r>
      <w:r>
        <w:rPr>
          <w:rFonts w:ascii="Times New Roman" w:cs="Traditional Arabic" w:eastAsia="Times New Roman" w:hAnsi="Times New Roman"/>
          <w:i w:val="false"/>
          <w:sz w:val="22"/>
          <w:szCs w:val="22"/>
        </w:rPr>
        <w:t xml:space="preserve">. ed. Mustafa Ergün - Ahmet Çoban. [SAYFA ARALIĞI DOĞRULANAMADI]. Ankara: Pegem Akademi, 2. Basım, 2020.</w:t>
      </w:r>
    </w:p>
    <w:p>
      <w:pPr>
        <w:spacing w:after="100" w:line="300"/>
        <w:ind w:left="567" w:hanging="567"/>
        <w:jc w:val="both"/>
      </w:pPr>
      <w:r>
        <w:rPr>
          <w:rFonts w:ascii="Times New Roman" w:cs="Traditional Arabic" w:eastAsia="Times New Roman" w:hAnsi="Times New Roman"/>
          <w:i w:val="false"/>
          <w:sz w:val="22"/>
          <w:szCs w:val="22"/>
        </w:rPr>
        <w:t xml:space="preserve">Barnes, Barry. </w:t>
      </w:r>
      <w:r>
        <w:rPr>
          <w:rFonts w:ascii="Times New Roman" w:cs="Traditional Arabic" w:eastAsia="Times New Roman" w:hAnsi="Times New Roman"/>
          <w:i/>
          <w:iCs/>
          <w:sz w:val="22"/>
          <w:szCs w:val="22"/>
        </w:rPr>
        <w:t xml:space="preserve">T. S. Kuhn ve Sosyal Bilimler</w:t>
      </w:r>
      <w:r>
        <w:rPr>
          <w:rFonts w:ascii="Times New Roman" w:cs="Traditional Arabic" w:eastAsia="Times New Roman" w:hAnsi="Times New Roman"/>
          <w:i w:val="false"/>
          <w:sz w:val="22"/>
          <w:szCs w:val="22"/>
        </w:rPr>
        <w:t xml:space="preserve">. çev. Hüsamettin Arslan. İstanbul: Paradigma, Gözden Geçirilmiş 1. Baskı, 2008.</w:t>
      </w:r>
    </w:p>
    <w:p>
      <w:pPr>
        <w:spacing w:after="100" w:line="300"/>
        <w:ind w:left="567" w:hanging="567"/>
        <w:jc w:val="both"/>
      </w:pPr>
      <w:r>
        <w:rPr>
          <w:rFonts w:ascii="Times New Roman" w:cs="Traditional Arabic" w:eastAsia="Times New Roman" w:hAnsi="Times New Roman"/>
          <w:i w:val="false"/>
          <w:sz w:val="22"/>
          <w:szCs w:val="22"/>
        </w:rPr>
        <w:t xml:space="preserve">Bauman, Zygmunt. </w:t>
      </w:r>
      <w:r>
        <w:rPr>
          <w:rFonts w:ascii="Times New Roman" w:cs="Traditional Arabic" w:eastAsia="Times New Roman" w:hAnsi="Times New Roman"/>
          <w:i/>
          <w:iCs/>
          <w:sz w:val="22"/>
          <w:szCs w:val="22"/>
        </w:rPr>
        <w:t xml:space="preserve">Hermenötik ve Sosyal Bilimler: Anlamaya Dair Yaklaşımlar</w:t>
      </w:r>
      <w:r>
        <w:rPr>
          <w:rFonts w:ascii="Times New Roman" w:cs="Traditional Arabic" w:eastAsia="Times New Roman" w:hAnsi="Times New Roman"/>
          <w:i w:val="false"/>
          <w:sz w:val="22"/>
          <w:szCs w:val="22"/>
        </w:rPr>
        <w:t xml:space="preserve">. çev. Hüseyin Oruç. İstanbul: Ayrıntı Yayınları, 2017.</w:t>
      </w:r>
    </w:p>
    <w:p>
      <w:pPr>
        <w:spacing w:after="100" w:line="300"/>
        <w:ind w:left="567" w:hanging="567"/>
        <w:jc w:val="both"/>
      </w:pPr>
      <w:r>
        <w:rPr>
          <w:rFonts w:ascii="Times New Roman" w:cs="Traditional Arabic" w:eastAsia="Times New Roman" w:hAnsi="Times New Roman"/>
          <w:i w:val="false"/>
          <w:sz w:val="22"/>
          <w:szCs w:val="22"/>
        </w:rPr>
        <w:t xml:space="preserve">Beraha, Aydın. </w:t>
      </w:r>
      <w:r>
        <w:rPr>
          <w:rFonts w:ascii="Times New Roman" w:cs="Traditional Arabic" w:eastAsia="Times New Roman" w:hAnsi="Times New Roman"/>
          <w:i/>
          <w:iCs/>
          <w:sz w:val="22"/>
          <w:szCs w:val="22"/>
        </w:rPr>
        <w:t xml:space="preserve">Bilimsel Düşünce ve Araştırma Metodolojisi</w:t>
      </w:r>
      <w:r>
        <w:rPr>
          <w:rFonts w:ascii="Times New Roman" w:cs="Traditional Arabic" w:eastAsia="Times New Roman" w:hAnsi="Times New Roman"/>
          <w:i w:val="false"/>
          <w:sz w:val="22"/>
          <w:szCs w:val="22"/>
        </w:rPr>
        <w:t xml:space="preserve">. Ankara: Gazi Kitabevi, 2021.</w:t>
      </w:r>
    </w:p>
    <w:p>
      <w:pPr>
        <w:spacing w:after="100" w:line="300"/>
        <w:ind w:left="567" w:hanging="567"/>
        <w:jc w:val="both"/>
      </w:pPr>
      <w:r>
        <w:rPr>
          <w:rFonts w:ascii="Times New Roman" w:cs="Traditional Arabic" w:eastAsia="Times New Roman" w:hAnsi="Times New Roman"/>
          <w:i w:val="false"/>
          <w:sz w:val="22"/>
          <w:szCs w:val="22"/>
        </w:rPr>
        <w:t xml:space="preserve">Creswell, John W. </w:t>
      </w:r>
      <w:r>
        <w:rPr>
          <w:rFonts w:ascii="Times New Roman" w:cs="Traditional Arabic" w:eastAsia="Times New Roman" w:hAnsi="Times New Roman"/>
          <w:i/>
          <w:iCs/>
          <w:sz w:val="22"/>
          <w:szCs w:val="22"/>
        </w:rPr>
        <w:t xml:space="preserve">Araştırma Deseni: Nitel, Nicel ve Karma Yöntem Yaklaşımları</w:t>
      </w:r>
      <w:r>
        <w:rPr>
          <w:rFonts w:ascii="Times New Roman" w:cs="Traditional Arabic" w:eastAsia="Times New Roman" w:hAnsi="Times New Roman"/>
          <w:i w:val="false"/>
          <w:sz w:val="22"/>
          <w:szCs w:val="22"/>
        </w:rPr>
        <w:t xml:space="preserve">. çev. ed. Selçuk Beşir Demir. Ankara: Eğiten Kitap, 3. Basım, 2017.</w:t>
      </w:r>
    </w:p>
    <w:p>
      <w:pPr>
        <w:spacing w:after="100" w:line="300"/>
        <w:ind w:left="567" w:hanging="567"/>
        <w:jc w:val="both"/>
      </w:pPr>
      <w:r>
        <w:rPr>
          <w:rFonts w:ascii="Times New Roman" w:cs="Traditional Arabic" w:eastAsia="Times New Roman" w:hAnsi="Times New Roman"/>
          <w:i w:val="false"/>
          <w:sz w:val="22"/>
          <w:szCs w:val="22"/>
        </w:rPr>
        <w:t xml:space="preserve">Creswell, John W. </w:t>
      </w:r>
      <w:r>
        <w:rPr>
          <w:rFonts w:ascii="Times New Roman" w:cs="Traditional Arabic" w:eastAsia="Times New Roman" w:hAnsi="Times New Roman"/>
          <w:i/>
          <w:iCs/>
          <w:sz w:val="22"/>
          <w:szCs w:val="22"/>
        </w:rPr>
        <w:t xml:space="preserve">Karma Yöntem Araştırmalarına Giriş</w:t>
      </w:r>
      <w:r>
        <w:rPr>
          <w:rFonts w:ascii="Times New Roman" w:cs="Traditional Arabic" w:eastAsia="Times New Roman" w:hAnsi="Times New Roman"/>
          <w:i w:val="false"/>
          <w:sz w:val="22"/>
          <w:szCs w:val="22"/>
        </w:rPr>
        <w:t xml:space="preserve">. çev. ed. Mustafa Sözbilir. Ankara: Pegem Akademi, 3. Basım, 2021.</w:t>
      </w:r>
    </w:p>
    <w:p>
      <w:pPr>
        <w:spacing w:after="100" w:line="300"/>
        <w:ind w:left="567" w:hanging="567"/>
        <w:jc w:val="both"/>
      </w:pPr>
      <w:r>
        <w:rPr>
          <w:rFonts w:ascii="Times New Roman" w:cs="Traditional Arabic" w:eastAsia="Times New Roman" w:hAnsi="Times New Roman"/>
          <w:i w:val="false"/>
          <w:sz w:val="22"/>
          <w:szCs w:val="22"/>
        </w:rPr>
        <w:t xml:space="preserve">Çoban, Ahmet. “Temel Kavramlar”. </w:t>
      </w:r>
      <w:r>
        <w:rPr>
          <w:rFonts w:ascii="Times New Roman" w:cs="Traditional Arabic" w:eastAsia="Times New Roman" w:hAnsi="Times New Roman"/>
          <w:i/>
          <w:iCs/>
          <w:sz w:val="22"/>
          <w:szCs w:val="22"/>
        </w:rPr>
        <w:t xml:space="preserve">Eğitim Felsefesi</w:t>
      </w:r>
      <w:r>
        <w:rPr>
          <w:rFonts w:ascii="Times New Roman" w:cs="Traditional Arabic" w:eastAsia="Times New Roman" w:hAnsi="Times New Roman"/>
          <w:i w:val="false"/>
          <w:sz w:val="22"/>
          <w:szCs w:val="22"/>
        </w:rPr>
        <w:t xml:space="preserve">. ed. Mustafa Ergün - Ahmet Çoban. [SAYFA ARALIĞI DOĞRULANAMADI]. Ankara: Pegem Akademi, 2. Basım, 2020.</w:t>
      </w:r>
    </w:p>
    <w:p>
      <w:pPr>
        <w:spacing w:after="100" w:line="300"/>
        <w:ind w:left="567" w:hanging="567"/>
        <w:jc w:val="both"/>
      </w:pPr>
      <w:r>
        <w:rPr>
          <w:rFonts w:ascii="Times New Roman" w:cs="Traditional Arabic" w:eastAsia="Times New Roman" w:hAnsi="Times New Roman"/>
          <w:i w:val="false"/>
          <w:sz w:val="22"/>
          <w:szCs w:val="22"/>
        </w:rPr>
        <w:t xml:space="preserve">Ergün, Mustafa. “Bilim Felsefesi”. </w:t>
      </w:r>
      <w:r>
        <w:rPr>
          <w:rFonts w:ascii="Times New Roman" w:cs="Traditional Arabic" w:eastAsia="Times New Roman" w:hAnsi="Times New Roman"/>
          <w:i/>
          <w:iCs/>
          <w:sz w:val="22"/>
          <w:szCs w:val="22"/>
        </w:rPr>
        <w:t xml:space="preserve">Eğitim Felsefesi</w:t>
      </w:r>
      <w:r>
        <w:rPr>
          <w:rFonts w:ascii="Times New Roman" w:cs="Traditional Arabic" w:eastAsia="Times New Roman" w:hAnsi="Times New Roman"/>
          <w:i w:val="false"/>
          <w:sz w:val="22"/>
          <w:szCs w:val="22"/>
        </w:rPr>
        <w:t xml:space="preserve">. ed. Mustafa Ergün - Ahmet Çoban. [SAYFA ARALIĞI DOĞRULANAMADI]. Ankara: Pegem Akademi, 2. Basım, 2020.</w:t>
      </w:r>
    </w:p>
    <w:p>
      <w:pPr>
        <w:spacing w:after="100" w:line="300"/>
        <w:ind w:left="567" w:hanging="567"/>
        <w:jc w:val="both"/>
      </w:pPr>
      <w:r>
        <w:rPr>
          <w:rFonts w:ascii="Times New Roman" w:cs="Traditional Arabic" w:eastAsia="Times New Roman" w:hAnsi="Times New Roman"/>
          <w:i w:val="false"/>
          <w:sz w:val="22"/>
          <w:szCs w:val="22"/>
        </w:rPr>
        <w:t xml:space="preserve">Ergün, Mustafa. “Ön Söz”. </w:t>
      </w:r>
      <w:r>
        <w:rPr>
          <w:rFonts w:ascii="Times New Roman" w:cs="Traditional Arabic" w:eastAsia="Times New Roman" w:hAnsi="Times New Roman"/>
          <w:i/>
          <w:iCs/>
          <w:sz w:val="22"/>
          <w:szCs w:val="22"/>
        </w:rPr>
        <w:t xml:space="preserve">Eğitim Felsefesi</w:t>
      </w:r>
      <w:r>
        <w:rPr>
          <w:rFonts w:ascii="Times New Roman" w:cs="Traditional Arabic" w:eastAsia="Times New Roman" w:hAnsi="Times New Roman"/>
          <w:i w:val="false"/>
          <w:sz w:val="22"/>
          <w:szCs w:val="22"/>
        </w:rPr>
        <w:t xml:space="preserve">. ed. Mustafa Ergün - Ahmet Çoban. [SAYFA ARALIĞI DOĞRULANAMADI]. Ankara: Pegem Akademi, 2. Basım, 2020.</w:t>
      </w:r>
    </w:p>
    <w:p>
      <w:pPr>
        <w:spacing w:after="100" w:line="300"/>
        <w:ind w:left="567" w:hanging="567"/>
        <w:jc w:val="both"/>
      </w:pPr>
      <w:r>
        <w:rPr>
          <w:rFonts w:ascii="Times New Roman" w:cs="Traditional Arabic" w:eastAsia="Times New Roman" w:hAnsi="Times New Roman"/>
          <w:i w:val="false"/>
          <w:sz w:val="22"/>
          <w:szCs w:val="22"/>
        </w:rPr>
        <w:t xml:space="preserve">Gadamer, Hans-Georg. </w:t>
      </w:r>
      <w:r>
        <w:rPr>
          <w:rFonts w:ascii="Times New Roman" w:cs="Traditional Arabic" w:eastAsia="Times New Roman" w:hAnsi="Times New Roman"/>
          <w:i/>
          <w:iCs/>
          <w:sz w:val="22"/>
          <w:szCs w:val="22"/>
        </w:rPr>
        <w:t xml:space="preserve">Hakikat ve Yöntem</w:t>
      </w:r>
      <w:r>
        <w:rPr>
          <w:rFonts w:ascii="Times New Roman" w:cs="Traditional Arabic" w:eastAsia="Times New Roman" w:hAnsi="Times New Roman"/>
          <w:i w:val="false"/>
          <w:sz w:val="22"/>
          <w:szCs w:val="22"/>
        </w:rPr>
        <w:t xml:space="preserve">. çev. Hüsamettin Arslan - İsmail Yavuzcan. 2 Cilt. İstanbul: Paradigma Yayıncılık, 2008-2009.</w:t>
      </w:r>
    </w:p>
    <w:p>
      <w:pPr>
        <w:spacing w:after="100" w:line="300"/>
        <w:ind w:left="567" w:hanging="567"/>
        <w:jc w:val="both"/>
      </w:pPr>
      <w:r>
        <w:rPr>
          <w:rFonts w:ascii="Times New Roman" w:cs="Traditional Arabic" w:eastAsia="Times New Roman" w:hAnsi="Times New Roman"/>
          <w:i w:val="false"/>
          <w:sz w:val="22"/>
          <w:szCs w:val="22"/>
        </w:rPr>
        <w:t xml:space="preserve">Gordon, Scott. </w:t>
      </w:r>
      <w:r>
        <w:rPr>
          <w:rFonts w:ascii="Times New Roman" w:cs="Traditional Arabic" w:eastAsia="Times New Roman" w:hAnsi="Times New Roman"/>
          <w:i/>
          <w:iCs/>
          <w:sz w:val="22"/>
          <w:szCs w:val="22"/>
        </w:rPr>
        <w:t xml:space="preserve">Sosyal Bilimler Tarihi ve Felsefesi</w:t>
      </w:r>
      <w:r>
        <w:rPr>
          <w:rFonts w:ascii="Times New Roman" w:cs="Traditional Arabic" w:eastAsia="Times New Roman" w:hAnsi="Times New Roman"/>
          <w:i w:val="false"/>
          <w:sz w:val="22"/>
          <w:szCs w:val="22"/>
        </w:rPr>
        <w:t xml:space="preserve">. çev. Hasan Kösebalaban - Ümit Tatlıcan. İstanbul: Küre Yayınları, 2015.</w:t>
      </w:r>
    </w:p>
    <w:p>
      <w:pPr>
        <w:spacing w:after="100" w:line="300"/>
        <w:ind w:left="567" w:hanging="567"/>
        <w:jc w:val="both"/>
      </w:pPr>
      <w:r>
        <w:rPr>
          <w:rFonts w:ascii="Times New Roman" w:cs="Traditional Arabic" w:eastAsia="Times New Roman" w:hAnsi="Times New Roman"/>
          <w:i w:val="false"/>
          <w:sz w:val="22"/>
          <w:szCs w:val="22"/>
        </w:rPr>
        <w:t xml:space="preserve">Hollinger, Robert. </w:t>
      </w:r>
      <w:r>
        <w:rPr>
          <w:rFonts w:ascii="Times New Roman" w:cs="Traditional Arabic" w:eastAsia="Times New Roman" w:hAnsi="Times New Roman"/>
          <w:i/>
          <w:iCs/>
          <w:sz w:val="22"/>
          <w:szCs w:val="22"/>
        </w:rPr>
        <w:t xml:space="preserve">Postmodernizm ve Sosyal Bilimler: Tematik Bir Yaklaşım</w:t>
      </w:r>
      <w:r>
        <w:rPr>
          <w:rFonts w:ascii="Times New Roman" w:cs="Traditional Arabic" w:eastAsia="Times New Roman" w:hAnsi="Times New Roman"/>
          <w:i w:val="false"/>
          <w:sz w:val="22"/>
          <w:szCs w:val="22"/>
        </w:rPr>
        <w:t xml:space="preserve">. çev. Ahmet Cevizci. İstanbul: Paradigma, 2005.</w:t>
      </w:r>
    </w:p>
    <w:p>
      <w:pPr>
        <w:spacing w:after="100" w:line="300"/>
        <w:ind w:left="567" w:hanging="567"/>
        <w:jc w:val="both"/>
      </w:pPr>
      <w:r>
        <w:rPr>
          <w:rFonts w:ascii="Times New Roman" w:cs="Traditional Arabic" w:eastAsia="Times New Roman" w:hAnsi="Times New Roman"/>
          <w:i w:val="false"/>
          <w:sz w:val="22"/>
          <w:szCs w:val="22"/>
        </w:rPr>
        <w:t xml:space="preserve">Ocak, Gürbüz - Akkaş Baysal, Emine. “Temel Felsefi Akımlar ve Önemli Temsilcileri”. </w:t>
      </w:r>
      <w:r>
        <w:rPr>
          <w:rFonts w:ascii="Times New Roman" w:cs="Traditional Arabic" w:eastAsia="Times New Roman" w:hAnsi="Times New Roman"/>
          <w:i/>
          <w:iCs/>
          <w:sz w:val="22"/>
          <w:szCs w:val="22"/>
        </w:rPr>
        <w:t xml:space="preserve">Eğitim Felsefesi</w:t>
      </w:r>
      <w:r>
        <w:rPr>
          <w:rFonts w:ascii="Times New Roman" w:cs="Traditional Arabic" w:eastAsia="Times New Roman" w:hAnsi="Times New Roman"/>
          <w:i w:val="false"/>
          <w:sz w:val="22"/>
          <w:szCs w:val="22"/>
        </w:rPr>
        <w:t xml:space="preserve">. ed. Mustafa Ergün - Ahmet Çoban. [SAYFA ARALIĞI DOĞRULANAMADI]. Ankara: Pegem Akademi, 2. Basım, 2020.</w:t>
      </w:r>
    </w:p>
    <w:p>
      <w:pPr>
        <w:spacing w:after="100" w:line="300"/>
        <w:ind w:left="567" w:hanging="567"/>
        <w:jc w:val="both"/>
      </w:pPr>
      <w:r>
        <w:rPr>
          <w:rFonts w:ascii="Times New Roman" w:cs="Traditional Arabic" w:eastAsia="Times New Roman" w:hAnsi="Times New Roman"/>
          <w:i w:val="false"/>
          <w:sz w:val="22"/>
          <w:szCs w:val="22"/>
        </w:rPr>
        <w:t xml:space="preserve">Strunk Jr., William - White, E. B. </w:t>
      </w:r>
      <w:r>
        <w:rPr>
          <w:rFonts w:ascii="Times New Roman" w:cs="Traditional Arabic" w:eastAsia="Times New Roman" w:hAnsi="Times New Roman"/>
          <w:i/>
          <w:iCs/>
          <w:sz w:val="22"/>
          <w:szCs w:val="22"/>
        </w:rPr>
        <w:t xml:space="preserve">The Elements of Style</w:t>
      </w:r>
      <w:r>
        <w:rPr>
          <w:rFonts w:ascii="Times New Roman" w:cs="Traditional Arabic" w:eastAsia="Times New Roman" w:hAnsi="Times New Roman"/>
          <w:i w:val="false"/>
          <w:sz w:val="22"/>
          <w:szCs w:val="22"/>
        </w:rPr>
        <w:t xml:space="preserve">. 4. Baskı. YAYIN YERİ VE YAYINEVİ DOĞRULANAMADI, [YIL DOĞRULANAMADI].</w:t>
      </w:r>
    </w:p>
    <w:p>
      <w:pPr>
        <w:spacing w:after="100" w:line="300"/>
        <w:ind w:left="567" w:hanging="567"/>
        <w:jc w:val="both"/>
      </w:pPr>
      <w:r>
        <w:rPr>
          <w:rFonts w:ascii="Times New Roman" w:cs="Traditional Arabic" w:eastAsia="Times New Roman" w:hAnsi="Times New Roman"/>
          <w:i w:val="false"/>
          <w:sz w:val="22"/>
          <w:szCs w:val="22"/>
        </w:rPr>
        <w:t xml:space="preserve">Toker, İhsan. “Nitel Araştırma Paradigması ve Din”. </w:t>
      </w:r>
      <w:r>
        <w:rPr>
          <w:rFonts w:ascii="Times New Roman" w:cs="Traditional Arabic" w:eastAsia="Times New Roman" w:hAnsi="Times New Roman"/>
          <w:i/>
          <w:iCs/>
          <w:sz w:val="22"/>
          <w:szCs w:val="22"/>
        </w:rPr>
        <w:t xml:space="preserve">Selçuk Üniversitesi İlahiyat Fakültesi Dergisi</w:t>
      </w:r>
      <w:r>
        <w:rPr>
          <w:rFonts w:ascii="Times New Roman" w:cs="Traditional Arabic" w:eastAsia="Times New Roman" w:hAnsi="Times New Roman"/>
          <w:i w:val="false"/>
          <w:sz w:val="22"/>
          <w:szCs w:val="22"/>
        </w:rPr>
        <w:t xml:space="preserve"> 26 (Güz 2008), 55-76.</w:t>
      </w:r>
    </w:p>
    <w:p>
      <w:pPr>
        <w:spacing w:after="100" w:line="300"/>
        <w:ind w:left="567" w:hanging="567"/>
        <w:jc w:val="both"/>
      </w:pPr>
      <w:r>
        <w:rPr>
          <w:rFonts w:ascii="Times New Roman" w:cs="Traditional Arabic" w:eastAsia="Times New Roman" w:hAnsi="Times New Roman"/>
          <w:i w:val="false"/>
          <w:sz w:val="22"/>
          <w:szCs w:val="22"/>
        </w:rPr>
        <w:t xml:space="preserve">Yıldırım, Ali - Şimşek, Hasan. </w:t>
      </w:r>
      <w:r>
        <w:rPr>
          <w:rFonts w:ascii="Times New Roman" w:cs="Traditional Arabic" w:eastAsia="Times New Roman" w:hAnsi="Times New Roman"/>
          <w:i/>
          <w:iCs/>
          <w:sz w:val="22"/>
          <w:szCs w:val="22"/>
        </w:rPr>
        <w:t xml:space="preserve">Sosyal Bilimlerde Nitel Araştırma Yöntemleri</w:t>
      </w:r>
      <w:r>
        <w:rPr>
          <w:rFonts w:ascii="Times New Roman" w:cs="Traditional Arabic" w:eastAsia="Times New Roman" w:hAnsi="Times New Roman"/>
          <w:i w:val="false"/>
          <w:sz w:val="22"/>
          <w:szCs w:val="22"/>
        </w:rPr>
        <w:t xml:space="preserve">. Ankara: Seçkin Yayıncılık, 8. Basım (Tıpkı Basım), 2011.</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İhsan Toker, “Nitel Araştırma Paradigması ve Din”, </w:t>
      </w:r>
      <w:r>
        <w:rPr>
          <w:rFonts w:ascii="Times New Roman" w:cs="Traditional Arabic" w:eastAsia="Times New Roman" w:hAnsi="Times New Roman"/>
          <w:i/>
          <w:iCs/>
          <w:sz w:val="20"/>
          <w:szCs w:val="20"/>
        </w:rPr>
        <w:t xml:space="preserve">Selçuk Üniversitesi İlahiyat Fakültesi Dergisi</w:t>
      </w:r>
      <w:r>
        <w:rPr>
          <w:rFonts w:ascii="Times New Roman" w:cs="Traditional Arabic" w:eastAsia="Times New Roman" w:hAnsi="Times New Roman"/>
          <w:i w:val="false"/>
          <w:sz w:val="20"/>
          <w:szCs w:val="20"/>
        </w:rPr>
        <w:t xml:space="preserve"> 26 (Güz 2008), 71.</w:t>
      </w:r>
    </w:p>
  </w:footnote>
  <w:footnote w:id="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Toker, “Nitel Araştırma Paradigması ve Din”, 72.</w:t>
      </w:r>
    </w:p>
  </w:footnote>
  <w:footnote w:id="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Toker, “Nitel Araştırma Paradigması ve Din”, 72.</w:t>
      </w:r>
    </w:p>
  </w:footnote>
  <w:footnote w:id="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Toker, “Nitel Araştırma Paradigması ve Din”, 56.</w:t>
      </w:r>
    </w:p>
  </w:footnote>
  <w:footnote w:id="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(BASKI BİLGİSİ DOĞRULANAMADI), 3.</w:t>
      </w:r>
    </w:p>
  </w:footnote>
  <w:footnote w:id="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4.</w:t>
      </w:r>
    </w:p>
  </w:footnote>
  <w:footnote w:id="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Ali Yıldırım - Hasan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(Ankara: Seçkin Yayıncılık, 8. Basım [Tıpkı Basım], 2011), 42-43.</w:t>
      </w:r>
    </w:p>
  </w:footnote>
  <w:footnote w:id="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Ebû Amr Takıyyüddîn Osmân b. Abdirrahmân İbnü's-Salâh, </w:t>
      </w:r>
      <w:r>
        <w:rPr>
          <w:rFonts w:ascii="Times New Roman" w:cs="Traditional Arabic" w:eastAsia="Times New Roman" w:hAnsi="Times New Roman"/>
          <w:i/>
          <w:iCs/>
          <w:sz w:val="20"/>
          <w:szCs w:val="20"/>
        </w:rPr>
        <w:t xml:space="preserve">Maʿrifetü envâʿi ʿulûmi'l-hadîs (Mukaddimetü İbni's-Salâh)</w:t>
      </w:r>
      <w:r>
        <w:rPr>
          <w:rFonts w:ascii="Times New Roman" w:cs="Traditional Arabic" w:eastAsia="Times New Roman" w:hAnsi="Times New Roman"/>
          <w:i w:val="false"/>
          <w:sz w:val="20"/>
          <w:szCs w:val="20"/>
        </w:rPr>
        <w:t xml:space="preserve">, thk. Nûreddin Itr (Suriye [ŞEHİR DOĞRULANAMADI]: Dâru'l-Fikr / Beyrut: Dâru'l-Fikri'l-Muʿâsır, 1406/1986), 104.</w:t>
      </w:r>
    </w:p>
  </w:footnote>
  <w:footnote w:id="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Hacer el-Askalânî, </w:t>
      </w:r>
      <w:r>
        <w:rPr>
          <w:rFonts w:ascii="Times New Roman" w:cs="Traditional Arabic" w:eastAsia="Times New Roman" w:hAnsi="Times New Roman"/>
          <w:i/>
          <w:iCs/>
          <w:sz w:val="20"/>
          <w:szCs w:val="20"/>
        </w:rPr>
        <w:t xml:space="preserve">Nüzhetü’n-nazar fî tavzîhi Nuhbeti’l-fiker</w:t>
      </w:r>
      <w:r>
        <w:rPr>
          <w:rFonts w:ascii="Times New Roman" w:cs="Traditional Arabic" w:eastAsia="Times New Roman" w:hAnsi="Times New Roman"/>
          <w:i w:val="false"/>
          <w:sz w:val="20"/>
          <w:szCs w:val="20"/>
        </w:rPr>
        <w:t xml:space="preserve">, nşr. Nûreddin Itr (BASKI BİLGİSİ DOĞRULANAMADI), 43.</w:t>
      </w:r>
    </w:p>
  </w:footnote>
  <w:footnote w:id="1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107.</w:t>
      </w:r>
    </w:p>
  </w:footnote>
  <w:footnote w:id="1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302.</w:t>
      </w:r>
    </w:p>
  </w:footnote>
  <w:footnote w:id="1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7.</w:t>
      </w:r>
    </w:p>
  </w:footnote>
  <w:footnote w:id="1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7.</w:t>
      </w:r>
    </w:p>
  </w:footnote>
  <w:footnote w:id="1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8.</w:t>
      </w:r>
    </w:p>
  </w:footnote>
  <w:footnote w:id="1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Toker, “Nitel Araştırma Paradigması ve Din”, 57.</w:t>
      </w:r>
    </w:p>
  </w:footnote>
  <w:footnote w:id="1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 mine'd-dalâl</w:t>
      </w:r>
      <w:r>
        <w:rPr>
          <w:rFonts w:ascii="Times New Roman" w:cs="Traditional Arabic" w:eastAsia="Times New Roman" w:hAnsi="Times New Roman"/>
          <w:i w:val="false"/>
          <w:sz w:val="20"/>
          <w:szCs w:val="20"/>
        </w:rPr>
        <w:t xml:space="preserve"> (BASKI BİLGİSİ DOĞRULANAMADI), 110.</w:t>
      </w:r>
    </w:p>
  </w:footnote>
  <w:footnote w:id="1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110.</w:t>
      </w:r>
    </w:p>
  </w:footnote>
  <w:footnote w:id="1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Mustafa Ergün, “Ön Söz”, </w:t>
      </w:r>
      <w:r>
        <w:rPr>
          <w:rFonts w:ascii="Times New Roman" w:cs="Traditional Arabic" w:eastAsia="Times New Roman" w:hAnsi="Times New Roman"/>
          <w:i/>
          <w:iCs/>
          <w:sz w:val="20"/>
          <w:szCs w:val="20"/>
        </w:rPr>
        <w:t xml:space="preserve">Eğitim Felsefesi</w:t>
      </w:r>
      <w:r>
        <w:rPr>
          <w:rFonts w:ascii="Times New Roman" w:cs="Traditional Arabic" w:eastAsia="Times New Roman" w:hAnsi="Times New Roman"/>
          <w:i w:val="false"/>
          <w:sz w:val="20"/>
          <w:szCs w:val="20"/>
        </w:rPr>
        <w:t xml:space="preserve">, ed. Mustafa Ergün - Ahmet Çoban (Ankara: Pegem Akademi, 2. Basım, 2020), [iii].</w:t>
      </w:r>
    </w:p>
  </w:footnote>
  <w:footnote w:id="1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Mustafa Ergün, “Bilim Felsefesi”, </w:t>
      </w:r>
      <w:r>
        <w:rPr>
          <w:rFonts w:ascii="Times New Roman" w:cs="Traditional Arabic" w:eastAsia="Times New Roman" w:hAnsi="Times New Roman"/>
          <w:i/>
          <w:iCs/>
          <w:sz w:val="20"/>
          <w:szCs w:val="20"/>
        </w:rPr>
        <w:t xml:space="preserve">Eğitim Felsefesi</w:t>
      </w:r>
      <w:r>
        <w:rPr>
          <w:rFonts w:ascii="Times New Roman" w:cs="Traditional Arabic" w:eastAsia="Times New Roman" w:hAnsi="Times New Roman"/>
          <w:i w:val="false"/>
          <w:sz w:val="20"/>
          <w:szCs w:val="20"/>
        </w:rPr>
        <w:t xml:space="preserve">, ed. Mustafa Ergün - Ahmet Çoban (Ankara: Pegem Akademi, 2. Basım, 2020), 72.</w:t>
      </w:r>
    </w:p>
  </w:footnote>
  <w:footnote w:id="2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Burhan Akpunar, “Eğitim Felsefesi, Akımlar, Öncüleri ve Eğitime İlişkin Görüşleri”, </w:t>
      </w:r>
      <w:r>
        <w:rPr>
          <w:rFonts w:ascii="Times New Roman" w:cs="Traditional Arabic" w:eastAsia="Times New Roman" w:hAnsi="Times New Roman"/>
          <w:i/>
          <w:iCs/>
          <w:sz w:val="20"/>
          <w:szCs w:val="20"/>
        </w:rPr>
        <w:t xml:space="preserve">Eğitim Felsefesi</w:t>
      </w:r>
      <w:r>
        <w:rPr>
          <w:rFonts w:ascii="Times New Roman" w:cs="Traditional Arabic" w:eastAsia="Times New Roman" w:hAnsi="Times New Roman"/>
          <w:i w:val="false"/>
          <w:sz w:val="20"/>
          <w:szCs w:val="20"/>
        </w:rPr>
        <w:t xml:space="preserve">, ed. Mustafa Ergün - Ahmet Çoban (Ankara: Pegem Akademi, 2. Basım, 2020), 117.</w:t>
      </w:r>
    </w:p>
  </w:footnote>
  <w:footnote w:id="2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Ahmet Çoban, “Temel Kavramlar”, </w:t>
      </w:r>
      <w:r>
        <w:rPr>
          <w:rFonts w:ascii="Times New Roman" w:cs="Traditional Arabic" w:eastAsia="Times New Roman" w:hAnsi="Times New Roman"/>
          <w:i/>
          <w:iCs/>
          <w:sz w:val="20"/>
          <w:szCs w:val="20"/>
        </w:rPr>
        <w:t xml:space="preserve">Eğitim Felsefesi</w:t>
      </w:r>
      <w:r>
        <w:rPr>
          <w:rFonts w:ascii="Times New Roman" w:cs="Traditional Arabic" w:eastAsia="Times New Roman" w:hAnsi="Times New Roman"/>
          <w:i w:val="false"/>
          <w:sz w:val="20"/>
          <w:szCs w:val="20"/>
        </w:rPr>
        <w:t xml:space="preserve">, ed. Mustafa Ergün - Ahmet Çoban (Ankara: Pegem Akademi, 2. Basım, 2020), 16.</w:t>
      </w:r>
    </w:p>
  </w:footnote>
  <w:footnote w:id="2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Çoban, “Temel Kavramlar”, 18.</w:t>
      </w:r>
    </w:p>
  </w:footnote>
  <w:footnote w:id="2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John W. Creswell, </w:t>
      </w:r>
      <w:r>
        <w:rPr>
          <w:rFonts w:ascii="Times New Roman" w:cs="Traditional Arabic" w:eastAsia="Times New Roman" w:hAnsi="Times New Roman"/>
          <w:i/>
          <w:iCs/>
          <w:sz w:val="20"/>
          <w:szCs w:val="20"/>
        </w:rPr>
        <w:t xml:space="preserve">Araştırma Deseni: Nitel, Nicel ve Karma Yöntem Yaklaşımları</w:t>
      </w:r>
      <w:r>
        <w:rPr>
          <w:rFonts w:ascii="Times New Roman" w:cs="Traditional Arabic" w:eastAsia="Times New Roman" w:hAnsi="Times New Roman"/>
          <w:i w:val="false"/>
          <w:sz w:val="20"/>
          <w:szCs w:val="20"/>
        </w:rPr>
        <w:t xml:space="preserve">, çev. ed. Selçuk Beşir Demir (Ankara: Eğiten Kitap, 3. Basım, 2017), 6.</w:t>
      </w:r>
    </w:p>
  </w:footnote>
  <w:footnote w:id="2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John W. Creswell, </w:t>
      </w:r>
      <w:r>
        <w:rPr>
          <w:rFonts w:ascii="Times New Roman" w:cs="Traditional Arabic" w:eastAsia="Times New Roman" w:hAnsi="Times New Roman"/>
          <w:i/>
          <w:iCs/>
          <w:sz w:val="20"/>
          <w:szCs w:val="20"/>
        </w:rPr>
        <w:t xml:space="preserve">Karma Yöntem Araştırmalarına Giriş</w:t>
      </w:r>
      <w:r>
        <w:rPr>
          <w:rFonts w:ascii="Times New Roman" w:cs="Traditional Arabic" w:eastAsia="Times New Roman" w:hAnsi="Times New Roman"/>
          <w:i w:val="false"/>
          <w:sz w:val="20"/>
          <w:szCs w:val="20"/>
        </w:rPr>
        <w:t xml:space="preserve">, çev. ed. Mustafa Sözbilir (Ankara: Pegem Akademi, 3. Basım, 2021), 16.</w:t>
      </w:r>
    </w:p>
  </w:footnote>
  <w:footnote w:id="2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Aydın Beraha, </w:t>
      </w:r>
      <w:r>
        <w:rPr>
          <w:rFonts w:ascii="Times New Roman" w:cs="Traditional Arabic" w:eastAsia="Times New Roman" w:hAnsi="Times New Roman"/>
          <w:i/>
          <w:iCs/>
          <w:sz w:val="20"/>
          <w:szCs w:val="20"/>
        </w:rPr>
        <w:t xml:space="preserve">Bilimsel Düşünce ve Araştırma Metodolojisi</w:t>
      </w:r>
      <w:r>
        <w:rPr>
          <w:rFonts w:ascii="Times New Roman" w:cs="Traditional Arabic" w:eastAsia="Times New Roman" w:hAnsi="Times New Roman"/>
          <w:i w:val="false"/>
          <w:sz w:val="20"/>
          <w:szCs w:val="20"/>
        </w:rPr>
        <w:t xml:space="preserve"> (Ankara: Gazi Kitabevi, 2021), 36.</w:t>
      </w:r>
    </w:p>
  </w:footnote>
  <w:footnote w:id="2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Akpunar, “Eğitim Felsefesi, Akımlar, Öncüleri ve Eğitime İlişkin Görüşleri”, 122.</w:t>
      </w:r>
    </w:p>
  </w:footnote>
  <w:footnote w:id="2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Barry Barnes, </w:t>
      </w:r>
      <w:r>
        <w:rPr>
          <w:rFonts w:ascii="Times New Roman" w:cs="Traditional Arabic" w:eastAsia="Times New Roman" w:hAnsi="Times New Roman"/>
          <w:i/>
          <w:iCs/>
          <w:sz w:val="20"/>
          <w:szCs w:val="20"/>
        </w:rPr>
        <w:t xml:space="preserve">T. S. Kuhn ve Sosyal Bilimler</w:t>
      </w:r>
      <w:r>
        <w:rPr>
          <w:rFonts w:ascii="Times New Roman" w:cs="Traditional Arabic" w:eastAsia="Times New Roman" w:hAnsi="Times New Roman"/>
          <w:i w:val="false"/>
          <w:sz w:val="20"/>
          <w:szCs w:val="20"/>
        </w:rPr>
        <w:t xml:space="preserve">, çev. Hüsamettin Arslan (İstanbul: Paradigma, Gözden Geçirilmiş 1. Baskı, 2008), 11.</w:t>
      </w:r>
    </w:p>
  </w:footnote>
  <w:footnote w:id="2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Barnes, </w:t>
      </w:r>
      <w:r>
        <w:rPr>
          <w:rFonts w:ascii="Times New Roman" w:cs="Traditional Arabic" w:eastAsia="Times New Roman" w:hAnsi="Times New Roman"/>
          <w:i/>
          <w:iCs/>
          <w:sz w:val="20"/>
          <w:szCs w:val="20"/>
        </w:rPr>
        <w:t xml:space="preserve">T. S. Kuhn ve Sosyal Bilimler</w:t>
      </w:r>
      <w:r>
        <w:rPr>
          <w:rFonts w:ascii="Times New Roman" w:cs="Traditional Arabic" w:eastAsia="Times New Roman" w:hAnsi="Times New Roman"/>
          <w:i w:val="false"/>
          <w:sz w:val="20"/>
          <w:szCs w:val="20"/>
        </w:rPr>
        <w:t xml:space="preserve">, 22.</w:t>
      </w:r>
    </w:p>
  </w:footnote>
  <w:footnote w:id="2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Barnes, </w:t>
      </w:r>
      <w:r>
        <w:rPr>
          <w:rFonts w:ascii="Times New Roman" w:cs="Traditional Arabic" w:eastAsia="Times New Roman" w:hAnsi="Times New Roman"/>
          <w:i/>
          <w:iCs/>
          <w:sz w:val="20"/>
          <w:szCs w:val="20"/>
        </w:rPr>
        <w:t xml:space="preserve">T. S. Kuhn ve Sosyal Bilimler</w:t>
      </w:r>
      <w:r>
        <w:rPr>
          <w:rFonts w:ascii="Times New Roman" w:cs="Traditional Arabic" w:eastAsia="Times New Roman" w:hAnsi="Times New Roman"/>
          <w:i w:val="false"/>
          <w:sz w:val="20"/>
          <w:szCs w:val="20"/>
        </w:rPr>
        <w:t xml:space="preserve">, 39.</w:t>
      </w:r>
    </w:p>
  </w:footnote>
  <w:footnote w:id="3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Beraha, </w:t>
      </w:r>
      <w:r>
        <w:rPr>
          <w:rFonts w:ascii="Times New Roman" w:cs="Traditional Arabic" w:eastAsia="Times New Roman" w:hAnsi="Times New Roman"/>
          <w:i/>
          <w:iCs/>
          <w:sz w:val="20"/>
          <w:szCs w:val="20"/>
        </w:rPr>
        <w:t xml:space="preserve">Bilimsel Düşünce ve Araştırma Metodolojisi</w:t>
      </w:r>
      <w:r>
        <w:rPr>
          <w:rFonts w:ascii="Times New Roman" w:cs="Traditional Arabic" w:eastAsia="Times New Roman" w:hAnsi="Times New Roman"/>
          <w:i w:val="false"/>
          <w:sz w:val="20"/>
          <w:szCs w:val="20"/>
        </w:rPr>
        <w:t xml:space="preserve">, 11.</w:t>
      </w:r>
    </w:p>
  </w:footnote>
  <w:footnote w:id="3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7.</w:t>
      </w:r>
    </w:p>
  </w:footnote>
  <w:footnote w:id="3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Beraha, </w:t>
      </w:r>
      <w:r>
        <w:rPr>
          <w:rFonts w:ascii="Times New Roman" w:cs="Traditional Arabic" w:eastAsia="Times New Roman" w:hAnsi="Times New Roman"/>
          <w:i/>
          <w:iCs/>
          <w:sz w:val="20"/>
          <w:szCs w:val="20"/>
        </w:rPr>
        <w:t xml:space="preserve">Bilimsel Düşünce ve Araştırma Metodolojisi</w:t>
      </w:r>
      <w:r>
        <w:rPr>
          <w:rFonts w:ascii="Times New Roman" w:cs="Traditional Arabic" w:eastAsia="Times New Roman" w:hAnsi="Times New Roman"/>
          <w:i w:val="false"/>
          <w:sz w:val="20"/>
          <w:szCs w:val="20"/>
        </w:rPr>
        <w:t xml:space="preserve">, 12.</w:t>
      </w:r>
    </w:p>
  </w:footnote>
  <w:footnote w:id="3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Beraha, </w:t>
      </w:r>
      <w:r>
        <w:rPr>
          <w:rFonts w:ascii="Times New Roman" w:cs="Traditional Arabic" w:eastAsia="Times New Roman" w:hAnsi="Times New Roman"/>
          <w:i/>
          <w:iCs/>
          <w:sz w:val="20"/>
          <w:szCs w:val="20"/>
        </w:rPr>
        <w:t xml:space="preserve">Bilimsel Düşünce ve Araştırma Metodolojisi</w:t>
      </w:r>
      <w:r>
        <w:rPr>
          <w:rFonts w:ascii="Times New Roman" w:cs="Traditional Arabic" w:eastAsia="Times New Roman" w:hAnsi="Times New Roman"/>
          <w:i w:val="false"/>
          <w:sz w:val="20"/>
          <w:szCs w:val="20"/>
        </w:rPr>
        <w:t xml:space="preserve">, 47.</w:t>
      </w:r>
    </w:p>
  </w:footnote>
  <w:footnote w:id="3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Zygmunt Bauman, </w:t>
      </w:r>
      <w:r>
        <w:rPr>
          <w:rFonts w:ascii="Times New Roman" w:cs="Traditional Arabic" w:eastAsia="Times New Roman" w:hAnsi="Times New Roman"/>
          <w:i/>
          <w:iCs/>
          <w:sz w:val="20"/>
          <w:szCs w:val="20"/>
        </w:rPr>
        <w:t xml:space="preserve">Hermenötik ve Sosyal Bilimler: Anlamaya Dair Yaklaşımlar</w:t>
      </w:r>
      <w:r>
        <w:rPr>
          <w:rFonts w:ascii="Times New Roman" w:cs="Traditional Arabic" w:eastAsia="Times New Roman" w:hAnsi="Times New Roman"/>
          <w:i w:val="false"/>
          <w:sz w:val="20"/>
          <w:szCs w:val="20"/>
        </w:rPr>
        <w:t xml:space="preserve">, çev. Hüseyin Oruç (İstanbul: Ayrıntı Yayınları, 2017), [15].</w:t>
      </w:r>
    </w:p>
  </w:footnote>
  <w:footnote w:id="3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Scott Gordon, </w:t>
      </w:r>
      <w:r>
        <w:rPr>
          <w:rFonts w:ascii="Times New Roman" w:cs="Traditional Arabic" w:eastAsia="Times New Roman" w:hAnsi="Times New Roman"/>
          <w:i/>
          <w:iCs/>
          <w:sz w:val="20"/>
          <w:szCs w:val="20"/>
        </w:rPr>
        <w:t xml:space="preserve">Sosyal Bilimler Tarihi ve Felsefesi</w:t>
      </w:r>
      <w:r>
        <w:rPr>
          <w:rFonts w:ascii="Times New Roman" w:cs="Traditional Arabic" w:eastAsia="Times New Roman" w:hAnsi="Times New Roman"/>
          <w:i w:val="false"/>
          <w:sz w:val="20"/>
          <w:szCs w:val="20"/>
        </w:rPr>
        <w:t xml:space="preserve">, çev. Hasan Kösebalaban - Ümit Tatlıcan (İstanbul: Küre Yayınları, 2015), [35].</w:t>
      </w:r>
    </w:p>
  </w:footnote>
  <w:footnote w:id="3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Gordon, </w:t>
      </w:r>
      <w:r>
        <w:rPr>
          <w:rFonts w:ascii="Times New Roman" w:cs="Traditional Arabic" w:eastAsia="Times New Roman" w:hAnsi="Times New Roman"/>
          <w:i/>
          <w:iCs/>
          <w:sz w:val="20"/>
          <w:szCs w:val="20"/>
        </w:rPr>
        <w:t xml:space="preserve">Sosyal Bilimler Tarihi ve Felsefesi</w:t>
      </w:r>
      <w:r>
        <w:rPr>
          <w:rFonts w:ascii="Times New Roman" w:cs="Traditional Arabic" w:eastAsia="Times New Roman" w:hAnsi="Times New Roman"/>
          <w:i w:val="false"/>
          <w:sz w:val="20"/>
          <w:szCs w:val="20"/>
        </w:rPr>
        <w:t xml:space="preserve">, 73.</w:t>
      </w:r>
    </w:p>
  </w:footnote>
  <w:footnote w:id="3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Gordon, </w:t>
      </w:r>
      <w:r>
        <w:rPr>
          <w:rFonts w:ascii="Times New Roman" w:cs="Traditional Arabic" w:eastAsia="Times New Roman" w:hAnsi="Times New Roman"/>
          <w:i/>
          <w:iCs/>
          <w:sz w:val="20"/>
          <w:szCs w:val="20"/>
        </w:rPr>
        <w:t xml:space="preserve">Sosyal Bilimler Tarihi ve Felsefesi</w:t>
      </w:r>
      <w:r>
        <w:rPr>
          <w:rFonts w:ascii="Times New Roman" w:cs="Traditional Arabic" w:eastAsia="Times New Roman" w:hAnsi="Times New Roman"/>
          <w:i w:val="false"/>
          <w:sz w:val="20"/>
          <w:szCs w:val="20"/>
        </w:rPr>
        <w:t xml:space="preserve">, 74.</w:t>
      </w:r>
    </w:p>
  </w:footnote>
  <w:footnote w:id="3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Bauman, </w:t>
      </w:r>
      <w:r>
        <w:rPr>
          <w:rFonts w:ascii="Times New Roman" w:cs="Traditional Arabic" w:eastAsia="Times New Roman" w:hAnsi="Times New Roman"/>
          <w:i/>
          <w:iCs/>
          <w:sz w:val="20"/>
          <w:szCs w:val="20"/>
        </w:rPr>
        <w:t xml:space="preserve">Hermenötik ve Sosyal Bilimler</w:t>
      </w:r>
      <w:r>
        <w:rPr>
          <w:rFonts w:ascii="Times New Roman" w:cs="Traditional Arabic" w:eastAsia="Times New Roman" w:hAnsi="Times New Roman"/>
          <w:i w:val="false"/>
          <w:sz w:val="20"/>
          <w:szCs w:val="20"/>
        </w:rPr>
        <w:t xml:space="preserve">, 18.</w:t>
      </w:r>
    </w:p>
  </w:footnote>
  <w:footnote w:id="3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Bauman, </w:t>
      </w:r>
      <w:r>
        <w:rPr>
          <w:rFonts w:ascii="Times New Roman" w:cs="Traditional Arabic" w:eastAsia="Times New Roman" w:hAnsi="Times New Roman"/>
          <w:i/>
          <w:iCs/>
          <w:sz w:val="20"/>
          <w:szCs w:val="20"/>
        </w:rPr>
        <w:t xml:space="preserve">Hermenötik ve Sosyal Bilimler</w:t>
      </w:r>
      <w:r>
        <w:rPr>
          <w:rFonts w:ascii="Times New Roman" w:cs="Traditional Arabic" w:eastAsia="Times New Roman" w:hAnsi="Times New Roman"/>
          <w:i w:val="false"/>
          <w:sz w:val="20"/>
          <w:szCs w:val="20"/>
        </w:rPr>
        <w:t xml:space="preserve">, 13.</w:t>
      </w:r>
    </w:p>
  </w:footnote>
  <w:footnote w:id="4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Bauman, </w:t>
      </w:r>
      <w:r>
        <w:rPr>
          <w:rFonts w:ascii="Times New Roman" w:cs="Traditional Arabic" w:eastAsia="Times New Roman" w:hAnsi="Times New Roman"/>
          <w:i/>
          <w:iCs/>
          <w:sz w:val="20"/>
          <w:szCs w:val="20"/>
        </w:rPr>
        <w:t xml:space="preserve">Hermenötik ve Sosyal Bilimler</w:t>
      </w:r>
      <w:r>
        <w:rPr>
          <w:rFonts w:ascii="Times New Roman" w:cs="Traditional Arabic" w:eastAsia="Times New Roman" w:hAnsi="Times New Roman"/>
          <w:i w:val="false"/>
          <w:sz w:val="20"/>
          <w:szCs w:val="20"/>
        </w:rPr>
        <w:t xml:space="preserve">, 317-318.</w:t>
      </w:r>
    </w:p>
  </w:footnote>
  <w:footnote w:id="4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Hans-Georg 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çev. Hüsamettin Arslan - İsmail Yavuzcan (İstanbul: Paradigma Yayıncılık, 2008), 1/XXXIII.</w:t>
      </w:r>
    </w:p>
  </w:footnote>
  <w:footnote w:id="4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1/XXXIV.</w:t>
      </w:r>
    </w:p>
  </w:footnote>
  <w:footnote w:id="4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1/XLII.</w:t>
      </w:r>
    </w:p>
  </w:footnote>
  <w:footnote w:id="4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1/5.</w:t>
      </w:r>
    </w:p>
  </w:footnote>
  <w:footnote w:id="4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Hans-Georg 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çev. Hüsamettin Arslan - İsmail Yavuzcan (İstanbul: Paradigma Yayıncılık, 2009), 2/10-11.</w:t>
      </w:r>
    </w:p>
  </w:footnote>
  <w:footnote w:id="4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2/11.</w:t>
      </w:r>
    </w:p>
  </w:footnote>
  <w:footnote w:id="4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2/20.</w:t>
      </w:r>
    </w:p>
  </w:footnote>
  <w:footnote w:id="4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2/24.</w:t>
      </w:r>
    </w:p>
  </w:footnote>
  <w:footnote w:id="4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2/25.</w:t>
      </w:r>
    </w:p>
  </w:footnote>
  <w:footnote w:id="5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2/26-27.</w:t>
      </w:r>
    </w:p>
  </w:footnote>
  <w:footnote w:id="5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2/139.</w:t>
      </w:r>
    </w:p>
  </w:footnote>
  <w:footnote w:id="5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8.</w:t>
      </w:r>
    </w:p>
  </w:footnote>
  <w:footnote w:id="5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8.</w:t>
      </w:r>
    </w:p>
  </w:footnote>
  <w:footnote w:id="5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10.</w:t>
      </w:r>
    </w:p>
  </w:footnote>
  <w:footnote w:id="5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Karma Yöntem Araştırmalarına Giriş</w:t>
      </w:r>
      <w:r>
        <w:rPr>
          <w:rFonts w:ascii="Times New Roman" w:cs="Traditional Arabic" w:eastAsia="Times New Roman" w:hAnsi="Times New Roman"/>
          <w:i w:val="false"/>
          <w:sz w:val="20"/>
          <w:szCs w:val="20"/>
        </w:rPr>
        <w:t xml:space="preserve">, 8.</w:t>
      </w:r>
    </w:p>
  </w:footnote>
  <w:footnote w:id="5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Karma Yöntem Araştırmalarına Giriş</w:t>
      </w:r>
      <w:r>
        <w:rPr>
          <w:rFonts w:ascii="Times New Roman" w:cs="Traditional Arabic" w:eastAsia="Times New Roman" w:hAnsi="Times New Roman"/>
          <w:i w:val="false"/>
          <w:sz w:val="20"/>
          <w:szCs w:val="20"/>
        </w:rPr>
        <w:t xml:space="preserve">, 17.</w:t>
      </w:r>
    </w:p>
  </w:footnote>
  <w:footnote w:id="5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Gürbüz Ocak - Emine Akkaş Baysal, “Temel Felsefi Akımlar ve Önemli Temsilcileri”, </w:t>
      </w:r>
      <w:r>
        <w:rPr>
          <w:rFonts w:ascii="Times New Roman" w:cs="Traditional Arabic" w:eastAsia="Times New Roman" w:hAnsi="Times New Roman"/>
          <w:i/>
          <w:iCs/>
          <w:sz w:val="20"/>
          <w:szCs w:val="20"/>
        </w:rPr>
        <w:t xml:space="preserve">Eğitim Felsefesi</w:t>
      </w:r>
      <w:r>
        <w:rPr>
          <w:rFonts w:ascii="Times New Roman" w:cs="Traditional Arabic" w:eastAsia="Times New Roman" w:hAnsi="Times New Roman"/>
          <w:i w:val="false"/>
          <w:sz w:val="20"/>
          <w:szCs w:val="20"/>
        </w:rPr>
        <w:t xml:space="preserve">, ed. Mustafa Ergün - Ahmet Çoban (Ankara: Pegem Akademi, 2. Basım, 2020), 101.</w:t>
      </w:r>
    </w:p>
  </w:footnote>
  <w:footnote w:id="5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Toker, “Nitel Araştırma Paradigması ve Din”, 72.</w:t>
      </w:r>
    </w:p>
  </w:footnote>
  <w:footnote w:id="5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Ergün, “Ön Söz”, [iii]-iv.</w:t>
      </w:r>
    </w:p>
  </w:footnote>
  <w:footnote w:id="6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Robert Hollinger, </w:t>
      </w:r>
      <w:r>
        <w:rPr>
          <w:rFonts w:ascii="Times New Roman" w:cs="Traditional Arabic" w:eastAsia="Times New Roman" w:hAnsi="Times New Roman"/>
          <w:i/>
          <w:iCs/>
          <w:sz w:val="20"/>
          <w:szCs w:val="20"/>
        </w:rPr>
        <w:t xml:space="preserve">Postmodernizm ve Sosyal Bilimler: Tematik Bir Yaklaşım</w:t>
      </w:r>
      <w:r>
        <w:rPr>
          <w:rFonts w:ascii="Times New Roman" w:cs="Traditional Arabic" w:eastAsia="Times New Roman" w:hAnsi="Times New Roman"/>
          <w:i w:val="false"/>
          <w:sz w:val="20"/>
          <w:szCs w:val="20"/>
        </w:rPr>
        <w:t xml:space="preserve">, çev. Ahmet Cevizci (İstanbul: Paradigma, 2005), 13-14.</w:t>
      </w:r>
    </w:p>
  </w:footnote>
  <w:footnote w:id="6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Hollinger, </w:t>
      </w:r>
      <w:r>
        <w:rPr>
          <w:rFonts w:ascii="Times New Roman" w:cs="Traditional Arabic" w:eastAsia="Times New Roman" w:hAnsi="Times New Roman"/>
          <w:i/>
          <w:iCs/>
          <w:sz w:val="20"/>
          <w:szCs w:val="20"/>
        </w:rPr>
        <w:t xml:space="preserve">Postmodernizm ve Sosyal Bilimler</w:t>
      </w:r>
      <w:r>
        <w:rPr>
          <w:rFonts w:ascii="Times New Roman" w:cs="Traditional Arabic" w:eastAsia="Times New Roman" w:hAnsi="Times New Roman"/>
          <w:i w:val="false"/>
          <w:sz w:val="20"/>
          <w:szCs w:val="20"/>
        </w:rPr>
        <w:t xml:space="preserve">, 34.</w:t>
      </w:r>
    </w:p>
  </w:footnote>
  <w:footnote w:id="6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Beraha, </w:t>
      </w:r>
      <w:r>
        <w:rPr>
          <w:rFonts w:ascii="Times New Roman" w:cs="Traditional Arabic" w:eastAsia="Times New Roman" w:hAnsi="Times New Roman"/>
          <w:i/>
          <w:iCs/>
          <w:sz w:val="20"/>
          <w:szCs w:val="20"/>
        </w:rPr>
        <w:t xml:space="preserve">Bilimsel Düşünce ve Araştırma Metodolojisi</w:t>
      </w:r>
      <w:r>
        <w:rPr>
          <w:rFonts w:ascii="Times New Roman" w:cs="Traditional Arabic" w:eastAsia="Times New Roman" w:hAnsi="Times New Roman"/>
          <w:i w:val="false"/>
          <w:sz w:val="20"/>
          <w:szCs w:val="20"/>
        </w:rPr>
        <w:t xml:space="preserve">, 46.</w:t>
      </w:r>
    </w:p>
  </w:footnote>
  <w:footnote w:id="6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Bauman, </w:t>
      </w:r>
      <w:r>
        <w:rPr>
          <w:rFonts w:ascii="Times New Roman" w:cs="Traditional Arabic" w:eastAsia="Times New Roman" w:hAnsi="Times New Roman"/>
          <w:i/>
          <w:iCs/>
          <w:sz w:val="20"/>
          <w:szCs w:val="20"/>
        </w:rPr>
        <w:t xml:space="preserve">Hermenötik ve Sosyal Bilimler</w:t>
      </w:r>
      <w:r>
        <w:rPr>
          <w:rFonts w:ascii="Times New Roman" w:cs="Traditional Arabic" w:eastAsia="Times New Roman" w:hAnsi="Times New Roman"/>
          <w:i w:val="false"/>
          <w:sz w:val="20"/>
          <w:szCs w:val="20"/>
        </w:rPr>
        <w:t xml:space="preserve">, [26-27].</w:t>
      </w:r>
    </w:p>
  </w:footnote>
  <w:footnote w:id="6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7.</w:t>
      </w:r>
    </w:p>
  </w:footnote>
  <w:footnote w:id="6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8.</w:t>
      </w:r>
    </w:p>
  </w:footnote>
  <w:footnote w:id="6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8.</w:t>
      </w:r>
    </w:p>
  </w:footnote>
  <w:footnote w:id="6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8.</w:t>
      </w:r>
    </w:p>
  </w:footnote>
  <w:footnote w:id="6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109.</w:t>
      </w:r>
    </w:p>
  </w:footnote>
  <w:footnote w:id="6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110.</w:t>
      </w:r>
    </w:p>
  </w:footnote>
  <w:footnote w:id="7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109.</w:t>
      </w:r>
    </w:p>
  </w:footnote>
  <w:footnote w:id="7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110.</w:t>
      </w:r>
    </w:p>
  </w:footnote>
  <w:footnote w:id="7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110.</w:t>
      </w:r>
    </w:p>
  </w:footnote>
  <w:footnote w:id="7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111.</w:t>
      </w:r>
    </w:p>
  </w:footnote>
  <w:footnote w:id="7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[23].</w:t>
      </w:r>
    </w:p>
  </w:footnote>
  <w:footnote w:id="7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39.</w:t>
      </w:r>
    </w:p>
  </w:footnote>
  <w:footnote w:id="7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39.</w:t>
      </w:r>
    </w:p>
  </w:footnote>
  <w:footnote w:id="7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45.</w:t>
      </w:r>
    </w:p>
  </w:footnote>
  <w:footnote w:id="7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43.</w:t>
      </w:r>
    </w:p>
  </w:footnote>
  <w:footnote w:id="7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43.</w:t>
      </w:r>
    </w:p>
  </w:footnote>
  <w:footnote w:id="8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8.</w:t>
      </w:r>
    </w:p>
  </w:footnote>
  <w:footnote w:id="8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Ebû Hâmid Muhammed b. Muhammed el-Gazzâlî,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(BASKI BİLGİSİ DOĞRULANAMADI), 41.</w:t>
      </w:r>
    </w:p>
  </w:footnote>
  <w:footnote w:id="8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41.</w:t>
      </w:r>
    </w:p>
  </w:footnote>
  <w:footnote w:id="8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41.</w:t>
      </w:r>
    </w:p>
  </w:footnote>
  <w:footnote w:id="8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90.</w:t>
      </w:r>
    </w:p>
  </w:footnote>
  <w:footnote w:id="8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42-43.</w:t>
      </w:r>
    </w:p>
  </w:footnote>
  <w:footnote w:id="8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7.</w:t>
      </w:r>
    </w:p>
  </w:footnote>
  <w:footnote w:id="8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3.</w:t>
      </w:r>
    </w:p>
  </w:footnote>
  <w:footnote w:id="8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11-12.</w:t>
      </w:r>
    </w:p>
  </w:footnote>
  <w:footnote w:id="8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13-14.</w:t>
      </w:r>
    </w:p>
  </w:footnote>
  <w:footnote w:id="9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14.</w:t>
      </w:r>
    </w:p>
  </w:footnote>
  <w:footnote w:id="9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7.</w:t>
      </w:r>
    </w:p>
  </w:footnote>
  <w:footnote w:id="9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Târîhu İbn Haldûn</w:t>
      </w:r>
      <w:r>
        <w:rPr>
          <w:rFonts w:ascii="Times New Roman" w:cs="Traditional Arabic" w:eastAsia="Times New Roman" w:hAnsi="Times New Roman"/>
          <w:i w:val="false"/>
          <w:sz w:val="20"/>
          <w:szCs w:val="20"/>
        </w:rPr>
        <w:t xml:space="preserve"> (BASKI BİLGİSİ DOĞRULANAMADI), 1/49.</w:t>
      </w:r>
    </w:p>
  </w:footnote>
  <w:footnote w:id="9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Târîhu İbn Haldûn</w:t>
      </w:r>
      <w:r>
        <w:rPr>
          <w:rFonts w:ascii="Times New Roman" w:cs="Traditional Arabic" w:eastAsia="Times New Roman" w:hAnsi="Times New Roman"/>
          <w:i w:val="false"/>
          <w:sz w:val="20"/>
          <w:szCs w:val="20"/>
        </w:rPr>
        <w:t xml:space="preserve">, 1/49.</w:t>
      </w:r>
    </w:p>
  </w:footnote>
  <w:footnote w:id="9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41. Metnin aslı için bk. 82. dipnottaki doğrulama bloğu.</w:t>
      </w:r>
    </w:p>
  </w:footnote>
  <w:footnote w:id="9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7.</w:t>
      </w:r>
    </w:p>
  </w:footnote>
  <w:footnote w:id="9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Şâtıbî, </w:t>
      </w:r>
      <w:r>
        <w:rPr>
          <w:rFonts w:ascii="Times New Roman" w:cs="Traditional Arabic" w:eastAsia="Times New Roman" w:hAnsi="Times New Roman"/>
          <w:i/>
          <w:iCs/>
          <w:sz w:val="20"/>
          <w:szCs w:val="20"/>
        </w:rPr>
        <w:t xml:space="preserve">el-Muvâfakât</w:t>
      </w:r>
      <w:r>
        <w:rPr>
          <w:rFonts w:ascii="Times New Roman" w:cs="Traditional Arabic" w:eastAsia="Times New Roman" w:hAnsi="Times New Roman"/>
          <w:i w:val="false"/>
          <w:sz w:val="20"/>
          <w:szCs w:val="20"/>
        </w:rPr>
        <w:t xml:space="preserve"> (BASKI BİLGİSİ DOĞRULANAMADI), 2/81. Metnin aslı için bk. 138. dipnottaki doğrulama bloğu.</w:t>
      </w:r>
    </w:p>
  </w:footnote>
  <w:footnote w:id="9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291.</w:t>
      </w:r>
    </w:p>
  </w:footnote>
  <w:footnote w:id="9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Muhammed el-Emîn eş-Şinkîtî, </w:t>
      </w:r>
      <w:r>
        <w:rPr>
          <w:rFonts w:ascii="Times New Roman" w:cs="Traditional Arabic" w:eastAsia="Times New Roman" w:hAnsi="Times New Roman"/>
          <w:i/>
          <w:iCs/>
          <w:sz w:val="20"/>
          <w:szCs w:val="20"/>
        </w:rPr>
        <w:t xml:space="preserve">Âdâbü’l-bahs ve’l-münâzara</w:t>
      </w:r>
      <w:r>
        <w:rPr>
          <w:rFonts w:ascii="Times New Roman" w:cs="Traditional Arabic" w:eastAsia="Times New Roman" w:hAnsi="Times New Roman"/>
          <w:i w:val="false"/>
          <w:sz w:val="20"/>
          <w:szCs w:val="20"/>
        </w:rPr>
        <w:t xml:space="preserve"> (BASKI BİLGİSİ DOĞRULANAMADI), 1/156.</w:t>
      </w:r>
    </w:p>
  </w:footnote>
  <w:footnote w:id="9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311.</w:t>
      </w:r>
    </w:p>
  </w:footnote>
  <w:footnote w:id="10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311.</w:t>
      </w:r>
    </w:p>
  </w:footnote>
  <w:footnote w:id="10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316.</w:t>
      </w:r>
    </w:p>
  </w:footnote>
  <w:footnote w:id="10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104-105. Metnin aslı için bk. 8. dipnottaki doğrulama bloğu.</w:t>
      </w:r>
    </w:p>
  </w:footnote>
  <w:footnote w:id="10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Muhammed b. İdrîs eş-Şâfiî, </w:t>
      </w:r>
      <w:r>
        <w:rPr>
          <w:rFonts w:ascii="Times New Roman" w:cs="Traditional Arabic" w:eastAsia="Times New Roman" w:hAnsi="Times New Roman"/>
          <w:i/>
          <w:iCs/>
          <w:sz w:val="20"/>
          <w:szCs w:val="20"/>
        </w:rPr>
        <w:t xml:space="preserve">er-Risâle</w:t>
      </w:r>
      <w:r>
        <w:rPr>
          <w:rFonts w:ascii="Times New Roman" w:cs="Traditional Arabic" w:eastAsia="Times New Roman" w:hAnsi="Times New Roman"/>
          <w:i w:val="false"/>
          <w:sz w:val="20"/>
          <w:szCs w:val="20"/>
        </w:rPr>
        <w:t xml:space="preserve"> (BASKI BİLGİSİ DOĞRULANAMADI), 370-371.</w:t>
      </w:r>
    </w:p>
  </w:footnote>
  <w:footnote w:id="10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Şâfiî, </w:t>
      </w:r>
      <w:r>
        <w:rPr>
          <w:rFonts w:ascii="Times New Roman" w:cs="Traditional Arabic" w:eastAsia="Times New Roman" w:hAnsi="Times New Roman"/>
          <w:i/>
          <w:iCs/>
          <w:sz w:val="20"/>
          <w:szCs w:val="20"/>
        </w:rPr>
        <w:t xml:space="preserve">er-Risâle</w:t>
      </w:r>
      <w:r>
        <w:rPr>
          <w:rFonts w:ascii="Times New Roman" w:cs="Traditional Arabic" w:eastAsia="Times New Roman" w:hAnsi="Times New Roman"/>
          <w:i w:val="false"/>
          <w:sz w:val="20"/>
          <w:szCs w:val="20"/>
        </w:rPr>
        <w:t xml:space="preserve">, 371.</w:t>
      </w:r>
    </w:p>
  </w:footnote>
  <w:footnote w:id="10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245.</w:t>
      </w:r>
    </w:p>
  </w:footnote>
  <w:footnote w:id="10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236.</w:t>
      </w:r>
    </w:p>
  </w:footnote>
  <w:footnote w:id="10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Şinkîtî, </w:t>
      </w:r>
      <w:r>
        <w:rPr>
          <w:rFonts w:ascii="Times New Roman" w:cs="Traditional Arabic" w:eastAsia="Times New Roman" w:hAnsi="Times New Roman"/>
          <w:i/>
          <w:iCs/>
          <w:sz w:val="20"/>
          <w:szCs w:val="20"/>
        </w:rPr>
        <w:t xml:space="preserve">Âdâbü’l-bahs ve’l-münâzara</w:t>
      </w:r>
      <w:r>
        <w:rPr>
          <w:rFonts w:ascii="Times New Roman" w:cs="Traditional Arabic" w:eastAsia="Times New Roman" w:hAnsi="Times New Roman"/>
          <w:i w:val="false"/>
          <w:sz w:val="20"/>
          <w:szCs w:val="20"/>
        </w:rPr>
        <w:t xml:space="preserve">, 1/274.</w:t>
      </w:r>
    </w:p>
  </w:footnote>
  <w:footnote w:id="10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Şinkîtî, </w:t>
      </w:r>
      <w:r>
        <w:rPr>
          <w:rFonts w:ascii="Times New Roman" w:cs="Traditional Arabic" w:eastAsia="Times New Roman" w:hAnsi="Times New Roman"/>
          <w:i/>
          <w:iCs/>
          <w:sz w:val="20"/>
          <w:szCs w:val="20"/>
        </w:rPr>
        <w:t xml:space="preserve">Âdâbü’l-bahs ve’l-münâzara</w:t>
      </w:r>
      <w:r>
        <w:rPr>
          <w:rFonts w:ascii="Times New Roman" w:cs="Traditional Arabic" w:eastAsia="Times New Roman" w:hAnsi="Times New Roman"/>
          <w:i w:val="false"/>
          <w:sz w:val="20"/>
          <w:szCs w:val="20"/>
        </w:rPr>
        <w:t xml:space="preserve">, 1/234.</w:t>
      </w:r>
    </w:p>
  </w:footnote>
  <w:footnote w:id="10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2/65-66.</w:t>
      </w:r>
    </w:p>
  </w:footnote>
  <w:footnote w:id="11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2/68.</w:t>
      </w:r>
    </w:p>
  </w:footnote>
  <w:footnote w:id="11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2/111.</w:t>
      </w:r>
    </w:p>
  </w:footnote>
  <w:footnote w:id="11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2/92-93.</w:t>
      </w:r>
    </w:p>
  </w:footnote>
  <w:footnote w:id="11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2/47.</w:t>
      </w:r>
    </w:p>
  </w:footnote>
  <w:footnote w:id="11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2/69.</w:t>
      </w:r>
    </w:p>
  </w:footnote>
  <w:footnote w:id="11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39.</w:t>
      </w:r>
    </w:p>
  </w:footnote>
  <w:footnote w:id="11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41.</w:t>
      </w:r>
    </w:p>
  </w:footnote>
  <w:footnote w:id="11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4.</w:t>
      </w:r>
    </w:p>
  </w:footnote>
  <w:footnote w:id="11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186.</w:t>
      </w:r>
    </w:p>
  </w:footnote>
  <w:footnote w:id="11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42.</w:t>
      </w:r>
    </w:p>
  </w:footnote>
  <w:footnote w:id="12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43.</w:t>
      </w:r>
    </w:p>
  </w:footnote>
  <w:footnote w:id="12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43.</w:t>
      </w:r>
    </w:p>
  </w:footnote>
  <w:footnote w:id="12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Bedreddîn ez-Zerkeşî, </w:t>
      </w:r>
      <w:r>
        <w:rPr>
          <w:rFonts w:ascii="Times New Roman" w:cs="Traditional Arabic" w:eastAsia="Times New Roman" w:hAnsi="Times New Roman"/>
          <w:i/>
          <w:iCs/>
          <w:sz w:val="20"/>
          <w:szCs w:val="20"/>
        </w:rPr>
        <w:t xml:space="preserve">el-Burhân fî ulûmi'l-Kur'ân</w:t>
      </w:r>
      <w:r>
        <w:rPr>
          <w:rFonts w:ascii="Times New Roman" w:cs="Traditional Arabic" w:eastAsia="Times New Roman" w:hAnsi="Times New Roman"/>
          <w:i w:val="false"/>
          <w:sz w:val="20"/>
          <w:szCs w:val="20"/>
        </w:rPr>
        <w:t xml:space="preserve"> (BASKI BİLGİSİ DOĞRULANAMADI), 1/22.</w:t>
      </w:r>
    </w:p>
  </w:footnote>
  <w:footnote w:id="12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Zerkeşî, </w:t>
      </w:r>
      <w:r>
        <w:rPr>
          <w:rFonts w:ascii="Times New Roman" w:cs="Traditional Arabic" w:eastAsia="Times New Roman" w:hAnsi="Times New Roman"/>
          <w:i/>
          <w:iCs/>
          <w:sz w:val="20"/>
          <w:szCs w:val="20"/>
        </w:rPr>
        <w:t xml:space="preserve">el-Burhân</w:t>
      </w:r>
      <w:r>
        <w:rPr>
          <w:rFonts w:ascii="Times New Roman" w:cs="Traditional Arabic" w:eastAsia="Times New Roman" w:hAnsi="Times New Roman"/>
          <w:i w:val="false"/>
          <w:sz w:val="20"/>
          <w:szCs w:val="20"/>
        </w:rPr>
        <w:t xml:space="preserve">, 1/22.</w:t>
      </w:r>
    </w:p>
  </w:footnote>
  <w:footnote w:id="12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Zerkeşî, </w:t>
      </w:r>
      <w:r>
        <w:rPr>
          <w:rFonts w:ascii="Times New Roman" w:cs="Traditional Arabic" w:eastAsia="Times New Roman" w:hAnsi="Times New Roman"/>
          <w:i/>
          <w:iCs/>
          <w:sz w:val="20"/>
          <w:szCs w:val="20"/>
        </w:rPr>
        <w:t xml:space="preserve">el-Burhân</w:t>
      </w:r>
      <w:r>
        <w:rPr>
          <w:rFonts w:ascii="Times New Roman" w:cs="Traditional Arabic" w:eastAsia="Times New Roman" w:hAnsi="Times New Roman"/>
          <w:i w:val="false"/>
          <w:sz w:val="20"/>
          <w:szCs w:val="20"/>
        </w:rPr>
        <w:t xml:space="preserve">, 1/22.</w:t>
      </w:r>
    </w:p>
  </w:footnote>
  <w:footnote w:id="12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45.</w:t>
      </w:r>
    </w:p>
  </w:footnote>
  <w:footnote w:id="12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Zeynüddîn İbn Nüceym, </w:t>
      </w:r>
      <w:r>
        <w:rPr>
          <w:rFonts w:ascii="Times New Roman" w:cs="Traditional Arabic" w:eastAsia="Times New Roman" w:hAnsi="Times New Roman"/>
          <w:i/>
          <w:iCs/>
          <w:sz w:val="20"/>
          <w:szCs w:val="20"/>
        </w:rPr>
        <w:t xml:space="preserve">el-Eşbâh ve'n-nezâir</w:t>
      </w:r>
      <w:r>
        <w:rPr>
          <w:rFonts w:ascii="Times New Roman" w:cs="Traditional Arabic" w:eastAsia="Times New Roman" w:hAnsi="Times New Roman"/>
          <w:i w:val="false"/>
          <w:sz w:val="20"/>
          <w:szCs w:val="20"/>
        </w:rPr>
        <w:t xml:space="preserve"> (BASKI BİLGİSİ DOĞRULANAMADI), 79.</w:t>
      </w:r>
    </w:p>
  </w:footnote>
  <w:footnote w:id="12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Nüceym, </w:t>
      </w:r>
      <w:r>
        <w:rPr>
          <w:rFonts w:ascii="Times New Roman" w:cs="Traditional Arabic" w:eastAsia="Times New Roman" w:hAnsi="Times New Roman"/>
          <w:i/>
          <w:iCs/>
          <w:sz w:val="20"/>
          <w:szCs w:val="20"/>
        </w:rPr>
        <w:t xml:space="preserve">el-Eşbâh ve'n-nezâir</w:t>
      </w:r>
      <w:r>
        <w:rPr>
          <w:rFonts w:ascii="Times New Roman" w:cs="Traditional Arabic" w:eastAsia="Times New Roman" w:hAnsi="Times New Roman"/>
          <w:i w:val="false"/>
          <w:sz w:val="20"/>
          <w:szCs w:val="20"/>
        </w:rPr>
        <w:t xml:space="preserve">, 79.</w:t>
      </w:r>
    </w:p>
  </w:footnote>
  <w:footnote w:id="12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Nüceym, </w:t>
      </w:r>
      <w:r>
        <w:rPr>
          <w:rFonts w:ascii="Times New Roman" w:cs="Traditional Arabic" w:eastAsia="Times New Roman" w:hAnsi="Times New Roman"/>
          <w:i/>
          <w:iCs/>
          <w:sz w:val="20"/>
          <w:szCs w:val="20"/>
        </w:rPr>
        <w:t xml:space="preserve">el-Eşbâh ve'n-nezâir</w:t>
      </w:r>
      <w:r>
        <w:rPr>
          <w:rFonts w:ascii="Times New Roman" w:cs="Traditional Arabic" w:eastAsia="Times New Roman" w:hAnsi="Times New Roman"/>
          <w:i w:val="false"/>
          <w:sz w:val="20"/>
          <w:szCs w:val="20"/>
        </w:rPr>
        <w:t xml:space="preserve">, 79.</w:t>
      </w:r>
    </w:p>
  </w:footnote>
  <w:footnote w:id="12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Nüceym, </w:t>
      </w:r>
      <w:r>
        <w:rPr>
          <w:rFonts w:ascii="Times New Roman" w:cs="Traditional Arabic" w:eastAsia="Times New Roman" w:hAnsi="Times New Roman"/>
          <w:i/>
          <w:iCs/>
          <w:sz w:val="20"/>
          <w:szCs w:val="20"/>
        </w:rPr>
        <w:t xml:space="preserve">el-Eşbâh ve'n-nezâir</w:t>
      </w:r>
      <w:r>
        <w:rPr>
          <w:rFonts w:ascii="Times New Roman" w:cs="Traditional Arabic" w:eastAsia="Times New Roman" w:hAnsi="Times New Roman"/>
          <w:i w:val="false"/>
          <w:sz w:val="20"/>
          <w:szCs w:val="20"/>
        </w:rPr>
        <w:t xml:space="preserve">, 79.</w:t>
      </w:r>
    </w:p>
  </w:footnote>
  <w:footnote w:id="13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45.</w:t>
      </w:r>
    </w:p>
  </w:footnote>
  <w:footnote w:id="13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46.</w:t>
      </w:r>
    </w:p>
  </w:footnote>
  <w:footnote w:id="13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46.</w:t>
      </w:r>
    </w:p>
  </w:footnote>
  <w:footnote w:id="13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46.</w:t>
      </w:r>
    </w:p>
  </w:footnote>
  <w:footnote w:id="13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47.</w:t>
      </w:r>
    </w:p>
  </w:footnote>
  <w:footnote w:id="13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110. Metnin aslı için bk. 71. ve 72. dipnotlardaki doğrulama blokları.</w:t>
      </w:r>
    </w:p>
  </w:footnote>
  <w:footnote w:id="13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47.</w:t>
      </w:r>
    </w:p>
  </w:footnote>
  <w:footnote w:id="13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47.</w:t>
      </w:r>
    </w:p>
  </w:footnote>
  <w:footnote w:id="13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Şâtıbî, </w:t>
      </w:r>
      <w:r>
        <w:rPr>
          <w:rFonts w:ascii="Times New Roman" w:cs="Traditional Arabic" w:eastAsia="Times New Roman" w:hAnsi="Times New Roman"/>
          <w:i/>
          <w:iCs/>
          <w:sz w:val="20"/>
          <w:szCs w:val="20"/>
        </w:rPr>
        <w:t xml:space="preserve">el-Muvâfakât</w:t>
      </w:r>
      <w:r>
        <w:rPr>
          <w:rFonts w:ascii="Times New Roman" w:cs="Traditional Arabic" w:eastAsia="Times New Roman" w:hAnsi="Times New Roman"/>
          <w:i w:val="false"/>
          <w:sz w:val="20"/>
          <w:szCs w:val="20"/>
        </w:rPr>
        <w:t xml:space="preserve">, 2/81.</w:t>
      </w:r>
    </w:p>
  </w:footnote>
  <w:footnote w:id="13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48.</w:t>
      </w:r>
    </w:p>
  </w:footnote>
  <w:footnote w:id="14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45.</w:t>
      </w:r>
    </w:p>
  </w:footnote>
  <w:footnote w:id="14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71.</w:t>
      </w:r>
    </w:p>
  </w:footnote>
  <w:footnote w:id="14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72.</w:t>
      </w:r>
    </w:p>
  </w:footnote>
  <w:footnote w:id="14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 min makûle makbûle fi'l-akl ev merzûle</w:t>
      </w:r>
      <w:r>
        <w:rPr>
          <w:rFonts w:ascii="Times New Roman" w:cs="Traditional Arabic" w:eastAsia="Times New Roman" w:hAnsi="Times New Roman"/>
          <w:i w:val="false"/>
          <w:sz w:val="20"/>
          <w:szCs w:val="20"/>
        </w:rPr>
        <w:t xml:space="preserve"> (BASKI BİLGİSİ DOĞRULANAMADI), 15.</w:t>
      </w:r>
    </w:p>
  </w:footnote>
  <w:footnote w:id="14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15.</w:t>
      </w:r>
    </w:p>
  </w:footnote>
  <w:footnote w:id="14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15.</w:t>
      </w:r>
    </w:p>
  </w:footnote>
  <w:footnote w:id="14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16.</w:t>
      </w:r>
    </w:p>
  </w:footnote>
  <w:footnote w:id="14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72.</w:t>
      </w:r>
    </w:p>
  </w:footnote>
  <w:footnote w:id="14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16.</w:t>
      </w:r>
    </w:p>
  </w:footnote>
  <w:footnote w:id="14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17.</w:t>
      </w:r>
    </w:p>
  </w:footnote>
  <w:footnote w:id="15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18.</w:t>
      </w:r>
    </w:p>
  </w:footnote>
  <w:footnote w:id="15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18.</w:t>
      </w:r>
    </w:p>
  </w:footnote>
  <w:footnote w:id="15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18.</w:t>
      </w:r>
    </w:p>
  </w:footnote>
  <w:footnote w:id="15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16.</w:t>
      </w:r>
    </w:p>
  </w:footnote>
  <w:footnote w:id="15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71.</w:t>
      </w:r>
    </w:p>
  </w:footnote>
  <w:footnote w:id="15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15.</w:t>
      </w:r>
    </w:p>
  </w:footnote>
  <w:footnote w:id="15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Şehristânî, </w:t>
      </w:r>
      <w:r>
        <w:rPr>
          <w:rFonts w:ascii="Times New Roman" w:cs="Traditional Arabic" w:eastAsia="Times New Roman" w:hAnsi="Times New Roman"/>
          <w:i/>
          <w:iCs/>
          <w:sz w:val="20"/>
          <w:szCs w:val="20"/>
        </w:rPr>
        <w:t xml:space="preserve">el-Milel ve'n-nihal</w:t>
      </w:r>
      <w:r>
        <w:rPr>
          <w:rFonts w:ascii="Times New Roman" w:cs="Traditional Arabic" w:eastAsia="Times New Roman" w:hAnsi="Times New Roman"/>
          <w:i w:val="false"/>
          <w:sz w:val="20"/>
          <w:szCs w:val="20"/>
        </w:rPr>
        <w:t xml:space="preserve"> (BASKI BİLGİSİ DOĞRULANAMADI), 1/14.</w:t>
      </w:r>
    </w:p>
  </w:footnote>
  <w:footnote w:id="15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72.</w:t>
      </w:r>
    </w:p>
  </w:footnote>
  <w:footnote w:id="15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72.</w:t>
      </w:r>
    </w:p>
  </w:footnote>
  <w:footnote w:id="15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Kuşeyrî, </w:t>
      </w:r>
      <w:r>
        <w:rPr>
          <w:rFonts w:ascii="Times New Roman" w:cs="Traditional Arabic" w:eastAsia="Times New Roman" w:hAnsi="Times New Roman"/>
          <w:i/>
          <w:iCs/>
          <w:sz w:val="20"/>
          <w:szCs w:val="20"/>
        </w:rPr>
        <w:t xml:space="preserve">er-Risâletü'l-Kuşeyriyye</w:t>
      </w:r>
      <w:r>
        <w:rPr>
          <w:rFonts w:ascii="Times New Roman" w:cs="Traditional Arabic" w:eastAsia="Times New Roman" w:hAnsi="Times New Roman"/>
          <w:i w:val="false"/>
          <w:sz w:val="20"/>
          <w:szCs w:val="20"/>
        </w:rPr>
        <w:t xml:space="preserve"> (BASKI BİLGİSİ DOĞRULANAMADI), 1/154.</w:t>
      </w:r>
    </w:p>
  </w:footnote>
  <w:footnote w:id="16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172.</w:t>
      </w:r>
    </w:p>
  </w:footnote>
  <w:footnote w:id="16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172.</w:t>
      </w:r>
    </w:p>
  </w:footnote>
  <w:footnote w:id="16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172.</w:t>
      </w:r>
    </w:p>
  </w:footnote>
  <w:footnote w:id="16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[309]-310.</w:t>
      </w:r>
    </w:p>
  </w:footnote>
  <w:footnote w:id="16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Karâfî, </w:t>
      </w:r>
      <w:r>
        <w:rPr>
          <w:rFonts w:ascii="Times New Roman" w:cs="Traditional Arabic" w:eastAsia="Times New Roman" w:hAnsi="Times New Roman"/>
          <w:i/>
          <w:iCs/>
          <w:sz w:val="20"/>
          <w:szCs w:val="20"/>
        </w:rPr>
        <w:t xml:space="preserve">el-Furûk (Envârü'l-burûk fî envâi'l-furûk)</w:t>
      </w:r>
      <w:r>
        <w:rPr>
          <w:rFonts w:ascii="Times New Roman" w:cs="Traditional Arabic" w:eastAsia="Times New Roman" w:hAnsi="Times New Roman"/>
          <w:i w:val="false"/>
          <w:sz w:val="20"/>
          <w:szCs w:val="20"/>
        </w:rPr>
        <w:t xml:space="preserve"> (BASKI BİLGİSİ DOĞRULANAMADI), 1/3.</w:t>
      </w:r>
    </w:p>
  </w:footnote>
  <w:footnote w:id="16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Karâfî, </w:t>
      </w:r>
      <w:r>
        <w:rPr>
          <w:rFonts w:ascii="Times New Roman" w:cs="Traditional Arabic" w:eastAsia="Times New Roman" w:hAnsi="Times New Roman"/>
          <w:i/>
          <w:iCs/>
          <w:sz w:val="20"/>
          <w:szCs w:val="20"/>
        </w:rPr>
        <w:t xml:space="preserve">el-Furûk</w:t>
      </w:r>
      <w:r>
        <w:rPr>
          <w:rFonts w:ascii="Times New Roman" w:cs="Traditional Arabic" w:eastAsia="Times New Roman" w:hAnsi="Times New Roman"/>
          <w:i w:val="false"/>
          <w:sz w:val="20"/>
          <w:szCs w:val="20"/>
        </w:rPr>
        <w:t xml:space="preserve">, 1/3.</w:t>
      </w:r>
    </w:p>
  </w:footnote>
  <w:footnote w:id="16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Karâfî, </w:t>
      </w:r>
      <w:r>
        <w:rPr>
          <w:rFonts w:ascii="Times New Roman" w:cs="Traditional Arabic" w:eastAsia="Times New Roman" w:hAnsi="Times New Roman"/>
          <w:i/>
          <w:iCs/>
          <w:sz w:val="20"/>
          <w:szCs w:val="20"/>
        </w:rPr>
        <w:t xml:space="preserve">el-Furûk</w:t>
      </w:r>
      <w:r>
        <w:rPr>
          <w:rFonts w:ascii="Times New Roman" w:cs="Traditional Arabic" w:eastAsia="Times New Roman" w:hAnsi="Times New Roman"/>
          <w:i w:val="false"/>
          <w:sz w:val="20"/>
          <w:szCs w:val="20"/>
        </w:rPr>
        <w:t xml:space="preserve">, 1/3.</w:t>
      </w:r>
    </w:p>
  </w:footnote>
  <w:footnote w:id="16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77.</w:t>
      </w:r>
    </w:p>
  </w:footnote>
  <w:footnote w:id="16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77.</w:t>
      </w:r>
    </w:p>
  </w:footnote>
  <w:footnote w:id="16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78.</w:t>
      </w:r>
    </w:p>
  </w:footnote>
  <w:footnote w:id="17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78.</w:t>
      </w:r>
    </w:p>
  </w:footnote>
  <w:footnote w:id="17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[295].</w:t>
      </w:r>
    </w:p>
  </w:footnote>
  <w:footnote w:id="17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306.</w:t>
      </w:r>
    </w:p>
  </w:footnote>
  <w:footnote w:id="17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173.</w:t>
      </w:r>
    </w:p>
  </w:footnote>
  <w:footnote w:id="17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173.</w:t>
      </w:r>
    </w:p>
  </w:footnote>
  <w:footnote w:id="17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[83].</w:t>
      </w:r>
    </w:p>
  </w:footnote>
  <w:footnote w:id="17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84.</w:t>
      </w:r>
    </w:p>
  </w:footnote>
  <w:footnote w:id="17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Buhârî, </w:t>
      </w:r>
      <w:r>
        <w:rPr>
          <w:rFonts w:ascii="Times New Roman" w:cs="Traditional Arabic" w:eastAsia="Times New Roman" w:hAnsi="Times New Roman"/>
          <w:i/>
          <w:iCs/>
          <w:sz w:val="20"/>
          <w:szCs w:val="20"/>
        </w:rPr>
        <w:t xml:space="preserve">Sahîhu'l-Buhârî [et-Teʾsîl baskısı]</w:t>
      </w:r>
      <w:r>
        <w:rPr>
          <w:rFonts w:ascii="Times New Roman" w:cs="Traditional Arabic" w:eastAsia="Times New Roman" w:hAnsi="Times New Roman"/>
          <w:i w:val="false"/>
          <w:sz w:val="20"/>
          <w:szCs w:val="20"/>
        </w:rPr>
        <w:t xml:space="preserve"> (BASKI BİLGİSİ DOĞRULANAMADI), 1/243 (“İlim”, 10).</w:t>
      </w:r>
    </w:p>
  </w:footnote>
  <w:footnote w:id="17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86.</w:t>
      </w:r>
    </w:p>
  </w:footnote>
  <w:footnote w:id="17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86-87.</w:t>
      </w:r>
    </w:p>
  </w:footnote>
  <w:footnote w:id="18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140-141.</w:t>
      </w:r>
    </w:p>
  </w:footnote>
  <w:footnote w:id="18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139-140.</w:t>
      </w:r>
    </w:p>
  </w:footnote>
  <w:footnote w:id="18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Abdilber, </w:t>
      </w:r>
      <w:r>
        <w:rPr>
          <w:rFonts w:ascii="Times New Roman" w:cs="Traditional Arabic" w:eastAsia="Times New Roman" w:hAnsi="Times New Roman"/>
          <w:i/>
          <w:iCs/>
          <w:sz w:val="20"/>
          <w:szCs w:val="20"/>
        </w:rPr>
        <w:t xml:space="preserve">Câmiʿu beyâni'l-ilm ve fazlih</w:t>
      </w:r>
      <w:r>
        <w:rPr>
          <w:rFonts w:ascii="Times New Roman" w:cs="Traditional Arabic" w:eastAsia="Times New Roman" w:hAnsi="Times New Roman"/>
          <w:i w:val="false"/>
          <w:sz w:val="20"/>
          <w:szCs w:val="20"/>
        </w:rPr>
        <w:t xml:space="preserve"> (BASKI BİLGİSİ DOĞRULANAMADI), 1/373.</w:t>
      </w:r>
    </w:p>
  </w:footnote>
  <w:footnote w:id="18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Abdilber, </w:t>
      </w:r>
      <w:r>
        <w:rPr>
          <w:rFonts w:ascii="Times New Roman" w:cs="Traditional Arabic" w:eastAsia="Times New Roman" w:hAnsi="Times New Roman"/>
          <w:i/>
          <w:iCs/>
          <w:sz w:val="20"/>
          <w:szCs w:val="20"/>
        </w:rPr>
        <w:t xml:space="preserve">Câmiʿu beyâni'l-ilm</w:t>
      </w:r>
      <w:r>
        <w:rPr>
          <w:rFonts w:ascii="Times New Roman" w:cs="Traditional Arabic" w:eastAsia="Times New Roman" w:hAnsi="Times New Roman"/>
          <w:i w:val="false"/>
          <w:sz w:val="20"/>
          <w:szCs w:val="20"/>
        </w:rPr>
        <w:t xml:space="preserve">, 1/375.</w:t>
      </w:r>
    </w:p>
  </w:footnote>
  <w:footnote w:id="18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94.</w:t>
      </w:r>
    </w:p>
  </w:footnote>
  <w:footnote w:id="18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93.</w:t>
      </w:r>
    </w:p>
  </w:footnote>
  <w:footnote w:id="18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87.</w:t>
      </w:r>
    </w:p>
  </w:footnote>
  <w:footnote w:id="18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45.</w:t>
      </w:r>
    </w:p>
  </w:footnote>
  <w:footnote w:id="18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107.</w:t>
      </w:r>
    </w:p>
  </w:footnote>
  <w:footnote w:id="18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109.</w:t>
      </w:r>
    </w:p>
  </w:footnote>
  <w:footnote w:id="19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109.</w:t>
      </w:r>
    </w:p>
  </w:footnote>
  <w:footnote w:id="19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302.</w:t>
      </w:r>
    </w:p>
  </w:footnote>
  <w:footnote w:id="19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114.</w:t>
      </w:r>
    </w:p>
  </w:footnote>
  <w:footnote w:id="19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Hacer, </w:t>
      </w:r>
      <w:r>
        <w:rPr>
          <w:rFonts w:ascii="Times New Roman" w:cs="Traditional Arabic" w:eastAsia="Times New Roman" w:hAnsi="Times New Roman"/>
          <w:i/>
          <w:iCs/>
          <w:sz w:val="20"/>
          <w:szCs w:val="20"/>
        </w:rPr>
        <w:t xml:space="preserve">Nüzhetü’n-nazar</w:t>
      </w:r>
      <w:r>
        <w:rPr>
          <w:rFonts w:ascii="Times New Roman" w:cs="Traditional Arabic" w:eastAsia="Times New Roman" w:hAnsi="Times New Roman"/>
          <w:i w:val="false"/>
          <w:sz w:val="20"/>
          <w:szCs w:val="20"/>
        </w:rPr>
        <w:t xml:space="preserve">, 43. Metnin aslı için bk. 9. dipnottaki doğrulama bloğu.</w:t>
      </w:r>
    </w:p>
  </w:footnote>
  <w:footnote w:id="19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Nevevî, </w:t>
      </w:r>
      <w:r>
        <w:rPr>
          <w:rFonts w:ascii="Times New Roman" w:cs="Traditional Arabic" w:eastAsia="Times New Roman" w:hAnsi="Times New Roman"/>
          <w:i/>
          <w:iCs/>
          <w:sz w:val="20"/>
          <w:szCs w:val="20"/>
        </w:rPr>
        <w:t xml:space="preserve">et-Tibyân fî âdâbi hameleti'l-Kur'ân</w:t>
      </w:r>
      <w:r>
        <w:rPr>
          <w:rFonts w:ascii="Times New Roman" w:cs="Traditional Arabic" w:eastAsia="Times New Roman" w:hAnsi="Times New Roman"/>
          <w:i w:val="false"/>
          <w:sz w:val="20"/>
          <w:szCs w:val="20"/>
        </w:rPr>
        <w:t xml:space="preserve"> (BASKI BİLGİSİ DOĞRULANAMADI), 35.</w:t>
      </w:r>
    </w:p>
  </w:footnote>
  <w:footnote w:id="19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114.</w:t>
      </w:r>
    </w:p>
  </w:footnote>
  <w:footnote w:id="19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188.</w:t>
      </w:r>
    </w:p>
  </w:footnote>
  <w:footnote w:id="19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[119].</w:t>
      </w:r>
    </w:p>
  </w:footnote>
  <w:footnote w:id="19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41.</w:t>
      </w:r>
    </w:p>
  </w:footnote>
  <w:footnote w:id="19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97.</w:t>
      </w:r>
    </w:p>
  </w:footnote>
  <w:footnote w:id="20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141.</w:t>
      </w:r>
    </w:p>
  </w:footnote>
  <w:footnote w:id="20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2/[169].</w:t>
      </w:r>
    </w:p>
  </w:footnote>
  <w:footnote w:id="20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2/171-172.</w:t>
      </w:r>
    </w:p>
  </w:footnote>
  <w:footnote w:id="20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İbnü'l-Hâc, </w:t>
      </w:r>
      <w:r>
        <w:rPr>
          <w:rFonts w:ascii="Times New Roman" w:cs="Traditional Arabic" w:eastAsia="Times New Roman" w:hAnsi="Times New Roman"/>
          <w:i/>
          <w:iCs/>
          <w:sz w:val="20"/>
          <w:szCs w:val="20"/>
        </w:rPr>
        <w:t xml:space="preserve">el-Medhal</w:t>
      </w:r>
      <w:r>
        <w:rPr>
          <w:rFonts w:ascii="Times New Roman" w:cs="Traditional Arabic" w:eastAsia="Times New Roman" w:hAnsi="Times New Roman"/>
          <w:i w:val="false"/>
          <w:sz w:val="20"/>
          <w:szCs w:val="20"/>
        </w:rPr>
        <w:t xml:space="preserve"> (BASKI BİLGİSİ DOĞRULANAMADI), 2/310.</w:t>
      </w:r>
    </w:p>
  </w:footnote>
  <w:footnote w:id="20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İbnü'l-Hâc, </w:t>
      </w:r>
      <w:r>
        <w:rPr>
          <w:rFonts w:ascii="Times New Roman" w:cs="Traditional Arabic" w:eastAsia="Times New Roman" w:hAnsi="Times New Roman"/>
          <w:i/>
          <w:iCs/>
          <w:sz w:val="20"/>
          <w:szCs w:val="20"/>
        </w:rPr>
        <w:t xml:space="preserve">el-Medhal</w:t>
      </w:r>
      <w:r>
        <w:rPr>
          <w:rFonts w:ascii="Times New Roman" w:cs="Traditional Arabic" w:eastAsia="Times New Roman" w:hAnsi="Times New Roman"/>
          <w:i w:val="false"/>
          <w:sz w:val="20"/>
          <w:szCs w:val="20"/>
        </w:rPr>
        <w:t xml:space="preserve">, 2/310.</w:t>
      </w:r>
    </w:p>
  </w:footnote>
  <w:footnote w:id="20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132.</w:t>
      </w:r>
    </w:p>
  </w:footnote>
  <w:footnote w:id="20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132.</w:t>
      </w:r>
    </w:p>
  </w:footnote>
  <w:footnote w:id="20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137.</w:t>
      </w:r>
    </w:p>
  </w:footnote>
  <w:footnote w:id="20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137.</w:t>
      </w:r>
    </w:p>
  </w:footnote>
  <w:footnote w:id="20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128-129.</w:t>
      </w:r>
    </w:p>
  </w:footnote>
  <w:footnote w:id="21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131.</w:t>
      </w:r>
    </w:p>
  </w:footnote>
  <w:footnote w:id="21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129-130.</w:t>
      </w:r>
    </w:p>
  </w:footnote>
  <w:footnote w:id="21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2/143.</w:t>
      </w:r>
    </w:p>
  </w:footnote>
  <w:footnote w:id="21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131.</w:t>
      </w:r>
    </w:p>
  </w:footnote>
  <w:footnote w:id="21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132.</w:t>
      </w:r>
    </w:p>
  </w:footnote>
  <w:footnote w:id="21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119.</w:t>
      </w:r>
    </w:p>
  </w:footnote>
  <w:footnote w:id="21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119.</w:t>
      </w:r>
    </w:p>
  </w:footnote>
  <w:footnote w:id="21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136.</w:t>
      </w:r>
    </w:p>
  </w:footnote>
  <w:footnote w:id="21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144.</w:t>
      </w:r>
    </w:p>
  </w:footnote>
  <w:footnote w:id="21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Cemâa, </w:t>
      </w:r>
      <w:r>
        <w:rPr>
          <w:rFonts w:ascii="Times New Roman" w:cs="Traditional Arabic" w:eastAsia="Times New Roman" w:hAnsi="Times New Roman"/>
          <w:i/>
          <w:iCs/>
          <w:sz w:val="20"/>
          <w:szCs w:val="20"/>
        </w:rPr>
        <w:t xml:space="preserve">Tezkiretü's-sâmiʿ ve'l-mütekellim fî edebi'l-âlim ve'l-müteallim</w:t>
      </w:r>
      <w:r>
        <w:rPr>
          <w:rFonts w:ascii="Times New Roman" w:cs="Traditional Arabic" w:eastAsia="Times New Roman" w:hAnsi="Times New Roman"/>
          <w:i w:val="false"/>
          <w:sz w:val="20"/>
          <w:szCs w:val="20"/>
        </w:rPr>
        <w:t xml:space="preserve"> (BASKI BİLGİSİ DOĞRULANAMADI), 42.</w:t>
      </w:r>
    </w:p>
  </w:footnote>
  <w:footnote w:id="22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Cemâa, </w:t>
      </w:r>
      <w:r>
        <w:rPr>
          <w:rFonts w:ascii="Times New Roman" w:cs="Traditional Arabic" w:eastAsia="Times New Roman" w:hAnsi="Times New Roman"/>
          <w:i/>
          <w:iCs/>
          <w:sz w:val="20"/>
          <w:szCs w:val="20"/>
        </w:rPr>
        <w:t xml:space="preserve">Tezkiretü's-sâmiʿ</w:t>
      </w:r>
      <w:r>
        <w:rPr>
          <w:rFonts w:ascii="Times New Roman" w:cs="Traditional Arabic" w:eastAsia="Times New Roman" w:hAnsi="Times New Roman"/>
          <w:i w:val="false"/>
          <w:sz w:val="20"/>
          <w:szCs w:val="20"/>
        </w:rPr>
        <w:t xml:space="preserve">, 42.</w:t>
      </w:r>
    </w:p>
  </w:footnote>
  <w:footnote w:id="22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Cemâa, </w:t>
      </w:r>
      <w:r>
        <w:rPr>
          <w:rFonts w:ascii="Times New Roman" w:cs="Traditional Arabic" w:eastAsia="Times New Roman" w:hAnsi="Times New Roman"/>
          <w:i/>
          <w:iCs/>
          <w:sz w:val="20"/>
          <w:szCs w:val="20"/>
        </w:rPr>
        <w:t xml:space="preserve">Tezkiretü's-sâmiʿ</w:t>
      </w:r>
      <w:r>
        <w:rPr>
          <w:rFonts w:ascii="Times New Roman" w:cs="Traditional Arabic" w:eastAsia="Times New Roman" w:hAnsi="Times New Roman"/>
          <w:i w:val="false"/>
          <w:sz w:val="20"/>
          <w:szCs w:val="20"/>
        </w:rPr>
        <w:t xml:space="preserve">, 43.</w:t>
      </w:r>
    </w:p>
  </w:footnote>
  <w:footnote w:id="22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147.</w:t>
      </w:r>
    </w:p>
  </w:footnote>
  <w:footnote w:id="22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147.</w:t>
      </w:r>
    </w:p>
  </w:footnote>
  <w:footnote w:id="22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183.</w:t>
      </w:r>
    </w:p>
  </w:footnote>
  <w:footnote w:id="22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İhyâu ulûmi'd-dîn</w:t>
      </w:r>
      <w:r>
        <w:rPr>
          <w:rFonts w:ascii="Times New Roman" w:cs="Traditional Arabic" w:eastAsia="Times New Roman" w:hAnsi="Times New Roman"/>
          <w:i w:val="false"/>
          <w:sz w:val="20"/>
          <w:szCs w:val="20"/>
        </w:rPr>
        <w:t xml:space="preserve"> (BASKI BİLGİSİ DOĞRULANAMADI), 1/51.</w:t>
      </w:r>
    </w:p>
  </w:footnote>
  <w:footnote w:id="22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[151].</w:t>
      </w:r>
    </w:p>
  </w:footnote>
  <w:footnote w:id="22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[151].</w:t>
      </w:r>
    </w:p>
  </w:footnote>
  <w:footnote w:id="22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Târîhu İbn Haldûn</w:t>
      </w:r>
      <w:r>
        <w:rPr>
          <w:rFonts w:ascii="Times New Roman" w:cs="Traditional Arabic" w:eastAsia="Times New Roman" w:hAnsi="Times New Roman"/>
          <w:i w:val="false"/>
          <w:sz w:val="20"/>
          <w:szCs w:val="20"/>
        </w:rPr>
        <w:t xml:space="preserve">, 1/729.</w:t>
      </w:r>
    </w:p>
  </w:footnote>
  <w:footnote w:id="22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163.</w:t>
      </w:r>
    </w:p>
  </w:footnote>
  <w:footnote w:id="23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163.</w:t>
      </w:r>
    </w:p>
  </w:footnote>
  <w:footnote w:id="23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7.</w:t>
      </w:r>
    </w:p>
  </w:footnote>
  <w:footnote w:id="23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[169].</w:t>
      </w:r>
    </w:p>
  </w:footnote>
  <w:footnote w:id="23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170.</w:t>
      </w:r>
    </w:p>
  </w:footnote>
  <w:footnote w:id="23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13.</w:t>
      </w:r>
    </w:p>
  </w:footnote>
  <w:footnote w:id="23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182.</w:t>
      </w:r>
    </w:p>
  </w:footnote>
  <w:footnote w:id="23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13.</w:t>
      </w:r>
    </w:p>
  </w:footnote>
  <w:footnote w:id="23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182.</w:t>
      </w:r>
    </w:p>
  </w:footnote>
  <w:footnote w:id="23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Hatîb el-Bağdâdî, </w:t>
      </w:r>
      <w:r>
        <w:rPr>
          <w:rFonts w:ascii="Times New Roman" w:cs="Traditional Arabic" w:eastAsia="Times New Roman" w:hAnsi="Times New Roman"/>
          <w:i/>
          <w:iCs/>
          <w:sz w:val="20"/>
          <w:szCs w:val="20"/>
        </w:rPr>
        <w:t xml:space="preserve">er-Rıhle fî talebi'l-hadîs</w:t>
      </w:r>
      <w:r>
        <w:rPr>
          <w:rFonts w:ascii="Times New Roman" w:cs="Traditional Arabic" w:eastAsia="Times New Roman" w:hAnsi="Times New Roman"/>
          <w:i w:val="false"/>
          <w:sz w:val="20"/>
          <w:szCs w:val="20"/>
        </w:rPr>
        <w:t xml:space="preserve">, thk. Ebû Üveys [ADI ŞAMİLE ESER ADINDAKİ KISALTMADAN ALINMIŞTIR] (BASKI BİLGİSİ DOĞRULANAMADI), 34-35.</w:t>
      </w:r>
    </w:p>
  </w:footnote>
  <w:footnote w:id="23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Hatîb el-Bağdâdî, </w:t>
      </w:r>
      <w:r>
        <w:rPr>
          <w:rFonts w:ascii="Times New Roman" w:cs="Traditional Arabic" w:eastAsia="Times New Roman" w:hAnsi="Times New Roman"/>
          <w:i/>
          <w:iCs/>
          <w:sz w:val="20"/>
          <w:szCs w:val="20"/>
        </w:rPr>
        <w:t xml:space="preserve">er-Rıhle</w:t>
      </w:r>
      <w:r>
        <w:rPr>
          <w:rFonts w:ascii="Times New Roman" w:cs="Traditional Arabic" w:eastAsia="Times New Roman" w:hAnsi="Times New Roman"/>
          <w:i w:val="false"/>
          <w:sz w:val="20"/>
          <w:szCs w:val="20"/>
        </w:rPr>
        <w:t xml:space="preserve">, 35.</w:t>
      </w:r>
    </w:p>
  </w:footnote>
  <w:footnote w:id="24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Hatîb el-Bağdâdî, </w:t>
      </w:r>
      <w:r>
        <w:rPr>
          <w:rFonts w:ascii="Times New Roman" w:cs="Traditional Arabic" w:eastAsia="Times New Roman" w:hAnsi="Times New Roman"/>
          <w:i/>
          <w:iCs/>
          <w:sz w:val="20"/>
          <w:szCs w:val="20"/>
        </w:rPr>
        <w:t xml:space="preserve">er-Rıhle</w:t>
      </w:r>
      <w:r>
        <w:rPr>
          <w:rFonts w:ascii="Times New Roman" w:cs="Traditional Arabic" w:eastAsia="Times New Roman" w:hAnsi="Times New Roman"/>
          <w:i w:val="false"/>
          <w:sz w:val="20"/>
          <w:szCs w:val="20"/>
        </w:rPr>
        <w:t xml:space="preserve">, 35.</w:t>
      </w:r>
    </w:p>
  </w:footnote>
  <w:footnote w:id="24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112.</w:t>
      </w:r>
    </w:p>
  </w:footnote>
  <w:footnote w:id="24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71.</w:t>
      </w:r>
    </w:p>
  </w:footnote>
  <w:footnote w:id="24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2/128.</w:t>
      </w:r>
    </w:p>
  </w:footnote>
  <w:footnote w:id="24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98.</w:t>
      </w:r>
    </w:p>
  </w:footnote>
  <w:footnote w:id="24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71.</w:t>
      </w:r>
    </w:p>
  </w:footnote>
  <w:footnote w:id="24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170.</w:t>
      </w:r>
    </w:p>
  </w:footnote>
  <w:footnote w:id="24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1/46.</w:t>
      </w:r>
    </w:p>
  </w:footnote>
  <w:footnote w:id="24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1/46.</w:t>
      </w:r>
    </w:p>
  </w:footnote>
  <w:footnote w:id="24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179.</w:t>
      </w:r>
    </w:p>
  </w:footnote>
  <w:footnote w:id="25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180.</w:t>
      </w:r>
    </w:p>
  </w:footnote>
  <w:footnote w:id="25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179.</w:t>
      </w:r>
    </w:p>
  </w:footnote>
  <w:footnote w:id="25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176.</w:t>
      </w:r>
    </w:p>
  </w:footnote>
  <w:footnote w:id="25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Battûta, </w:t>
      </w:r>
      <w:r>
        <w:rPr>
          <w:rFonts w:ascii="Times New Roman" w:cs="Traditional Arabic" w:eastAsia="Times New Roman" w:hAnsi="Times New Roman"/>
          <w:i/>
          <w:iCs/>
          <w:sz w:val="20"/>
          <w:szCs w:val="20"/>
        </w:rPr>
        <w:t xml:space="preserve">Rihletü İbn Battûta</w:t>
      </w:r>
      <w:r>
        <w:rPr>
          <w:rFonts w:ascii="Times New Roman" w:cs="Traditional Arabic" w:eastAsia="Times New Roman" w:hAnsi="Times New Roman"/>
          <w:i w:val="false"/>
          <w:sz w:val="20"/>
          <w:szCs w:val="20"/>
        </w:rPr>
        <w:t xml:space="preserve">, [Akademiyyetü'l-Memleketi'l-Mağribiyye baskısı] (BASKI BİLGİSİ DOĞRULANAMADI), 1/314.</w:t>
      </w:r>
    </w:p>
  </w:footnote>
  <w:footnote w:id="25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Battûta, </w:t>
      </w:r>
      <w:r>
        <w:rPr>
          <w:rFonts w:ascii="Times New Roman" w:cs="Traditional Arabic" w:eastAsia="Times New Roman" w:hAnsi="Times New Roman"/>
          <w:i/>
          <w:iCs/>
          <w:sz w:val="20"/>
          <w:szCs w:val="20"/>
        </w:rPr>
        <w:t xml:space="preserve">Rihle</w:t>
      </w:r>
      <w:r>
        <w:rPr>
          <w:rFonts w:ascii="Times New Roman" w:cs="Traditional Arabic" w:eastAsia="Times New Roman" w:hAnsi="Times New Roman"/>
          <w:i w:val="false"/>
          <w:sz w:val="20"/>
          <w:szCs w:val="20"/>
        </w:rPr>
        <w:t xml:space="preserve">, 1/314.</w:t>
      </w:r>
    </w:p>
  </w:footnote>
  <w:footnote w:id="25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180.</w:t>
      </w:r>
    </w:p>
  </w:footnote>
  <w:footnote w:id="25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İbnü'l-Uhuvve, </w:t>
      </w:r>
      <w:r>
        <w:rPr>
          <w:rFonts w:ascii="Times New Roman" w:cs="Traditional Arabic" w:eastAsia="Times New Roman" w:hAnsi="Times New Roman"/>
          <w:i/>
          <w:iCs/>
          <w:sz w:val="20"/>
          <w:szCs w:val="20"/>
        </w:rPr>
        <w:t xml:space="preserve">Meâlimü'l-kurbe fî talebi'l-hisbe</w:t>
      </w:r>
      <w:r>
        <w:rPr>
          <w:rFonts w:ascii="Times New Roman" w:cs="Traditional Arabic" w:eastAsia="Times New Roman" w:hAnsi="Times New Roman"/>
          <w:i w:val="false"/>
          <w:sz w:val="20"/>
          <w:szCs w:val="20"/>
        </w:rPr>
        <w:t xml:space="preserve"> (BASKI BİLGİSİ DOĞRULANAMADI), 170.</w:t>
      </w:r>
    </w:p>
  </w:footnote>
  <w:footnote w:id="25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İbnü'l-Uhuvve, </w:t>
      </w:r>
      <w:r>
        <w:rPr>
          <w:rFonts w:ascii="Times New Roman" w:cs="Traditional Arabic" w:eastAsia="Times New Roman" w:hAnsi="Times New Roman"/>
          <w:i/>
          <w:iCs/>
          <w:sz w:val="20"/>
          <w:szCs w:val="20"/>
        </w:rPr>
        <w:t xml:space="preserve">Meâlimü'l-kurbe</w:t>
      </w:r>
      <w:r>
        <w:rPr>
          <w:rFonts w:ascii="Times New Roman" w:cs="Traditional Arabic" w:eastAsia="Times New Roman" w:hAnsi="Times New Roman"/>
          <w:i w:val="false"/>
          <w:sz w:val="20"/>
          <w:szCs w:val="20"/>
        </w:rPr>
        <w:t xml:space="preserve">, 170.</w:t>
      </w:r>
    </w:p>
  </w:footnote>
  <w:footnote w:id="25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İbnü'l-Uhuvve, </w:t>
      </w:r>
      <w:r>
        <w:rPr>
          <w:rFonts w:ascii="Times New Roman" w:cs="Traditional Arabic" w:eastAsia="Times New Roman" w:hAnsi="Times New Roman"/>
          <w:i/>
          <w:iCs/>
          <w:sz w:val="20"/>
          <w:szCs w:val="20"/>
        </w:rPr>
        <w:t xml:space="preserve">Meâlimü'l-kurbe</w:t>
      </w:r>
      <w:r>
        <w:rPr>
          <w:rFonts w:ascii="Times New Roman" w:cs="Traditional Arabic" w:eastAsia="Times New Roman" w:hAnsi="Times New Roman"/>
          <w:i w:val="false"/>
          <w:sz w:val="20"/>
          <w:szCs w:val="20"/>
        </w:rPr>
        <w:t xml:space="preserve">, 170.</w:t>
      </w:r>
    </w:p>
  </w:footnote>
  <w:footnote w:id="25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[187].</w:t>
      </w:r>
    </w:p>
  </w:footnote>
  <w:footnote w:id="26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41.</w:t>
      </w:r>
    </w:p>
  </w:footnote>
  <w:footnote w:id="26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13.</w:t>
      </w:r>
    </w:p>
  </w:footnote>
  <w:footnote w:id="26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7.</w:t>
      </w:r>
    </w:p>
  </w:footnote>
  <w:footnote w:id="26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195.</w:t>
      </w:r>
    </w:p>
  </w:footnote>
  <w:footnote w:id="26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195.</w:t>
      </w:r>
    </w:p>
  </w:footnote>
  <w:footnote w:id="26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195.</w:t>
      </w:r>
    </w:p>
  </w:footnote>
  <w:footnote w:id="26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178.</w:t>
      </w:r>
    </w:p>
  </w:footnote>
  <w:footnote w:id="26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178.</w:t>
      </w:r>
    </w:p>
  </w:footnote>
  <w:footnote w:id="26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213.</w:t>
      </w:r>
    </w:p>
  </w:footnote>
  <w:footnote w:id="26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190.</w:t>
      </w:r>
    </w:p>
  </w:footnote>
  <w:footnote w:id="27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195.</w:t>
      </w:r>
    </w:p>
  </w:footnote>
  <w:footnote w:id="27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95.</w:t>
      </w:r>
    </w:p>
  </w:footnote>
  <w:footnote w:id="27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İbnü'l-Kayyim, </w:t>
      </w:r>
      <w:r>
        <w:rPr>
          <w:rFonts w:ascii="Times New Roman" w:cs="Traditional Arabic" w:eastAsia="Times New Roman" w:hAnsi="Times New Roman"/>
          <w:i/>
          <w:iCs/>
          <w:sz w:val="20"/>
          <w:szCs w:val="20"/>
        </w:rPr>
        <w:t xml:space="preserve">el-Menârü'l-münîf fi's-sahîh ve'd-daîf</w:t>
      </w:r>
      <w:r>
        <w:rPr>
          <w:rFonts w:ascii="Times New Roman" w:cs="Traditional Arabic" w:eastAsia="Times New Roman" w:hAnsi="Times New Roman"/>
          <w:i w:val="false"/>
          <w:sz w:val="20"/>
          <w:szCs w:val="20"/>
        </w:rPr>
        <w:t xml:space="preserve">, thk. Ebû Gudde [ADI ŞAMİLE ESER ADINDAKİ KISALTMADAN ALINMIŞTIR] (BASKI BİLGİSİ DOĞRULANAMADI), 43.</w:t>
      </w:r>
    </w:p>
  </w:footnote>
  <w:footnote w:id="27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İbnü'l-Kayyim, </w:t>
      </w:r>
      <w:r>
        <w:rPr>
          <w:rFonts w:ascii="Times New Roman" w:cs="Traditional Arabic" w:eastAsia="Times New Roman" w:hAnsi="Times New Roman"/>
          <w:i/>
          <w:iCs/>
          <w:sz w:val="20"/>
          <w:szCs w:val="20"/>
        </w:rPr>
        <w:t xml:space="preserve">el-Menârü'l-münîf</w:t>
      </w:r>
      <w:r>
        <w:rPr>
          <w:rFonts w:ascii="Times New Roman" w:cs="Traditional Arabic" w:eastAsia="Times New Roman" w:hAnsi="Times New Roman"/>
          <w:i w:val="false"/>
          <w:sz w:val="20"/>
          <w:szCs w:val="20"/>
        </w:rPr>
        <w:t xml:space="preserve">, 44.</w:t>
      </w:r>
    </w:p>
  </w:footnote>
  <w:footnote w:id="27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İbnü'l-Kayyim, </w:t>
      </w:r>
      <w:r>
        <w:rPr>
          <w:rFonts w:ascii="Times New Roman" w:cs="Traditional Arabic" w:eastAsia="Times New Roman" w:hAnsi="Times New Roman"/>
          <w:i/>
          <w:iCs/>
          <w:sz w:val="20"/>
          <w:szCs w:val="20"/>
        </w:rPr>
        <w:t xml:space="preserve">el-Menârü'l-münîf</w:t>
      </w:r>
      <w:r>
        <w:rPr>
          <w:rFonts w:ascii="Times New Roman" w:cs="Traditional Arabic" w:eastAsia="Times New Roman" w:hAnsi="Times New Roman"/>
          <w:i w:val="false"/>
          <w:sz w:val="20"/>
          <w:szCs w:val="20"/>
        </w:rPr>
        <w:t xml:space="preserve">, 44.</w:t>
      </w:r>
    </w:p>
  </w:footnote>
  <w:footnote w:id="27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195.</w:t>
      </w:r>
    </w:p>
  </w:footnote>
  <w:footnote w:id="27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İbnü'l-Kayyim, </w:t>
      </w:r>
      <w:r>
        <w:rPr>
          <w:rFonts w:ascii="Times New Roman" w:cs="Traditional Arabic" w:eastAsia="Times New Roman" w:hAnsi="Times New Roman"/>
          <w:i/>
          <w:iCs/>
          <w:sz w:val="20"/>
          <w:szCs w:val="20"/>
        </w:rPr>
        <w:t xml:space="preserve">el-Menârü'l-münîf</w:t>
      </w:r>
      <w:r>
        <w:rPr>
          <w:rFonts w:ascii="Times New Roman" w:cs="Traditional Arabic" w:eastAsia="Times New Roman" w:hAnsi="Times New Roman"/>
          <w:i w:val="false"/>
          <w:sz w:val="20"/>
          <w:szCs w:val="20"/>
        </w:rPr>
        <w:t xml:space="preserve">, 43.</w:t>
      </w:r>
    </w:p>
  </w:footnote>
  <w:footnote w:id="27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196.</w:t>
      </w:r>
    </w:p>
  </w:footnote>
  <w:footnote w:id="27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197.</w:t>
      </w:r>
    </w:p>
  </w:footnote>
  <w:footnote w:id="27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196.</w:t>
      </w:r>
    </w:p>
  </w:footnote>
  <w:footnote w:id="28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201.</w:t>
      </w:r>
    </w:p>
  </w:footnote>
  <w:footnote w:id="28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212.</w:t>
      </w:r>
    </w:p>
  </w:footnote>
  <w:footnote w:id="28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206.</w:t>
      </w:r>
    </w:p>
  </w:footnote>
  <w:footnote w:id="28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207.</w:t>
      </w:r>
    </w:p>
  </w:footnote>
  <w:footnote w:id="28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214.</w:t>
      </w:r>
    </w:p>
  </w:footnote>
  <w:footnote w:id="28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Zerkeşî, </w:t>
      </w:r>
      <w:r>
        <w:rPr>
          <w:rFonts w:ascii="Times New Roman" w:cs="Traditional Arabic" w:eastAsia="Times New Roman" w:hAnsi="Times New Roman"/>
          <w:i/>
          <w:iCs/>
          <w:sz w:val="20"/>
          <w:szCs w:val="20"/>
        </w:rPr>
        <w:t xml:space="preserve">el-Burhân</w:t>
      </w:r>
      <w:r>
        <w:rPr>
          <w:rFonts w:ascii="Times New Roman" w:cs="Traditional Arabic" w:eastAsia="Times New Roman" w:hAnsi="Times New Roman"/>
          <w:i w:val="false"/>
          <w:sz w:val="20"/>
          <w:szCs w:val="20"/>
        </w:rPr>
        <w:t xml:space="preserve">, 1/486.</w:t>
      </w:r>
    </w:p>
  </w:footnote>
  <w:footnote w:id="28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Zerkeşî, </w:t>
      </w:r>
      <w:r>
        <w:rPr>
          <w:rFonts w:ascii="Times New Roman" w:cs="Traditional Arabic" w:eastAsia="Times New Roman" w:hAnsi="Times New Roman"/>
          <w:i/>
          <w:iCs/>
          <w:sz w:val="20"/>
          <w:szCs w:val="20"/>
        </w:rPr>
        <w:t xml:space="preserve">el-Burhân</w:t>
      </w:r>
      <w:r>
        <w:rPr>
          <w:rFonts w:ascii="Times New Roman" w:cs="Traditional Arabic" w:eastAsia="Times New Roman" w:hAnsi="Times New Roman"/>
          <w:i w:val="false"/>
          <w:sz w:val="20"/>
          <w:szCs w:val="20"/>
        </w:rPr>
        <w:t xml:space="preserve">, 1/486-487.</w:t>
      </w:r>
    </w:p>
  </w:footnote>
  <w:footnote w:id="28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Abdülkâhir el-Cürcânî, </w:t>
      </w:r>
      <w:r>
        <w:rPr>
          <w:rFonts w:ascii="Times New Roman" w:cs="Traditional Arabic" w:eastAsia="Times New Roman" w:hAnsi="Times New Roman"/>
          <w:i/>
          <w:iCs/>
          <w:sz w:val="20"/>
          <w:szCs w:val="20"/>
        </w:rPr>
        <w:t xml:space="preserve">Esrârü'l-belâğa</w:t>
      </w:r>
      <w:r>
        <w:rPr>
          <w:rFonts w:ascii="Times New Roman" w:cs="Traditional Arabic" w:eastAsia="Times New Roman" w:hAnsi="Times New Roman"/>
          <w:i w:val="false"/>
          <w:sz w:val="20"/>
          <w:szCs w:val="20"/>
        </w:rPr>
        <w:t xml:space="preserve">, thk. Mahmûd Şâkir [ADI ŞAMİLE ESER ADINDAKİ KISALTMADAN ALINMIŞTIR] (BASKI BİLGİSİ DOĞRULANAMADI), 115.</w:t>
      </w:r>
    </w:p>
  </w:footnote>
  <w:footnote w:id="28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1/735.</w:t>
      </w:r>
    </w:p>
  </w:footnote>
  <w:footnote w:id="28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206.</w:t>
      </w:r>
    </w:p>
  </w:footnote>
  <w:footnote w:id="29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212.</w:t>
      </w:r>
    </w:p>
  </w:footnote>
  <w:footnote w:id="29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213.</w:t>
      </w:r>
    </w:p>
  </w:footnote>
  <w:footnote w:id="29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213.</w:t>
      </w:r>
    </w:p>
  </w:footnote>
  <w:footnote w:id="29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213.</w:t>
      </w:r>
    </w:p>
  </w:footnote>
  <w:footnote w:id="29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212.</w:t>
      </w:r>
    </w:p>
  </w:footnote>
  <w:footnote w:id="29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214.</w:t>
      </w:r>
    </w:p>
  </w:footnote>
  <w:footnote w:id="29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212.</w:t>
      </w:r>
    </w:p>
  </w:footnote>
  <w:footnote w:id="29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212.</w:t>
      </w:r>
    </w:p>
  </w:footnote>
  <w:footnote w:id="29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214.</w:t>
      </w:r>
    </w:p>
  </w:footnote>
  <w:footnote w:id="29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214.</w:t>
      </w:r>
    </w:p>
  </w:footnote>
  <w:footnote w:id="30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110.</w:t>
      </w:r>
    </w:p>
  </w:footnote>
  <w:footnote w:id="30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7.</w:t>
      </w:r>
    </w:p>
  </w:footnote>
  <w:footnote w:id="30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[221].</w:t>
      </w:r>
    </w:p>
  </w:footnote>
  <w:footnote w:id="30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[221].</w:t>
      </w:r>
    </w:p>
  </w:footnote>
  <w:footnote w:id="30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222.</w:t>
      </w:r>
    </w:p>
  </w:footnote>
  <w:footnote w:id="30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222.</w:t>
      </w:r>
    </w:p>
  </w:footnote>
  <w:footnote w:id="30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w:t>
      </w:r>
      <w:r>
        <w:rPr>
          <w:rFonts w:ascii="Times New Roman" w:cs="Traditional Arabic" w:eastAsia="Times New Roman" w:hAnsi="Times New Roman"/>
          <w:i w:val="false"/>
          <w:sz w:val="20"/>
          <w:szCs w:val="20"/>
        </w:rPr>
        <w:t xml:space="preserve">, 1/49.</w:t>
      </w:r>
    </w:p>
  </w:footnote>
  <w:footnote w:id="30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194-196.</w:t>
      </w:r>
    </w:p>
  </w:footnote>
  <w:footnote w:id="30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Gadamer, </w:t>
      </w:r>
      <w:r>
        <w:rPr>
          <w:rFonts w:ascii="Times New Roman" w:cs="Traditional Arabic" w:eastAsia="Times New Roman" w:hAnsi="Times New Roman"/>
          <w:i/>
          <w:iCs/>
          <w:sz w:val="20"/>
          <w:szCs w:val="20"/>
        </w:rPr>
        <w:t xml:space="preserve">Hakikat ve Yöntem</w:t>
      </w:r>
      <w:r>
        <w:rPr>
          <w:rFonts w:ascii="Times New Roman" w:cs="Traditional Arabic" w:eastAsia="Times New Roman" w:hAnsi="Times New Roman"/>
          <w:i w:val="false"/>
          <w:sz w:val="20"/>
          <w:szCs w:val="20"/>
        </w:rPr>
        <w:t xml:space="preserve">, 2/41.</w:t>
      </w:r>
    </w:p>
  </w:footnote>
  <w:footnote w:id="30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224.</w:t>
      </w:r>
    </w:p>
  </w:footnote>
  <w:footnote w:id="31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224.</w:t>
      </w:r>
    </w:p>
  </w:footnote>
  <w:footnote w:id="31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Şehristânî, </w:t>
      </w:r>
      <w:r>
        <w:rPr>
          <w:rFonts w:ascii="Times New Roman" w:cs="Traditional Arabic" w:eastAsia="Times New Roman" w:hAnsi="Times New Roman"/>
          <w:i/>
          <w:iCs/>
          <w:sz w:val="20"/>
          <w:szCs w:val="20"/>
        </w:rPr>
        <w:t xml:space="preserve">el-Milel ve'n-nihal</w:t>
      </w:r>
      <w:r>
        <w:rPr>
          <w:rFonts w:ascii="Times New Roman" w:cs="Traditional Arabic" w:eastAsia="Times New Roman" w:hAnsi="Times New Roman"/>
          <w:i w:val="false"/>
          <w:sz w:val="20"/>
          <w:szCs w:val="20"/>
        </w:rPr>
        <w:t xml:space="preserve">, 1/14.</w:t>
      </w:r>
    </w:p>
  </w:footnote>
  <w:footnote w:id="31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Şehristânî, </w:t>
      </w:r>
      <w:r>
        <w:rPr>
          <w:rFonts w:ascii="Times New Roman" w:cs="Traditional Arabic" w:eastAsia="Times New Roman" w:hAnsi="Times New Roman"/>
          <w:i/>
          <w:iCs/>
          <w:sz w:val="20"/>
          <w:szCs w:val="20"/>
        </w:rPr>
        <w:t xml:space="preserve">el-Milel ve'n-nihal</w:t>
      </w:r>
      <w:r>
        <w:rPr>
          <w:rFonts w:ascii="Times New Roman" w:cs="Traditional Arabic" w:eastAsia="Times New Roman" w:hAnsi="Times New Roman"/>
          <w:i w:val="false"/>
          <w:sz w:val="20"/>
          <w:szCs w:val="20"/>
        </w:rPr>
        <w:t xml:space="preserve">, 1/14.</w:t>
      </w:r>
    </w:p>
  </w:footnote>
  <w:footnote w:id="31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227.</w:t>
      </w:r>
    </w:p>
  </w:footnote>
  <w:footnote w:id="31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227.</w:t>
      </w:r>
    </w:p>
  </w:footnote>
  <w:footnote w:id="31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228.</w:t>
      </w:r>
    </w:p>
  </w:footnote>
  <w:footnote w:id="31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228.</w:t>
      </w:r>
    </w:p>
  </w:footnote>
  <w:footnote w:id="31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229.</w:t>
      </w:r>
    </w:p>
  </w:footnote>
  <w:footnote w:id="31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Buhârî, </w:t>
      </w:r>
      <w:r>
        <w:rPr>
          <w:rFonts w:ascii="Times New Roman" w:cs="Traditional Arabic" w:eastAsia="Times New Roman" w:hAnsi="Times New Roman"/>
          <w:i/>
          <w:iCs/>
          <w:sz w:val="20"/>
          <w:szCs w:val="20"/>
        </w:rPr>
        <w:t xml:space="preserve">Sahîhu'l-Buhârî</w:t>
      </w:r>
      <w:r>
        <w:rPr>
          <w:rFonts w:ascii="Times New Roman" w:cs="Traditional Arabic" w:eastAsia="Times New Roman" w:hAnsi="Times New Roman"/>
          <w:i w:val="false"/>
          <w:sz w:val="20"/>
          <w:szCs w:val="20"/>
        </w:rPr>
        <w:t xml:space="preserve">, 1/243 (“İlim”, 10).</w:t>
      </w:r>
    </w:p>
  </w:footnote>
  <w:footnote w:id="31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Buhârî, </w:t>
      </w:r>
      <w:r>
        <w:rPr>
          <w:rFonts w:ascii="Times New Roman" w:cs="Traditional Arabic" w:eastAsia="Times New Roman" w:hAnsi="Times New Roman"/>
          <w:i/>
          <w:iCs/>
          <w:sz w:val="20"/>
          <w:szCs w:val="20"/>
        </w:rPr>
        <w:t xml:space="preserve">Sahîhu'l-Buhârî</w:t>
      </w:r>
      <w:r>
        <w:rPr>
          <w:rFonts w:ascii="Times New Roman" w:cs="Traditional Arabic" w:eastAsia="Times New Roman" w:hAnsi="Times New Roman"/>
          <w:i w:val="false"/>
          <w:sz w:val="20"/>
          <w:szCs w:val="20"/>
        </w:rPr>
        <w:t xml:space="preserve">, 1/242 (“İlim”, 9).</w:t>
      </w:r>
    </w:p>
  </w:footnote>
  <w:footnote w:id="32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Buhârî, </w:t>
      </w:r>
      <w:r>
        <w:rPr>
          <w:rFonts w:ascii="Times New Roman" w:cs="Traditional Arabic" w:eastAsia="Times New Roman" w:hAnsi="Times New Roman"/>
          <w:i/>
          <w:iCs/>
          <w:sz w:val="20"/>
          <w:szCs w:val="20"/>
        </w:rPr>
        <w:t xml:space="preserve">Sahîhu'l-Buhârî</w:t>
      </w:r>
      <w:r>
        <w:rPr>
          <w:rFonts w:ascii="Times New Roman" w:cs="Traditional Arabic" w:eastAsia="Times New Roman" w:hAnsi="Times New Roman"/>
          <w:i w:val="false"/>
          <w:sz w:val="20"/>
          <w:szCs w:val="20"/>
        </w:rPr>
        <w:t xml:space="preserve">, 1/243 (“İlim”, 9).</w:t>
      </w:r>
    </w:p>
  </w:footnote>
  <w:footnote w:id="32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Buhârî, </w:t>
      </w:r>
      <w:r>
        <w:rPr>
          <w:rFonts w:ascii="Times New Roman" w:cs="Traditional Arabic" w:eastAsia="Times New Roman" w:hAnsi="Times New Roman"/>
          <w:i/>
          <w:iCs/>
          <w:sz w:val="20"/>
          <w:szCs w:val="20"/>
        </w:rPr>
        <w:t xml:space="preserve">Sahîhu'l-Buhârî</w:t>
      </w:r>
      <w:r>
        <w:rPr>
          <w:rFonts w:ascii="Times New Roman" w:cs="Traditional Arabic" w:eastAsia="Times New Roman" w:hAnsi="Times New Roman"/>
          <w:i w:val="false"/>
          <w:sz w:val="20"/>
          <w:szCs w:val="20"/>
        </w:rPr>
        <w:t xml:space="preserve">, 1/243 (“İlim”, 10).</w:t>
      </w:r>
    </w:p>
  </w:footnote>
  <w:footnote w:id="32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229.</w:t>
      </w:r>
    </w:p>
  </w:footnote>
  <w:footnote w:id="32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291. Metnin aslı için bk. 97. dipnottaki doğrulama bloğu.</w:t>
      </w:r>
    </w:p>
  </w:footnote>
  <w:footnote w:id="32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236.</w:t>
      </w:r>
    </w:p>
  </w:footnote>
  <w:footnote w:id="32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237.</w:t>
      </w:r>
    </w:p>
  </w:footnote>
  <w:footnote w:id="32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237.</w:t>
      </w:r>
    </w:p>
  </w:footnote>
  <w:footnote w:id="32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237.</w:t>
      </w:r>
    </w:p>
  </w:footnote>
  <w:footnote w:id="32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Şinkîtî, </w:t>
      </w:r>
      <w:r>
        <w:rPr>
          <w:rFonts w:ascii="Times New Roman" w:cs="Traditional Arabic" w:eastAsia="Times New Roman" w:hAnsi="Times New Roman"/>
          <w:i/>
          <w:iCs/>
          <w:sz w:val="20"/>
          <w:szCs w:val="20"/>
        </w:rPr>
        <w:t xml:space="preserve">Âdâbü’l-bahs ve’l-münâzara</w:t>
      </w:r>
      <w:r>
        <w:rPr>
          <w:rFonts w:ascii="Times New Roman" w:cs="Traditional Arabic" w:eastAsia="Times New Roman" w:hAnsi="Times New Roman"/>
          <w:i w:val="false"/>
          <w:sz w:val="20"/>
          <w:szCs w:val="20"/>
        </w:rPr>
        <w:t xml:space="preserve">, 1/156. Metnin aslı için bk. 98. dipnottaki doğrulama bloğu.</w:t>
      </w:r>
    </w:p>
  </w:footnote>
  <w:footnote w:id="32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Şâtıbî, </w:t>
      </w:r>
      <w:r>
        <w:rPr>
          <w:rFonts w:ascii="Times New Roman" w:cs="Traditional Arabic" w:eastAsia="Times New Roman" w:hAnsi="Times New Roman"/>
          <w:i/>
          <w:iCs/>
          <w:sz w:val="20"/>
          <w:szCs w:val="20"/>
        </w:rPr>
        <w:t xml:space="preserve">el-Muvâfakât</w:t>
      </w:r>
      <w:r>
        <w:rPr>
          <w:rFonts w:ascii="Times New Roman" w:cs="Traditional Arabic" w:eastAsia="Times New Roman" w:hAnsi="Times New Roman"/>
          <w:i w:val="false"/>
          <w:sz w:val="20"/>
          <w:szCs w:val="20"/>
        </w:rPr>
        <w:t xml:space="preserve">, 2/81.</w:t>
      </w:r>
    </w:p>
  </w:footnote>
  <w:footnote w:id="33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173.</w:t>
      </w:r>
    </w:p>
  </w:footnote>
  <w:footnote w:id="33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Şerîf el-Cürcânî, </w:t>
      </w:r>
      <w:r>
        <w:rPr>
          <w:rFonts w:ascii="Times New Roman" w:cs="Traditional Arabic" w:eastAsia="Times New Roman" w:hAnsi="Times New Roman"/>
          <w:i/>
          <w:iCs/>
          <w:sz w:val="20"/>
          <w:szCs w:val="20"/>
        </w:rPr>
        <w:t xml:space="preserve">et-Taʿrîfât</w:t>
      </w:r>
      <w:r>
        <w:rPr>
          <w:rFonts w:ascii="Times New Roman" w:cs="Traditional Arabic" w:eastAsia="Times New Roman" w:hAnsi="Times New Roman"/>
          <w:i w:val="false"/>
          <w:sz w:val="20"/>
          <w:szCs w:val="20"/>
        </w:rPr>
        <w:t xml:space="preserve"> (BASKI BİLGİSİ DOĞRULANAMADI), 18.</w:t>
      </w:r>
    </w:p>
  </w:footnote>
  <w:footnote w:id="33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Karâfî, </w:t>
      </w:r>
      <w:r>
        <w:rPr>
          <w:rFonts w:ascii="Times New Roman" w:cs="Traditional Arabic" w:eastAsia="Times New Roman" w:hAnsi="Times New Roman"/>
          <w:i/>
          <w:iCs/>
          <w:sz w:val="20"/>
          <w:szCs w:val="20"/>
        </w:rPr>
        <w:t xml:space="preserve">el-Furûk</w:t>
      </w:r>
      <w:r>
        <w:rPr>
          <w:rFonts w:ascii="Times New Roman" w:cs="Traditional Arabic" w:eastAsia="Times New Roman" w:hAnsi="Times New Roman"/>
          <w:i w:val="false"/>
          <w:sz w:val="20"/>
          <w:szCs w:val="20"/>
        </w:rPr>
        <w:t xml:space="preserve">, 1/3.</w:t>
      </w:r>
    </w:p>
  </w:footnote>
  <w:footnote w:id="33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Karâfî, </w:t>
      </w:r>
      <w:r>
        <w:rPr>
          <w:rFonts w:ascii="Times New Roman" w:cs="Traditional Arabic" w:eastAsia="Times New Roman" w:hAnsi="Times New Roman"/>
          <w:i/>
          <w:iCs/>
          <w:sz w:val="20"/>
          <w:szCs w:val="20"/>
        </w:rPr>
        <w:t xml:space="preserve">el-Furûk</w:t>
      </w:r>
      <w:r>
        <w:rPr>
          <w:rFonts w:ascii="Times New Roman" w:cs="Traditional Arabic" w:eastAsia="Times New Roman" w:hAnsi="Times New Roman"/>
          <w:i w:val="false"/>
          <w:sz w:val="20"/>
          <w:szCs w:val="20"/>
        </w:rPr>
        <w:t xml:space="preserve">, 1/3.</w:t>
      </w:r>
    </w:p>
  </w:footnote>
  <w:footnote w:id="33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Karâfî, </w:t>
      </w:r>
      <w:r>
        <w:rPr>
          <w:rFonts w:ascii="Times New Roman" w:cs="Traditional Arabic" w:eastAsia="Times New Roman" w:hAnsi="Times New Roman"/>
          <w:i/>
          <w:iCs/>
          <w:sz w:val="20"/>
          <w:szCs w:val="20"/>
        </w:rPr>
        <w:t xml:space="preserve">el-Furûk</w:t>
      </w:r>
      <w:r>
        <w:rPr>
          <w:rFonts w:ascii="Times New Roman" w:cs="Traditional Arabic" w:eastAsia="Times New Roman" w:hAnsi="Times New Roman"/>
          <w:i w:val="false"/>
          <w:sz w:val="20"/>
          <w:szCs w:val="20"/>
        </w:rPr>
        <w:t xml:space="preserve">, 1/3.</w:t>
      </w:r>
    </w:p>
  </w:footnote>
  <w:footnote w:id="33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Karâfî, </w:t>
      </w:r>
      <w:r>
        <w:rPr>
          <w:rFonts w:ascii="Times New Roman" w:cs="Traditional Arabic" w:eastAsia="Times New Roman" w:hAnsi="Times New Roman"/>
          <w:i/>
          <w:iCs/>
          <w:sz w:val="20"/>
          <w:szCs w:val="20"/>
        </w:rPr>
        <w:t xml:space="preserve">el-Furûk</w:t>
      </w:r>
      <w:r>
        <w:rPr>
          <w:rFonts w:ascii="Times New Roman" w:cs="Traditional Arabic" w:eastAsia="Times New Roman" w:hAnsi="Times New Roman"/>
          <w:i w:val="false"/>
          <w:sz w:val="20"/>
          <w:szCs w:val="20"/>
        </w:rPr>
        <w:t xml:space="preserve">, 1/3.</w:t>
      </w:r>
    </w:p>
  </w:footnote>
  <w:footnote w:id="33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Karâfî, </w:t>
      </w:r>
      <w:r>
        <w:rPr>
          <w:rFonts w:ascii="Times New Roman" w:cs="Traditional Arabic" w:eastAsia="Times New Roman" w:hAnsi="Times New Roman"/>
          <w:i/>
          <w:iCs/>
          <w:sz w:val="20"/>
          <w:szCs w:val="20"/>
        </w:rPr>
        <w:t xml:space="preserve">el-Furûk</w:t>
      </w:r>
      <w:r>
        <w:rPr>
          <w:rFonts w:ascii="Times New Roman" w:cs="Traditional Arabic" w:eastAsia="Times New Roman" w:hAnsi="Times New Roman"/>
          <w:i w:val="false"/>
          <w:sz w:val="20"/>
          <w:szCs w:val="20"/>
        </w:rPr>
        <w:t xml:space="preserve">, 1/3.</w:t>
      </w:r>
    </w:p>
  </w:footnote>
  <w:footnote w:id="33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238.</w:t>
      </w:r>
    </w:p>
  </w:footnote>
  <w:footnote w:id="33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[255].</w:t>
      </w:r>
    </w:p>
  </w:footnote>
  <w:footnote w:id="33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[255].</w:t>
      </w:r>
    </w:p>
  </w:footnote>
  <w:footnote w:id="34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[255].</w:t>
      </w:r>
    </w:p>
  </w:footnote>
  <w:footnote w:id="34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256.</w:t>
      </w:r>
    </w:p>
  </w:footnote>
  <w:footnote w:id="34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257.</w:t>
      </w:r>
    </w:p>
  </w:footnote>
  <w:footnote w:id="34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258.</w:t>
      </w:r>
    </w:p>
  </w:footnote>
  <w:footnote w:id="34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274.</w:t>
      </w:r>
    </w:p>
  </w:footnote>
  <w:footnote w:id="34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201.</w:t>
      </w:r>
    </w:p>
  </w:footnote>
  <w:footnote w:id="34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202.</w:t>
      </w:r>
    </w:p>
  </w:footnote>
  <w:footnote w:id="34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13-14. Metnin aslı için bk. 89. ve 90. dipnotlardaki doğrulama blokları.</w:t>
      </w:r>
    </w:p>
  </w:footnote>
  <w:footnote w:id="34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104.</w:t>
      </w:r>
    </w:p>
  </w:footnote>
  <w:footnote w:id="34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Müslim, </w:t>
      </w:r>
      <w:r>
        <w:rPr>
          <w:rFonts w:ascii="Times New Roman" w:cs="Traditional Arabic" w:eastAsia="Times New Roman" w:hAnsi="Times New Roman"/>
          <w:i/>
          <w:iCs/>
          <w:sz w:val="20"/>
          <w:szCs w:val="20"/>
        </w:rPr>
        <w:t xml:space="preserve">es-Sahîh [Türkiye baskısı]</w:t>
      </w:r>
      <w:r>
        <w:rPr>
          <w:rFonts w:ascii="Times New Roman" w:cs="Traditional Arabic" w:eastAsia="Times New Roman" w:hAnsi="Times New Roman"/>
          <w:i w:val="false"/>
          <w:sz w:val="20"/>
          <w:szCs w:val="20"/>
        </w:rPr>
        <w:t xml:space="preserve"> (BASKI BİLGİSİ DOĞRULANAMADI), 1/11 (Mukaddime).</w:t>
      </w:r>
    </w:p>
  </w:footnote>
  <w:footnote w:id="35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104.</w:t>
      </w:r>
    </w:p>
  </w:footnote>
  <w:footnote w:id="35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95.</w:t>
      </w:r>
    </w:p>
  </w:footnote>
  <w:footnote w:id="35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82.</w:t>
      </w:r>
    </w:p>
  </w:footnote>
  <w:footnote w:id="35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83.</w:t>
      </w:r>
    </w:p>
  </w:footnote>
  <w:footnote w:id="35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83.</w:t>
      </w:r>
    </w:p>
  </w:footnote>
  <w:footnote w:id="35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Hacer, </w:t>
      </w:r>
      <w:r>
        <w:rPr>
          <w:rFonts w:ascii="Times New Roman" w:cs="Traditional Arabic" w:eastAsia="Times New Roman" w:hAnsi="Times New Roman"/>
          <w:i/>
          <w:iCs/>
          <w:sz w:val="20"/>
          <w:szCs w:val="20"/>
        </w:rPr>
        <w:t xml:space="preserve">Nüzhetü’n-nazar</w:t>
      </w:r>
      <w:r>
        <w:rPr>
          <w:rFonts w:ascii="Times New Roman" w:cs="Traditional Arabic" w:eastAsia="Times New Roman" w:hAnsi="Times New Roman"/>
          <w:i w:val="false"/>
          <w:sz w:val="20"/>
          <w:szCs w:val="20"/>
        </w:rPr>
        <w:t xml:space="preserve">, 43. Metnin aslı için bk. 9. dipnottaki doğrulama bloğu.</w:t>
      </w:r>
    </w:p>
  </w:footnote>
  <w:footnote w:id="35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267.</w:t>
      </w:r>
    </w:p>
  </w:footnote>
  <w:footnote w:id="35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46.</w:t>
      </w:r>
    </w:p>
  </w:footnote>
  <w:footnote w:id="35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90.</w:t>
      </w:r>
    </w:p>
  </w:footnote>
  <w:footnote w:id="35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90.</w:t>
      </w:r>
    </w:p>
  </w:footnote>
  <w:footnote w:id="36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90.</w:t>
      </w:r>
    </w:p>
  </w:footnote>
  <w:footnote w:id="36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90.</w:t>
      </w:r>
    </w:p>
  </w:footnote>
  <w:footnote w:id="36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267.</w:t>
      </w:r>
    </w:p>
  </w:footnote>
  <w:footnote w:id="36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268.</w:t>
      </w:r>
    </w:p>
  </w:footnote>
  <w:footnote w:id="36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88.</w:t>
      </w:r>
    </w:p>
  </w:footnote>
  <w:footnote w:id="36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44.</w:t>
      </w:r>
    </w:p>
  </w:footnote>
  <w:footnote w:id="36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Toker, “Nitel Araştırma Paradigması ve Din”, 72.</w:t>
      </w:r>
    </w:p>
  </w:footnote>
  <w:footnote w:id="36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1/46.</w:t>
      </w:r>
    </w:p>
  </w:footnote>
  <w:footnote w:id="36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1/46.</w:t>
      </w:r>
    </w:p>
  </w:footnote>
  <w:footnote w:id="36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1/46-47.</w:t>
      </w:r>
    </w:p>
  </w:footnote>
  <w:footnote w:id="37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1/47.</w:t>
      </w:r>
    </w:p>
  </w:footnote>
  <w:footnote w:id="37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390.</w:t>
      </w:r>
    </w:p>
  </w:footnote>
  <w:footnote w:id="37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390.</w:t>
      </w:r>
    </w:p>
  </w:footnote>
  <w:footnote w:id="37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391.</w:t>
      </w:r>
    </w:p>
  </w:footnote>
  <w:footnote w:id="37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262.</w:t>
      </w:r>
    </w:p>
  </w:footnote>
  <w:footnote w:id="37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98.</w:t>
      </w:r>
    </w:p>
  </w:footnote>
  <w:footnote w:id="37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98.</w:t>
      </w:r>
    </w:p>
  </w:footnote>
  <w:footnote w:id="37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268.</w:t>
      </w:r>
    </w:p>
  </w:footnote>
  <w:footnote w:id="37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268.</w:t>
      </w:r>
    </w:p>
  </w:footnote>
  <w:footnote w:id="37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137.</w:t>
      </w:r>
    </w:p>
  </w:footnote>
  <w:footnote w:id="38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18.</w:t>
      </w:r>
    </w:p>
  </w:footnote>
  <w:footnote w:id="38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258.</w:t>
      </w:r>
    </w:p>
  </w:footnote>
  <w:footnote w:id="38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259.</w:t>
      </w:r>
    </w:p>
  </w:footnote>
  <w:footnote w:id="38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w:t>
      </w:r>
      <w:r>
        <w:rPr>
          <w:rFonts w:ascii="Times New Roman" w:cs="Traditional Arabic" w:eastAsia="Times New Roman" w:hAnsi="Times New Roman"/>
          <w:i w:val="false"/>
          <w:sz w:val="20"/>
          <w:szCs w:val="20"/>
        </w:rPr>
        <w:t xml:space="preserve">, 1/49.</w:t>
      </w:r>
    </w:p>
  </w:footnote>
  <w:footnote w:id="38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259.</w:t>
      </w:r>
    </w:p>
  </w:footnote>
  <w:footnote w:id="38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262.</w:t>
      </w:r>
    </w:p>
  </w:footnote>
  <w:footnote w:id="38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266.</w:t>
      </w:r>
    </w:p>
  </w:footnote>
  <w:footnote w:id="38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Şâfiî, </w:t>
      </w:r>
      <w:r>
        <w:rPr>
          <w:rFonts w:ascii="Times New Roman" w:cs="Traditional Arabic" w:eastAsia="Times New Roman" w:hAnsi="Times New Roman"/>
          <w:i/>
          <w:iCs/>
          <w:sz w:val="20"/>
          <w:szCs w:val="20"/>
        </w:rPr>
        <w:t xml:space="preserve">er-Risâle</w:t>
      </w:r>
      <w:r>
        <w:rPr>
          <w:rFonts w:ascii="Times New Roman" w:cs="Traditional Arabic" w:eastAsia="Times New Roman" w:hAnsi="Times New Roman"/>
          <w:i w:val="false"/>
          <w:sz w:val="20"/>
          <w:szCs w:val="20"/>
        </w:rPr>
        <w:t xml:space="preserve">, 371. Metnin aslı için bk. 104. dipnottaki doğrulama bloğu.</w:t>
      </w:r>
    </w:p>
  </w:footnote>
  <w:footnote w:id="38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236.</w:t>
      </w:r>
    </w:p>
  </w:footnote>
  <w:footnote w:id="38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Nevevî, </w:t>
      </w:r>
      <w:r>
        <w:rPr>
          <w:rFonts w:ascii="Times New Roman" w:cs="Traditional Arabic" w:eastAsia="Times New Roman" w:hAnsi="Times New Roman"/>
          <w:i/>
          <w:iCs/>
          <w:sz w:val="20"/>
          <w:szCs w:val="20"/>
        </w:rPr>
        <w:t xml:space="preserve">et-Tibyân</w:t>
      </w:r>
      <w:r>
        <w:rPr>
          <w:rFonts w:ascii="Times New Roman" w:cs="Traditional Arabic" w:eastAsia="Times New Roman" w:hAnsi="Times New Roman"/>
          <w:i w:val="false"/>
          <w:sz w:val="20"/>
          <w:szCs w:val="20"/>
        </w:rPr>
        <w:t xml:space="preserve">, 31.</w:t>
      </w:r>
    </w:p>
  </w:footnote>
  <w:footnote w:id="39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Nevevî, </w:t>
      </w:r>
      <w:r>
        <w:rPr>
          <w:rFonts w:ascii="Times New Roman" w:cs="Traditional Arabic" w:eastAsia="Times New Roman" w:hAnsi="Times New Roman"/>
          <w:i/>
          <w:iCs/>
          <w:sz w:val="20"/>
          <w:szCs w:val="20"/>
        </w:rPr>
        <w:t xml:space="preserve">et-Tibyân</w:t>
      </w:r>
      <w:r>
        <w:rPr>
          <w:rFonts w:ascii="Times New Roman" w:cs="Traditional Arabic" w:eastAsia="Times New Roman" w:hAnsi="Times New Roman"/>
          <w:i w:val="false"/>
          <w:sz w:val="20"/>
          <w:szCs w:val="20"/>
        </w:rPr>
        <w:t xml:space="preserve">, 34.</w:t>
      </w:r>
    </w:p>
  </w:footnote>
  <w:footnote w:id="39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173.</w:t>
      </w:r>
    </w:p>
  </w:footnote>
  <w:footnote w:id="39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Nevevî, </w:t>
      </w:r>
      <w:r>
        <w:rPr>
          <w:rFonts w:ascii="Times New Roman" w:cs="Traditional Arabic" w:eastAsia="Times New Roman" w:hAnsi="Times New Roman"/>
          <w:i/>
          <w:iCs/>
          <w:sz w:val="20"/>
          <w:szCs w:val="20"/>
        </w:rPr>
        <w:t xml:space="preserve">et-Tibyân</w:t>
      </w:r>
      <w:r>
        <w:rPr>
          <w:rFonts w:ascii="Times New Roman" w:cs="Traditional Arabic" w:eastAsia="Times New Roman" w:hAnsi="Times New Roman"/>
          <w:i w:val="false"/>
          <w:sz w:val="20"/>
          <w:szCs w:val="20"/>
        </w:rPr>
        <w:t xml:space="preserve">, 34.</w:t>
      </w:r>
    </w:p>
  </w:footnote>
  <w:footnote w:id="39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Nevevî, </w:t>
      </w:r>
      <w:r>
        <w:rPr>
          <w:rFonts w:ascii="Times New Roman" w:cs="Traditional Arabic" w:eastAsia="Times New Roman" w:hAnsi="Times New Roman"/>
          <w:i/>
          <w:iCs/>
          <w:sz w:val="20"/>
          <w:szCs w:val="20"/>
        </w:rPr>
        <w:t xml:space="preserve">et-Tibyân</w:t>
      </w:r>
      <w:r>
        <w:rPr>
          <w:rFonts w:ascii="Times New Roman" w:cs="Traditional Arabic" w:eastAsia="Times New Roman" w:hAnsi="Times New Roman"/>
          <w:i w:val="false"/>
          <w:sz w:val="20"/>
          <w:szCs w:val="20"/>
        </w:rPr>
        <w:t xml:space="preserve">, 38.</w:t>
      </w:r>
    </w:p>
  </w:footnote>
  <w:footnote w:id="39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98.</w:t>
      </w:r>
    </w:p>
  </w:footnote>
  <w:footnote w:id="39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97.</w:t>
      </w:r>
    </w:p>
  </w:footnote>
  <w:footnote w:id="39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Beraha, </w:t>
      </w:r>
      <w:r>
        <w:rPr>
          <w:rFonts w:ascii="Times New Roman" w:cs="Traditional Arabic" w:eastAsia="Times New Roman" w:hAnsi="Times New Roman"/>
          <w:i/>
          <w:iCs/>
          <w:sz w:val="20"/>
          <w:szCs w:val="20"/>
        </w:rPr>
        <w:t xml:space="preserve">Bilimsel Düşünce ve Araştırma Metodolojisi</w:t>
      </w:r>
      <w:r>
        <w:rPr>
          <w:rFonts w:ascii="Times New Roman" w:cs="Traditional Arabic" w:eastAsia="Times New Roman" w:hAnsi="Times New Roman"/>
          <w:i w:val="false"/>
          <w:sz w:val="20"/>
          <w:szCs w:val="20"/>
        </w:rPr>
        <w:t xml:space="preserve">, 17.</w:t>
      </w:r>
    </w:p>
  </w:footnote>
  <w:footnote w:id="39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147.</w:t>
      </w:r>
    </w:p>
  </w:footnote>
  <w:footnote w:id="39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196.</w:t>
      </w:r>
    </w:p>
  </w:footnote>
  <w:footnote w:id="39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w:t>
      </w:r>
      <w:r>
        <w:rPr>
          <w:rFonts w:ascii="Times New Roman" w:cs="Traditional Arabic" w:eastAsia="Times New Roman" w:hAnsi="Times New Roman"/>
          <w:i w:val="false"/>
          <w:sz w:val="20"/>
          <w:szCs w:val="20"/>
        </w:rPr>
        <w:t xml:space="preserve">, 3/72.</w:t>
      </w:r>
    </w:p>
  </w:footnote>
  <w:footnote w:id="40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w:t>
      </w:r>
      <w:r>
        <w:rPr>
          <w:rFonts w:ascii="Times New Roman" w:cs="Traditional Arabic" w:eastAsia="Times New Roman" w:hAnsi="Times New Roman"/>
          <w:i w:val="false"/>
          <w:sz w:val="20"/>
          <w:szCs w:val="20"/>
        </w:rPr>
        <w:t xml:space="preserve">, 3/72.</w:t>
      </w:r>
    </w:p>
  </w:footnote>
  <w:footnote w:id="40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w:t>
      </w:r>
      <w:r>
        <w:rPr>
          <w:rFonts w:ascii="Times New Roman" w:cs="Traditional Arabic" w:eastAsia="Times New Roman" w:hAnsi="Times New Roman"/>
          <w:i w:val="false"/>
          <w:sz w:val="20"/>
          <w:szCs w:val="20"/>
        </w:rPr>
        <w:t xml:space="preserve">, 1/55.</w:t>
      </w:r>
    </w:p>
  </w:footnote>
  <w:footnote w:id="40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w:t>
      </w:r>
      <w:r>
        <w:rPr>
          <w:rFonts w:ascii="Times New Roman" w:cs="Traditional Arabic" w:eastAsia="Times New Roman" w:hAnsi="Times New Roman"/>
          <w:i w:val="false"/>
          <w:sz w:val="20"/>
          <w:szCs w:val="20"/>
        </w:rPr>
        <w:t xml:space="preserve">, 3/72.</w:t>
      </w:r>
    </w:p>
  </w:footnote>
  <w:footnote w:id="40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Mâverdî, </w:t>
      </w:r>
      <w:r>
        <w:rPr>
          <w:rFonts w:ascii="Times New Roman" w:cs="Traditional Arabic" w:eastAsia="Times New Roman" w:hAnsi="Times New Roman"/>
          <w:i/>
          <w:iCs/>
          <w:sz w:val="20"/>
          <w:szCs w:val="20"/>
        </w:rPr>
        <w:t xml:space="preserve">Edebü'd-dünyâ ve'd-dîn</w:t>
      </w:r>
      <w:r>
        <w:rPr>
          <w:rFonts w:ascii="Times New Roman" w:cs="Traditional Arabic" w:eastAsia="Times New Roman" w:hAnsi="Times New Roman"/>
          <w:i w:val="false"/>
          <w:sz w:val="20"/>
          <w:szCs w:val="20"/>
        </w:rPr>
        <w:t xml:space="preserve"> (BASKI BİLGİSİ DOĞRULANAMADI), 306.</w:t>
      </w:r>
    </w:p>
  </w:footnote>
  <w:footnote w:id="40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Mâverdî, </w:t>
      </w:r>
      <w:r>
        <w:rPr>
          <w:rFonts w:ascii="Times New Roman" w:cs="Traditional Arabic" w:eastAsia="Times New Roman" w:hAnsi="Times New Roman"/>
          <w:i/>
          <w:iCs/>
          <w:sz w:val="20"/>
          <w:szCs w:val="20"/>
        </w:rPr>
        <w:t xml:space="preserve">Edebü'd-dünyâ ve'd-dîn</w:t>
      </w:r>
      <w:r>
        <w:rPr>
          <w:rFonts w:ascii="Times New Roman" w:cs="Traditional Arabic" w:eastAsia="Times New Roman" w:hAnsi="Times New Roman"/>
          <w:i w:val="false"/>
          <w:sz w:val="20"/>
          <w:szCs w:val="20"/>
        </w:rPr>
        <w:t xml:space="preserve">, 307.</w:t>
      </w:r>
    </w:p>
  </w:footnote>
  <w:footnote w:id="40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201.</w:t>
      </w:r>
    </w:p>
  </w:footnote>
  <w:footnote w:id="40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163.</w:t>
      </w:r>
    </w:p>
  </w:footnote>
  <w:footnote w:id="40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Cemâa, </w:t>
      </w:r>
      <w:r>
        <w:rPr>
          <w:rFonts w:ascii="Times New Roman" w:cs="Traditional Arabic" w:eastAsia="Times New Roman" w:hAnsi="Times New Roman"/>
          <w:i/>
          <w:iCs/>
          <w:sz w:val="20"/>
          <w:szCs w:val="20"/>
        </w:rPr>
        <w:t xml:space="preserve">Tezkiretü's-sâmiʿ</w:t>
      </w:r>
      <w:r>
        <w:rPr>
          <w:rFonts w:ascii="Times New Roman" w:cs="Traditional Arabic" w:eastAsia="Times New Roman" w:hAnsi="Times New Roman"/>
          <w:i w:val="false"/>
          <w:sz w:val="20"/>
          <w:szCs w:val="20"/>
        </w:rPr>
        <w:t xml:space="preserve">, 42.</w:t>
      </w:r>
    </w:p>
  </w:footnote>
  <w:footnote w:id="40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Cemâa, </w:t>
      </w:r>
      <w:r>
        <w:rPr>
          <w:rFonts w:ascii="Times New Roman" w:cs="Traditional Arabic" w:eastAsia="Times New Roman" w:hAnsi="Times New Roman"/>
          <w:i/>
          <w:iCs/>
          <w:sz w:val="20"/>
          <w:szCs w:val="20"/>
        </w:rPr>
        <w:t xml:space="preserve">Tezkiretü's-sâmiʿ</w:t>
      </w:r>
      <w:r>
        <w:rPr>
          <w:rFonts w:ascii="Times New Roman" w:cs="Traditional Arabic" w:eastAsia="Times New Roman" w:hAnsi="Times New Roman"/>
          <w:i w:val="false"/>
          <w:sz w:val="20"/>
          <w:szCs w:val="20"/>
        </w:rPr>
        <w:t xml:space="preserve">, 42.</w:t>
      </w:r>
    </w:p>
  </w:footnote>
  <w:footnote w:id="40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98.</w:t>
      </w:r>
    </w:p>
  </w:footnote>
  <w:footnote w:id="41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99.</w:t>
      </w:r>
    </w:p>
  </w:footnote>
  <w:footnote w:id="41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Beraha, </w:t>
      </w:r>
      <w:r>
        <w:rPr>
          <w:rFonts w:ascii="Times New Roman" w:cs="Traditional Arabic" w:eastAsia="Times New Roman" w:hAnsi="Times New Roman"/>
          <w:i/>
          <w:iCs/>
          <w:sz w:val="20"/>
          <w:szCs w:val="20"/>
        </w:rPr>
        <w:t xml:space="preserve">Bilimsel Düşünce ve Araştırma Metodolojisi</w:t>
      </w:r>
      <w:r>
        <w:rPr>
          <w:rFonts w:ascii="Times New Roman" w:cs="Traditional Arabic" w:eastAsia="Times New Roman" w:hAnsi="Times New Roman"/>
          <w:i w:val="false"/>
          <w:sz w:val="20"/>
          <w:szCs w:val="20"/>
        </w:rPr>
        <w:t xml:space="preserve">, 17.</w:t>
      </w:r>
    </w:p>
  </w:footnote>
  <w:footnote w:id="41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98.</w:t>
      </w:r>
    </w:p>
  </w:footnote>
  <w:footnote w:id="41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201.</w:t>
      </w:r>
    </w:p>
  </w:footnote>
  <w:footnote w:id="41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241.</w:t>
      </w:r>
    </w:p>
  </w:footnote>
  <w:footnote w:id="41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1/729.</w:t>
      </w:r>
    </w:p>
  </w:footnote>
  <w:footnote w:id="41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Buhârî, </w:t>
      </w:r>
      <w:r>
        <w:rPr>
          <w:rFonts w:ascii="Times New Roman" w:cs="Traditional Arabic" w:eastAsia="Times New Roman" w:hAnsi="Times New Roman"/>
          <w:i/>
          <w:iCs/>
          <w:sz w:val="20"/>
          <w:szCs w:val="20"/>
        </w:rPr>
        <w:t xml:space="preserve">Sahîhu'l-Buhârî</w:t>
      </w:r>
      <w:r>
        <w:rPr>
          <w:rFonts w:ascii="Times New Roman" w:cs="Traditional Arabic" w:eastAsia="Times New Roman" w:hAnsi="Times New Roman"/>
          <w:i w:val="false"/>
          <w:sz w:val="20"/>
          <w:szCs w:val="20"/>
        </w:rPr>
        <w:t xml:space="preserve">, 1/243 (“İlim”, 9).</w:t>
      </w:r>
    </w:p>
  </w:footnote>
  <w:footnote w:id="41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Buhârî, </w:t>
      </w:r>
      <w:r>
        <w:rPr>
          <w:rFonts w:ascii="Times New Roman" w:cs="Traditional Arabic" w:eastAsia="Times New Roman" w:hAnsi="Times New Roman"/>
          <w:i/>
          <w:iCs/>
          <w:sz w:val="20"/>
          <w:szCs w:val="20"/>
        </w:rPr>
        <w:t xml:space="preserve">Sahîhu'l-Buhârî</w:t>
      </w:r>
      <w:r>
        <w:rPr>
          <w:rFonts w:ascii="Times New Roman" w:cs="Traditional Arabic" w:eastAsia="Times New Roman" w:hAnsi="Times New Roman"/>
          <w:i w:val="false"/>
          <w:sz w:val="20"/>
          <w:szCs w:val="20"/>
        </w:rPr>
        <w:t xml:space="preserve">, 1/242 (“İlim”, 9).</w:t>
      </w:r>
    </w:p>
  </w:footnote>
  <w:footnote w:id="41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45.</w:t>
      </w:r>
    </w:p>
  </w:footnote>
  <w:footnote w:id="41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105.</w:t>
      </w:r>
    </w:p>
  </w:footnote>
  <w:footnote w:id="42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213.</w:t>
      </w:r>
    </w:p>
  </w:footnote>
  <w:footnote w:id="42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214.</w:t>
      </w:r>
    </w:p>
  </w:footnote>
  <w:footnote w:id="42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214.</w:t>
      </w:r>
    </w:p>
  </w:footnote>
  <w:footnote w:id="42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215.</w:t>
      </w:r>
    </w:p>
  </w:footnote>
  <w:footnote w:id="42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216.</w:t>
      </w:r>
    </w:p>
  </w:footnote>
  <w:footnote w:id="42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95.</w:t>
      </w:r>
    </w:p>
  </w:footnote>
  <w:footnote w:id="42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235.</w:t>
      </w:r>
    </w:p>
  </w:footnote>
  <w:footnote w:id="42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236.</w:t>
      </w:r>
    </w:p>
  </w:footnote>
  <w:footnote w:id="42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73.</w:t>
      </w:r>
    </w:p>
  </w:footnote>
  <w:footnote w:id="42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267.</w:t>
      </w:r>
    </w:p>
  </w:footnote>
  <w:footnote w:id="43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89.</w:t>
      </w:r>
    </w:p>
  </w:footnote>
  <w:footnote w:id="43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287.</w:t>
      </w:r>
    </w:p>
  </w:footnote>
  <w:footnote w:id="43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47.</w:t>
      </w:r>
    </w:p>
  </w:footnote>
  <w:footnote w:id="43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Şehristânî, </w:t>
      </w:r>
      <w:r>
        <w:rPr>
          <w:rFonts w:ascii="Times New Roman" w:cs="Traditional Arabic" w:eastAsia="Times New Roman" w:hAnsi="Times New Roman"/>
          <w:i/>
          <w:iCs/>
          <w:sz w:val="20"/>
          <w:szCs w:val="20"/>
        </w:rPr>
        <w:t xml:space="preserve">el-Milel ve'n-nihal</w:t>
      </w:r>
      <w:r>
        <w:rPr>
          <w:rFonts w:ascii="Times New Roman" w:cs="Traditional Arabic" w:eastAsia="Times New Roman" w:hAnsi="Times New Roman"/>
          <w:i w:val="false"/>
          <w:sz w:val="20"/>
          <w:szCs w:val="20"/>
        </w:rPr>
        <w:t xml:space="preserve">, 1/14.</w:t>
      </w:r>
    </w:p>
  </w:footnote>
  <w:footnote w:id="43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Şehristânî, </w:t>
      </w:r>
      <w:r>
        <w:rPr>
          <w:rFonts w:ascii="Times New Roman" w:cs="Traditional Arabic" w:eastAsia="Times New Roman" w:hAnsi="Times New Roman"/>
          <w:i/>
          <w:iCs/>
          <w:sz w:val="20"/>
          <w:szCs w:val="20"/>
        </w:rPr>
        <w:t xml:space="preserve">el-Milel ve'n-nihal</w:t>
      </w:r>
      <w:r>
        <w:rPr>
          <w:rFonts w:ascii="Times New Roman" w:cs="Traditional Arabic" w:eastAsia="Times New Roman" w:hAnsi="Times New Roman"/>
          <w:i w:val="false"/>
          <w:sz w:val="20"/>
          <w:szCs w:val="20"/>
        </w:rPr>
        <w:t xml:space="preserve">, 1/14.</w:t>
      </w:r>
    </w:p>
  </w:footnote>
  <w:footnote w:id="43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Ebû Abdillâh el-Hâkim en-Nîsâbûrî, </w:t>
      </w:r>
      <w:r>
        <w:rPr>
          <w:rFonts w:ascii="Times New Roman" w:cs="Traditional Arabic" w:eastAsia="Times New Roman" w:hAnsi="Times New Roman"/>
          <w:i/>
          <w:iCs/>
          <w:sz w:val="20"/>
          <w:szCs w:val="20"/>
        </w:rPr>
        <w:t xml:space="preserve">Maʿrifetü ulûmi’l-hadîs</w:t>
      </w:r>
      <w:r>
        <w:rPr>
          <w:rFonts w:ascii="Times New Roman" w:cs="Traditional Arabic" w:eastAsia="Times New Roman" w:hAnsi="Times New Roman"/>
          <w:i w:val="false"/>
          <w:sz w:val="20"/>
          <w:szCs w:val="20"/>
        </w:rPr>
        <w:t xml:space="preserve"> (BASKI BİLGİSİ DOĞRULANAMADI), 2.</w:t>
      </w:r>
    </w:p>
  </w:footnote>
  <w:footnote w:id="43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Beraha, </w:t>
      </w:r>
      <w:r>
        <w:rPr>
          <w:rFonts w:ascii="Times New Roman" w:cs="Traditional Arabic" w:eastAsia="Times New Roman" w:hAnsi="Times New Roman"/>
          <w:i/>
          <w:iCs/>
          <w:sz w:val="20"/>
          <w:szCs w:val="20"/>
        </w:rPr>
        <w:t xml:space="preserve">Bilimsel Düşünce ve Araştırma Metodolojisi</w:t>
      </w:r>
      <w:r>
        <w:rPr>
          <w:rFonts w:ascii="Times New Roman" w:cs="Traditional Arabic" w:eastAsia="Times New Roman" w:hAnsi="Times New Roman"/>
          <w:i w:val="false"/>
          <w:sz w:val="20"/>
          <w:szCs w:val="20"/>
        </w:rPr>
        <w:t xml:space="preserve">, 40.</w:t>
      </w:r>
    </w:p>
  </w:footnote>
  <w:footnote w:id="43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Beraha, </w:t>
      </w:r>
      <w:r>
        <w:rPr>
          <w:rFonts w:ascii="Times New Roman" w:cs="Traditional Arabic" w:eastAsia="Times New Roman" w:hAnsi="Times New Roman"/>
          <w:i/>
          <w:iCs/>
          <w:sz w:val="20"/>
          <w:szCs w:val="20"/>
        </w:rPr>
        <w:t xml:space="preserve">Bilimsel Düşünce ve Araştırma Metodolojisi</w:t>
      </w:r>
      <w:r>
        <w:rPr>
          <w:rFonts w:ascii="Times New Roman" w:cs="Traditional Arabic" w:eastAsia="Times New Roman" w:hAnsi="Times New Roman"/>
          <w:i w:val="false"/>
          <w:sz w:val="20"/>
          <w:szCs w:val="20"/>
        </w:rPr>
        <w:t xml:space="preserve">, 43-44.</w:t>
      </w:r>
    </w:p>
  </w:footnote>
  <w:footnote w:id="43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Araştırma Deseni</w:t>
      </w:r>
      <w:r>
        <w:rPr>
          <w:rFonts w:ascii="Times New Roman" w:cs="Traditional Arabic" w:eastAsia="Times New Roman" w:hAnsi="Times New Roman"/>
          <w:i w:val="false"/>
          <w:sz w:val="20"/>
          <w:szCs w:val="20"/>
        </w:rPr>
        <w:t xml:space="preserve">, 87, 91.</w:t>
      </w:r>
    </w:p>
  </w:footnote>
  <w:footnote w:id="43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William Strunk Jr. - E. B. White, </w:t>
      </w:r>
      <w:r>
        <w:rPr>
          <w:rFonts w:ascii="Times New Roman" w:cs="Traditional Arabic" w:eastAsia="Times New Roman" w:hAnsi="Times New Roman"/>
          <w:i/>
          <w:iCs/>
          <w:sz w:val="20"/>
          <w:szCs w:val="20"/>
        </w:rPr>
        <w:t xml:space="preserve">The Elements of Style</w:t>
      </w:r>
      <w:r>
        <w:rPr>
          <w:rFonts w:ascii="Times New Roman" w:cs="Traditional Arabic" w:eastAsia="Times New Roman" w:hAnsi="Times New Roman"/>
          <w:i w:val="false"/>
          <w:sz w:val="20"/>
          <w:szCs w:val="20"/>
        </w:rPr>
        <w:t xml:space="preserve"> (4. Baskı [YAYIN YERİ VE YAYINEVİ DOĞRULANAMADI]), [SAYFA NUMARASI DOĞRULANAMADI].</w:t>
      </w:r>
    </w:p>
  </w:footnote>
  <w:footnote w:id="44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201.</w:t>
      </w:r>
    </w:p>
  </w:footnote>
  <w:footnote w:id="44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[309].</w:t>
      </w:r>
    </w:p>
  </w:footnote>
  <w:footnote w:id="44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90.</w:t>
      </w:r>
    </w:p>
  </w:footnote>
  <w:footnote w:id="44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90.</w:t>
      </w:r>
    </w:p>
  </w:footnote>
  <w:footnote w:id="44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312-313.</w:t>
      </w:r>
    </w:p>
  </w:footnote>
  <w:footnote w:id="44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313.</w:t>
      </w:r>
    </w:p>
  </w:footnote>
  <w:footnote w:id="44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314.</w:t>
      </w:r>
    </w:p>
  </w:footnote>
  <w:footnote w:id="44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314-315.</w:t>
      </w:r>
    </w:p>
  </w:footnote>
  <w:footnote w:id="44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315.</w:t>
      </w:r>
    </w:p>
  </w:footnote>
  <w:footnote w:id="44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w:t>
      </w:r>
      <w:r>
        <w:rPr>
          <w:rFonts w:ascii="Times New Roman" w:cs="Traditional Arabic" w:eastAsia="Times New Roman" w:hAnsi="Times New Roman"/>
          <w:i w:val="false"/>
          <w:sz w:val="20"/>
          <w:szCs w:val="20"/>
        </w:rPr>
        <w:t xml:space="preserve">, 1/49.</w:t>
      </w:r>
    </w:p>
  </w:footnote>
  <w:footnote w:id="45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1/734.</w:t>
      </w:r>
    </w:p>
  </w:footnote>
  <w:footnote w:id="45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1/734.</w:t>
      </w:r>
    </w:p>
  </w:footnote>
  <w:footnote w:id="45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1/743.</w:t>
      </w:r>
    </w:p>
  </w:footnote>
  <w:footnote w:id="45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1/743.</w:t>
      </w:r>
    </w:p>
  </w:footnote>
  <w:footnote w:id="45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İbnü'l-Uhuvve, </w:t>
      </w:r>
      <w:r>
        <w:rPr>
          <w:rFonts w:ascii="Times New Roman" w:cs="Traditional Arabic" w:eastAsia="Times New Roman" w:hAnsi="Times New Roman"/>
          <w:i/>
          <w:iCs/>
          <w:sz w:val="20"/>
          <w:szCs w:val="20"/>
        </w:rPr>
        <w:t xml:space="preserve">Meâlimü'l-kurbe</w:t>
      </w:r>
      <w:r>
        <w:rPr>
          <w:rFonts w:ascii="Times New Roman" w:cs="Traditional Arabic" w:eastAsia="Times New Roman" w:hAnsi="Times New Roman"/>
          <w:i w:val="false"/>
          <w:sz w:val="20"/>
          <w:szCs w:val="20"/>
        </w:rPr>
        <w:t xml:space="preserve">, 170.</w:t>
      </w:r>
    </w:p>
  </w:footnote>
  <w:footnote w:id="45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306.</w:t>
      </w:r>
    </w:p>
  </w:footnote>
  <w:footnote w:id="45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el-Munkız</w:t>
      </w:r>
      <w:r>
        <w:rPr>
          <w:rFonts w:ascii="Times New Roman" w:cs="Traditional Arabic" w:eastAsia="Times New Roman" w:hAnsi="Times New Roman"/>
          <w:i w:val="false"/>
          <w:sz w:val="20"/>
          <w:szCs w:val="20"/>
        </w:rPr>
        <w:t xml:space="preserve">, 173.</w:t>
      </w:r>
    </w:p>
  </w:footnote>
  <w:footnote w:id="45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İbnü'l-Uhuvve, </w:t>
      </w:r>
      <w:r>
        <w:rPr>
          <w:rFonts w:ascii="Times New Roman" w:cs="Traditional Arabic" w:eastAsia="Times New Roman" w:hAnsi="Times New Roman"/>
          <w:i/>
          <w:iCs/>
          <w:sz w:val="20"/>
          <w:szCs w:val="20"/>
        </w:rPr>
        <w:t xml:space="preserve">Meâlimü'l-kurbe</w:t>
      </w:r>
      <w:r>
        <w:rPr>
          <w:rFonts w:ascii="Times New Roman" w:cs="Traditional Arabic" w:eastAsia="Times New Roman" w:hAnsi="Times New Roman"/>
          <w:i w:val="false"/>
          <w:sz w:val="20"/>
          <w:szCs w:val="20"/>
        </w:rPr>
        <w:t xml:space="preserve">, 170.</w:t>
      </w:r>
    </w:p>
  </w:footnote>
  <w:footnote w:id="45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236.</w:t>
      </w:r>
    </w:p>
  </w:footnote>
  <w:footnote w:id="45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İbnü'l-Hâc, </w:t>
      </w:r>
      <w:r>
        <w:rPr>
          <w:rFonts w:ascii="Times New Roman" w:cs="Traditional Arabic" w:eastAsia="Times New Roman" w:hAnsi="Times New Roman"/>
          <w:i/>
          <w:iCs/>
          <w:sz w:val="20"/>
          <w:szCs w:val="20"/>
        </w:rPr>
        <w:t xml:space="preserve">el-Medhal</w:t>
      </w:r>
      <w:r>
        <w:rPr>
          <w:rFonts w:ascii="Times New Roman" w:cs="Traditional Arabic" w:eastAsia="Times New Roman" w:hAnsi="Times New Roman"/>
          <w:i w:val="false"/>
          <w:sz w:val="20"/>
          <w:szCs w:val="20"/>
        </w:rPr>
        <w:t xml:space="preserve">, 2/310.</w:t>
      </w:r>
    </w:p>
  </w:footnote>
  <w:footnote w:id="46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İbnü'l-Hâc, </w:t>
      </w:r>
      <w:r>
        <w:rPr>
          <w:rFonts w:ascii="Times New Roman" w:cs="Traditional Arabic" w:eastAsia="Times New Roman" w:hAnsi="Times New Roman"/>
          <w:i/>
          <w:iCs/>
          <w:sz w:val="20"/>
          <w:szCs w:val="20"/>
        </w:rPr>
        <w:t xml:space="preserve">el-Medhal</w:t>
      </w:r>
      <w:r>
        <w:rPr>
          <w:rFonts w:ascii="Times New Roman" w:cs="Traditional Arabic" w:eastAsia="Times New Roman" w:hAnsi="Times New Roman"/>
          <w:i w:val="false"/>
          <w:sz w:val="20"/>
          <w:szCs w:val="20"/>
        </w:rPr>
        <w:t xml:space="preserve">, 2/310.</w:t>
      </w:r>
    </w:p>
  </w:footnote>
  <w:footnote w:id="46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311.</w:t>
      </w:r>
    </w:p>
  </w:footnote>
  <w:footnote w:id="46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311.</w:t>
      </w:r>
    </w:p>
  </w:footnote>
  <w:footnote w:id="46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Karma Yöntem Araştırmalarına Giriş</w:t>
      </w:r>
      <w:r>
        <w:rPr>
          <w:rFonts w:ascii="Times New Roman" w:cs="Traditional Arabic" w:eastAsia="Times New Roman" w:hAnsi="Times New Roman"/>
          <w:i w:val="false"/>
          <w:sz w:val="20"/>
          <w:szCs w:val="20"/>
        </w:rPr>
        <w:t xml:space="preserve">, 2.</w:t>
      </w:r>
    </w:p>
  </w:footnote>
  <w:footnote w:id="46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Karma Yöntem Araştırmalarına Giriş</w:t>
      </w:r>
      <w:r>
        <w:rPr>
          <w:rFonts w:ascii="Times New Roman" w:cs="Traditional Arabic" w:eastAsia="Times New Roman" w:hAnsi="Times New Roman"/>
          <w:i w:val="false"/>
          <w:sz w:val="20"/>
          <w:szCs w:val="20"/>
        </w:rPr>
        <w:t xml:space="preserve">, 37-40.</w:t>
      </w:r>
    </w:p>
  </w:footnote>
  <w:footnote w:id="46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Karma Yöntem Araştırmalarına Giriş</w:t>
      </w:r>
      <w:r>
        <w:rPr>
          <w:rFonts w:ascii="Times New Roman" w:cs="Traditional Arabic" w:eastAsia="Times New Roman" w:hAnsi="Times New Roman"/>
          <w:i w:val="false"/>
          <w:sz w:val="20"/>
          <w:szCs w:val="20"/>
        </w:rPr>
        <w:t xml:space="preserve">, 41-42.</w:t>
      </w:r>
    </w:p>
  </w:footnote>
  <w:footnote w:id="46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Creswell, </w:t>
      </w:r>
      <w:r>
        <w:rPr>
          <w:rFonts w:ascii="Times New Roman" w:cs="Traditional Arabic" w:eastAsia="Times New Roman" w:hAnsi="Times New Roman"/>
          <w:i/>
          <w:iCs/>
          <w:sz w:val="20"/>
          <w:szCs w:val="20"/>
        </w:rPr>
        <w:t xml:space="preserve">Karma Yöntem Araştırmalarına Giriş</w:t>
      </w:r>
      <w:r>
        <w:rPr>
          <w:rFonts w:ascii="Times New Roman" w:cs="Traditional Arabic" w:eastAsia="Times New Roman" w:hAnsi="Times New Roman"/>
          <w:i w:val="false"/>
          <w:sz w:val="20"/>
          <w:szCs w:val="20"/>
        </w:rPr>
        <w:t xml:space="preserve">, 118.</w:t>
      </w:r>
    </w:p>
  </w:footnote>
  <w:footnote w:id="46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el-Mustasfâ</w:t>
      </w:r>
      <w:r>
        <w:rPr>
          <w:rFonts w:ascii="Times New Roman" w:cs="Traditional Arabic" w:eastAsia="Times New Roman" w:hAnsi="Times New Roman"/>
          <w:i w:val="false"/>
          <w:sz w:val="20"/>
          <w:szCs w:val="20"/>
        </w:rPr>
        <w:t xml:space="preserve">, 41.</w:t>
      </w:r>
    </w:p>
  </w:footnote>
  <w:footnote w:id="46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Yıldırım - Şimşek, </w:t>
      </w:r>
      <w:r>
        <w:rPr>
          <w:rFonts w:ascii="Times New Roman" w:cs="Traditional Arabic" w:eastAsia="Times New Roman" w:hAnsi="Times New Roman"/>
          <w:i/>
          <w:iCs/>
          <w:sz w:val="20"/>
          <w:szCs w:val="20"/>
        </w:rPr>
        <w:t xml:space="preserve">Sosyal Bilimlerde Nitel Araştırma Yöntemleri</w:t>
      </w:r>
      <w:r>
        <w:rPr>
          <w:rFonts w:ascii="Times New Roman" w:cs="Traditional Arabic" w:eastAsia="Times New Roman" w:hAnsi="Times New Roman"/>
          <w:i w:val="false"/>
          <w:sz w:val="20"/>
          <w:szCs w:val="20"/>
        </w:rPr>
        <w:t xml:space="preserve">, 90.</w:t>
      </w:r>
    </w:p>
  </w:footnote>
  <w:footnote w:id="46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Cemâa, </w:t>
      </w:r>
      <w:r>
        <w:rPr>
          <w:rFonts w:ascii="Times New Roman" w:cs="Traditional Arabic" w:eastAsia="Times New Roman" w:hAnsi="Times New Roman"/>
          <w:i/>
          <w:iCs/>
          <w:sz w:val="20"/>
          <w:szCs w:val="20"/>
        </w:rPr>
        <w:t xml:space="preserve">Tezkiretü's-sâmiʿ</w:t>
      </w:r>
      <w:r>
        <w:rPr>
          <w:rFonts w:ascii="Times New Roman" w:cs="Traditional Arabic" w:eastAsia="Times New Roman" w:hAnsi="Times New Roman"/>
          <w:i w:val="false"/>
          <w:sz w:val="20"/>
          <w:szCs w:val="20"/>
        </w:rPr>
        <w:t xml:space="preserve">, 42.</w:t>
      </w:r>
    </w:p>
  </w:footnote>
  <w:footnote w:id="47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Mâtürîdî, </w:t>
      </w:r>
      <w:r>
        <w:rPr>
          <w:rFonts w:ascii="Times New Roman" w:cs="Traditional Arabic" w:eastAsia="Times New Roman" w:hAnsi="Times New Roman"/>
          <w:i/>
          <w:iCs/>
          <w:sz w:val="20"/>
          <w:szCs w:val="20"/>
        </w:rPr>
        <w:t xml:space="preserve">Kitâbü't-Tevhîd</w:t>
      </w:r>
      <w:r>
        <w:rPr>
          <w:rFonts w:ascii="Times New Roman" w:cs="Traditional Arabic" w:eastAsia="Times New Roman" w:hAnsi="Times New Roman"/>
          <w:i w:val="false"/>
          <w:sz w:val="20"/>
          <w:szCs w:val="20"/>
        </w:rPr>
        <w:t xml:space="preserve">, 7.</w:t>
      </w:r>
    </w:p>
  </w:footnote>
  <w:footnote w:id="47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104.</w:t>
      </w:r>
    </w:p>
  </w:footnote>
  <w:footnote w:id="47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Mâverdî, </w:t>
      </w:r>
      <w:r>
        <w:rPr>
          <w:rFonts w:ascii="Times New Roman" w:cs="Traditional Arabic" w:eastAsia="Times New Roman" w:hAnsi="Times New Roman"/>
          <w:i/>
          <w:iCs/>
          <w:sz w:val="20"/>
          <w:szCs w:val="20"/>
        </w:rPr>
        <w:t xml:space="preserve">Edebü'd-dünyâ ve'd-dîn</w:t>
      </w:r>
      <w:r>
        <w:rPr>
          <w:rFonts w:ascii="Times New Roman" w:cs="Traditional Arabic" w:eastAsia="Times New Roman" w:hAnsi="Times New Roman"/>
          <w:i w:val="false"/>
          <w:sz w:val="20"/>
          <w:szCs w:val="20"/>
        </w:rPr>
        <w:t xml:space="preserve">, 307.</w:t>
      </w:r>
    </w:p>
  </w:footnote>
  <w:footnote w:id="47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1/46.</w:t>
      </w:r>
    </w:p>
  </w:footnote>
  <w:footnote w:id="47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1/46.</w:t>
      </w:r>
    </w:p>
  </w:footnote>
  <w:footnote w:id="47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İbnü's-Salâh, </w:t>
      </w:r>
      <w:r>
        <w:rPr>
          <w:rFonts w:ascii="Times New Roman" w:cs="Traditional Arabic" w:eastAsia="Times New Roman" w:hAnsi="Times New Roman"/>
          <w:i/>
          <w:iCs/>
          <w:sz w:val="20"/>
          <w:szCs w:val="20"/>
        </w:rPr>
        <w:t xml:space="preserve">Maʿrifetü envâʿi ʿulûmi'l-hadîs</w:t>
      </w:r>
      <w:r>
        <w:rPr>
          <w:rFonts w:ascii="Times New Roman" w:cs="Traditional Arabic" w:eastAsia="Times New Roman" w:hAnsi="Times New Roman"/>
          <w:i w:val="false"/>
          <w:sz w:val="20"/>
          <w:szCs w:val="20"/>
        </w:rPr>
        <w:t xml:space="preserve">, 391.</w:t>
      </w:r>
    </w:p>
  </w:footnote>
  <w:footnote w:id="47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w:t>
      </w:r>
      <w:r>
        <w:rPr>
          <w:rFonts w:ascii="Times New Roman" w:cs="Traditional Arabic" w:eastAsia="Times New Roman" w:hAnsi="Times New Roman"/>
          <w:i w:val="false"/>
          <w:sz w:val="20"/>
          <w:szCs w:val="20"/>
        </w:rPr>
        <w:t xml:space="preserve">, 1/49.</w:t>
      </w:r>
    </w:p>
  </w:footnote>
  <w:footnote w:id="477">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Şerîf el-Cürcânî, </w:t>
      </w:r>
      <w:r>
        <w:rPr>
          <w:rFonts w:ascii="Times New Roman" w:cs="Traditional Arabic" w:eastAsia="Times New Roman" w:hAnsi="Times New Roman"/>
          <w:i/>
          <w:iCs/>
          <w:sz w:val="20"/>
          <w:szCs w:val="20"/>
        </w:rPr>
        <w:t xml:space="preserve">et-Taʿrîfât</w:t>
      </w:r>
      <w:r>
        <w:rPr>
          <w:rFonts w:ascii="Times New Roman" w:cs="Traditional Arabic" w:eastAsia="Times New Roman" w:hAnsi="Times New Roman"/>
          <w:i w:val="false"/>
          <w:sz w:val="20"/>
          <w:szCs w:val="20"/>
        </w:rPr>
        <w:t xml:space="preserve">, 18.</w:t>
      </w:r>
    </w:p>
  </w:footnote>
  <w:footnote w:id="478">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Zerkeşî, </w:t>
      </w:r>
      <w:r>
        <w:rPr>
          <w:rFonts w:ascii="Times New Roman" w:cs="Traditional Arabic" w:eastAsia="Times New Roman" w:hAnsi="Times New Roman"/>
          <w:i/>
          <w:iCs/>
          <w:sz w:val="20"/>
          <w:szCs w:val="20"/>
        </w:rPr>
        <w:t xml:space="preserve">el-Burhân</w:t>
      </w:r>
      <w:r>
        <w:rPr>
          <w:rFonts w:ascii="Times New Roman" w:cs="Traditional Arabic" w:eastAsia="Times New Roman" w:hAnsi="Times New Roman"/>
          <w:i w:val="false"/>
          <w:sz w:val="20"/>
          <w:szCs w:val="20"/>
        </w:rPr>
        <w:t xml:space="preserve">, 1/22.</w:t>
      </w:r>
    </w:p>
  </w:footnote>
  <w:footnote w:id="479">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Zerkeşî, </w:t>
      </w:r>
      <w:r>
        <w:rPr>
          <w:rFonts w:ascii="Times New Roman" w:cs="Traditional Arabic" w:eastAsia="Times New Roman" w:hAnsi="Times New Roman"/>
          <w:i/>
          <w:iCs/>
          <w:sz w:val="20"/>
          <w:szCs w:val="20"/>
        </w:rPr>
        <w:t xml:space="preserve">el-Burhân</w:t>
      </w:r>
      <w:r>
        <w:rPr>
          <w:rFonts w:ascii="Times New Roman" w:cs="Traditional Arabic" w:eastAsia="Times New Roman" w:hAnsi="Times New Roman"/>
          <w:i w:val="false"/>
          <w:sz w:val="20"/>
          <w:szCs w:val="20"/>
        </w:rPr>
        <w:t xml:space="preserve">, 1/22.</w:t>
      </w:r>
    </w:p>
  </w:footnote>
  <w:footnote w:id="480">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Nüceym, </w:t>
      </w:r>
      <w:r>
        <w:rPr>
          <w:rFonts w:ascii="Times New Roman" w:cs="Traditional Arabic" w:eastAsia="Times New Roman" w:hAnsi="Times New Roman"/>
          <w:i/>
          <w:iCs/>
          <w:sz w:val="20"/>
          <w:szCs w:val="20"/>
        </w:rPr>
        <w:t xml:space="preserve">el-Eşbâh ve'n-nezâir</w:t>
      </w:r>
      <w:r>
        <w:rPr>
          <w:rFonts w:ascii="Times New Roman" w:cs="Traditional Arabic" w:eastAsia="Times New Roman" w:hAnsi="Times New Roman"/>
          <w:i w:val="false"/>
          <w:sz w:val="20"/>
          <w:szCs w:val="20"/>
        </w:rPr>
        <w:t xml:space="preserve">, 79.</w:t>
      </w:r>
    </w:p>
  </w:footnote>
  <w:footnote w:id="481">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Bîrûnî, </w:t>
      </w:r>
      <w:r>
        <w:rPr>
          <w:rFonts w:ascii="Times New Roman" w:cs="Traditional Arabic" w:eastAsia="Times New Roman" w:hAnsi="Times New Roman"/>
          <w:i/>
          <w:iCs/>
          <w:sz w:val="20"/>
          <w:szCs w:val="20"/>
        </w:rPr>
        <w:t xml:space="preserve">Tahkîku mâ li'l-Hind</w:t>
      </w:r>
      <w:r>
        <w:rPr>
          <w:rFonts w:ascii="Times New Roman" w:cs="Traditional Arabic" w:eastAsia="Times New Roman" w:hAnsi="Times New Roman"/>
          <w:i w:val="false"/>
          <w:sz w:val="20"/>
          <w:szCs w:val="20"/>
        </w:rPr>
        <w:t xml:space="preserve">, 15.</w:t>
      </w:r>
    </w:p>
  </w:footnote>
  <w:footnote w:id="482">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Toker, “Nitel Araştırma Paradigması ve Din”, 71.</w:t>
      </w:r>
    </w:p>
  </w:footnote>
  <w:footnote w:id="483">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Haldûn, </w:t>
      </w:r>
      <w:r>
        <w:rPr>
          <w:rFonts w:ascii="Times New Roman" w:cs="Traditional Arabic" w:eastAsia="Times New Roman" w:hAnsi="Times New Roman"/>
          <w:i/>
          <w:iCs/>
          <w:sz w:val="20"/>
          <w:szCs w:val="20"/>
        </w:rPr>
        <w:t xml:space="preserve">Târîh</w:t>
      </w:r>
      <w:r>
        <w:rPr>
          <w:rFonts w:ascii="Times New Roman" w:cs="Traditional Arabic" w:eastAsia="Times New Roman" w:hAnsi="Times New Roman"/>
          <w:i w:val="false"/>
          <w:sz w:val="20"/>
          <w:szCs w:val="20"/>
        </w:rPr>
        <w:t xml:space="preserve">, 1/734.</w:t>
      </w:r>
    </w:p>
  </w:footnote>
  <w:footnote w:id="484">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İbn Battûta, </w:t>
      </w:r>
      <w:r>
        <w:rPr>
          <w:rFonts w:ascii="Times New Roman" w:cs="Traditional Arabic" w:eastAsia="Times New Roman" w:hAnsi="Times New Roman"/>
          <w:i/>
          <w:iCs/>
          <w:sz w:val="20"/>
          <w:szCs w:val="20"/>
        </w:rPr>
        <w:t xml:space="preserve">Rihle</w:t>
      </w:r>
      <w:r>
        <w:rPr>
          <w:rFonts w:ascii="Times New Roman" w:cs="Traditional Arabic" w:eastAsia="Times New Roman" w:hAnsi="Times New Roman"/>
          <w:i w:val="false"/>
          <w:sz w:val="20"/>
          <w:szCs w:val="20"/>
        </w:rPr>
        <w:t xml:space="preserve">, 1/314.</w:t>
      </w:r>
    </w:p>
  </w:footnote>
  <w:footnote w:id="485">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Toker, “Nitel Araştırma Paradigması ve Din”, 73.</w:t>
      </w:r>
    </w:p>
  </w:footnote>
  <w:footnote w:id="486">
    <w:p>
      <w:pPr>
        <w:spacing w:after="40" w:line="240"/>
        <w:jc w:val="both"/>
      </w:pPr>
      <w:r>
        <w:rPr>
          <w:rStyle w:val="FootnoteReference"/>
        </w:rPr>
        <w:footnoteRef/>
      </w:r>
      <w:r>
        <w:rPr>
          <w:rFonts w:ascii="Times New Roman" w:cs="Traditional Arabic" w:eastAsia="Times New Roman" w:hAnsi="Times New Roman"/>
          <w:i w:val="false"/>
          <w:sz w:val="20"/>
          <w:szCs w:val="20"/>
        </w:rPr>
        <w:t xml:space="preserve"> </w:t>
      </w:r>
      <w:r>
        <w:rPr>
          <w:rFonts w:ascii="Times New Roman" w:cs="Traditional Arabic" w:eastAsia="Times New Roman" w:hAnsi="Times New Roman"/>
          <w:i w:val="false"/>
          <w:sz w:val="20"/>
          <w:szCs w:val="20"/>
        </w:rPr>
        <w:t xml:space="preserve">Gazzâlî, </w:t>
      </w:r>
      <w:r>
        <w:rPr>
          <w:rFonts w:ascii="Times New Roman" w:cs="Traditional Arabic" w:eastAsia="Times New Roman" w:hAnsi="Times New Roman"/>
          <w:i/>
          <w:iCs/>
          <w:sz w:val="20"/>
          <w:szCs w:val="20"/>
        </w:rPr>
        <w:t xml:space="preserve">İhyâ</w:t>
      </w:r>
      <w:r>
        <w:rPr>
          <w:rFonts w:ascii="Times New Roman" w:cs="Traditional Arabic" w:eastAsia="Times New Roman" w:hAnsi="Times New Roman"/>
          <w:i w:val="false"/>
          <w:sz w:val="20"/>
          <w:szCs w:val="20"/>
        </w:rPr>
        <w:t xml:space="preserve">, 1/49.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sz w:val="24"/>
      <w:szCs w:val="24"/>
    </w:rPr>
  </w:style>
  <w:style w:type="paragraph" w:styleId="Dogrulama">
    <w:name w:val="Doğrulama Bloğu"/>
    <w:basedOn w:val="Normal"/>
    <w:next w:val="Normal"/>
    <w:qFormat/>
    <w:rPr>
      <w:rFonts w:ascii="Times New Roman" w:cs="Times New Roman" w:eastAsia="Times New Roman" w:hAnsi="Times New Roman"/>
      <w:color w:val="404040"/>
      <w:sz w:val="22"/>
      <w:szCs w:val="22"/>
    </w:rPr>
  </w:style>
  <w:style w:type="paragraph" w:styleId="DogrulamaAR">
    <w:name w:val="Doğrulama Bloğu Arapça"/>
    <w:basedOn w:val="Normal"/>
    <w:next w:val="Normal"/>
    <w:qFormat/>
    <w:rPr>
      <w:rFonts w:ascii="Times New Roman" w:cs="Times New Roman" w:eastAsia="Times New Roman" w:hAnsi="Times New Roman"/>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 Eğitiminde Nitel Araştırma</dc:title>
  <cp:lastModifiedBy>Un-named</cp:lastModifiedBy>
  <cp:revision>1</cp:revision>
  <dcterms:created xsi:type="dcterms:W3CDTF">2026-10-08T11:25:46.038Z</dcterms:created>
  <dcterms:modified xsi:type="dcterms:W3CDTF">2026-10-08T11:25:46.050Z</dcterms:modified>
</cp:coreProperties>
</file>

<file path=docProps/custom.xml><?xml version="1.0" encoding="utf-8"?>
<Properties xmlns="http://schemas.openxmlformats.org/officeDocument/2006/custom-properties" xmlns:vt="http://schemas.openxmlformats.org/officeDocument/2006/docPropsVTypes"/>
</file>