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 w:line="360"/>
        <w:jc w:val="center"/>
      </w:pPr>
      <w:r>
        <w:rPr>
          <w:rFonts w:ascii="Times New Roman" w:cs="Times New Roman" w:eastAsia="Times New Roman" w:hAnsi="Times New Roman"/>
          <w:b/>
          <w:bCs/>
          <w:i w:val="false"/>
          <w:iCs w:val="false"/>
          <w:sz w:val="24"/>
          <w:szCs w:val="24"/>
        </w:rPr>
        <w:t xml:space="preserve">Yazara Notlar (gönderimden önce bu bölümü siliniz)</w:t>
      </w:r>
    </w:p>
    <w:p>
      <w:pPr>
        <w:spacing w:after="60" w:before="60" w:line="300"/>
        <w:jc w:val="both"/>
      </w:pPr>
      <w:r>
        <w:rPr>
          <w:rFonts w:ascii="Times New Roman" w:cs="Times New Roman" w:eastAsia="Times New Roman" w:hAnsi="Times New Roman"/>
          <w:b w:val="false"/>
          <w:bCs w:val="false"/>
          <w:i w:val="false"/>
          <w:iCs w:val="false"/>
          <w:sz w:val="20"/>
          <w:szCs w:val="20"/>
        </w:rPr>
        <w:t xml:space="preserve">Bu nüsha, makaledeki her atfın dayandığı özgün metni paragrafın hemen altında gösteren kontrol nüshasıdır. Özgün metinler italik, tırnak içinde ve soldan 1 cm girintilidir; altlarındaki gri satırda dosyanın Drive’daki klasörü ve adı, PDF sayfası, basılı sayfa ve birebir eşleşme durumu yer alır. Ders kitabından alınan pasajlar yalnızca bu kontrol bloklarında ve yalnızca doğrulama amacıyla özgün Çince hâliyle verilmiştir; dergiye gönderilecek temiz metinde (“Yazar Versiyonu”) hiçbir Çince karakter yoktur.</w:t>
      </w:r>
    </w:p>
    <w:p>
      <w:pPr>
        <w:spacing w:after="120" w:before="120" w:line="360"/>
      </w:pPr>
      <w:r>
        <w:rPr>
          <w:rFonts w:ascii="Times New Roman" w:cs="Times New Roman" w:eastAsia="Times New Roman" w:hAnsi="Times New Roman"/>
          <w:b/>
          <w:bCs/>
          <w:i w:val="false"/>
          <w:iCs w:val="false"/>
          <w:sz w:val="24"/>
          <w:szCs w:val="24"/>
        </w:rPr>
        <w:t xml:space="preserve">Atıf Biçimi</w:t>
      </w:r>
    </w:p>
    <w:p>
      <w:pPr>
        <w:spacing w:after="60" w:before="60" w:line="300"/>
        <w:jc w:val="both"/>
      </w:pPr>
      <w:r>
        <w:rPr>
          <w:rFonts w:ascii="Times New Roman" w:cs="Times New Roman" w:eastAsia="Times New Roman" w:hAnsi="Times New Roman"/>
          <w:b w:val="false"/>
          <w:bCs w:val="false"/>
          <w:i w:val="false"/>
          <w:iCs w:val="false"/>
          <w:sz w:val="20"/>
          <w:szCs w:val="20"/>
        </w:rPr>
        <w:t xml:space="preserve">Kalıcı çalışma ilkelerinizde ISNAD 2. edisyon belirtilmiş olmakla birlikte, Değerler Eğitimi Dergisi yazım kuralları metin içi atıf ve kaynakçada APA 7 istediği için bu makalede APA 7 uygulanmıştır. Dergi kurallarına göre doğrudan alıntılar 11 punto ve girintili, italiksiz ve tırnaksız yazılır; kontrol nüshasındaki italik ve tırnaklı bloklar yalnızca denetim içindir ve temiz nüshada yer almaz.</w:t>
      </w:r>
    </w:p>
    <w:p>
      <w:pPr>
        <w:spacing w:after="120" w:before="120" w:line="360"/>
      </w:pPr>
      <w:r>
        <w:rPr>
          <w:rFonts w:ascii="Times New Roman" w:cs="Times New Roman" w:eastAsia="Times New Roman" w:hAnsi="Times New Roman"/>
          <w:b/>
          <w:bCs/>
          <w:i w:val="false"/>
          <w:iCs w:val="false"/>
          <w:sz w:val="24"/>
          <w:szCs w:val="24"/>
        </w:rPr>
        <w:t xml:space="preserve">Doğrulama Usulü</w:t>
      </w:r>
    </w:p>
    <w:p>
      <w:pPr>
        <w:spacing w:after="60" w:before="60" w:line="300"/>
        <w:jc w:val="both"/>
      </w:pPr>
      <w:r>
        <w:rPr>
          <w:rFonts w:ascii="Times New Roman" w:cs="Times New Roman" w:eastAsia="Times New Roman" w:hAnsi="Times New Roman"/>
          <w:b w:val="false"/>
          <w:bCs w:val="false"/>
          <w:i w:val="false"/>
          <w:iCs w:val="false"/>
          <w:sz w:val="20"/>
          <w:szCs w:val="20"/>
        </w:rPr>
        <w:t xml:space="preserve">Makaledeki her alıntı ve her atıf, kaynağın PDF metninde betikle birebir aranmış; bulunamayan, sayfası tutmayan ya da eser sahibinin başka bir kaynaktan aktardığı bilgi olarak işaretlenen hiçbir pasaj kullanılmamıştır. Ders kitabından yapılan alıntılar da kitabın metninde birebir doğrulanmış, basılı sayfa numarası PDF sayfa sırasının beş eksiği olarak hesaplanıp sayfa altlıklarından teyit edilmiştir. Ayrıca bağımsız denetçiler her atfın eser sahibinin kendi görüşü olup olmadığını, basılı sayfayı ve makaledeki cümlenin kaynağı doğru yansıtıp yansıtmadığını ayrı ayrı sınamıştır. Bu denetimlerde ders kitabından yapılan 71 alıntı ile kaynaklara yapılan 62 atıf tek tek incelenmiş, sonuçlar aşağıdaki biçimde metne işlenmiştir.</w:t>
      </w:r>
    </w:p>
    <w:p>
      <w:pPr>
        <w:spacing w:after="120" w:before="120" w:line="360"/>
      </w:pPr>
      <w:r>
        <w:rPr>
          <w:rFonts w:ascii="Times New Roman" w:cs="Times New Roman" w:eastAsia="Times New Roman" w:hAnsi="Times New Roman"/>
          <w:b/>
          <w:bCs/>
          <w:i w:val="false"/>
          <w:iCs w:val="false"/>
          <w:sz w:val="24"/>
          <w:szCs w:val="24"/>
        </w:rPr>
        <w:t xml:space="preserve">Denetim Sonucunda Yapılan Değişiklikler</w:t>
      </w:r>
    </w:p>
    <w:p>
      <w:pPr>
        <w:spacing w:after="60" w:before="60" w:line="300"/>
        <w:jc w:val="both"/>
      </w:pPr>
      <w:r>
        <w:rPr>
          <w:rFonts w:ascii="Times New Roman" w:cs="Times New Roman" w:eastAsia="Times New Roman" w:hAnsi="Times New Roman"/>
          <w:b w:val="false"/>
          <w:bCs w:val="false"/>
          <w:i w:val="false"/>
          <w:iCs w:val="false"/>
          <w:sz w:val="20"/>
          <w:szCs w:val="20"/>
        </w:rPr>
        <w:t xml:space="preserve">Kaynak atıfları:</w:t>
      </w:r>
    </w:p>
    <w:p>
      <w:pPr>
        <w:spacing w:after="40" w:before="40" w:line="300"/>
        <w:ind w:left="567" w:hanging="227"/>
        <w:jc w:val="both"/>
      </w:pPr>
      <w:r>
        <w:rPr>
          <w:rFonts w:ascii="Times New Roman" w:cs="Times New Roman" w:eastAsia="Times New Roman" w:hAnsi="Times New Roman"/>
          <w:sz w:val="20"/>
          <w:szCs w:val="20"/>
        </w:rPr>
        <w:t xml:space="preserve">– </w:t>
      </w:r>
      <w:r>
        <w:rPr>
          <w:rFonts w:ascii="Times New Roman" w:cs="Times New Roman" w:eastAsia="Times New Roman" w:hAnsi="Times New Roman"/>
          <w:b w:val="false"/>
          <w:bCs w:val="false"/>
          <w:i w:val="false"/>
          <w:iCs w:val="false"/>
          <w:sz w:val="20"/>
          <w:szCs w:val="20"/>
        </w:rPr>
        <w:t xml:space="preserve">Eser sahibinin başka kaynaklardan aktardığı bilgiye dayandığı anlaşılan atıflar metinden çıkarılmıştır: Aimaiti (2023) tezinden ortaokul ders listesi (s. 87) ile Türkiye’de Din Kültürü ve Ahlak Bilgisi dersinin okutulduğu sınıflar ve seçmeli dersler (s. 63, 88); Coşkun ve Çelikten’den (2020) okulların parti sekreterleri aracılığıyla takibi (s. 2998; Bakioğlu ve Özcan 2014’ten aktarma); Wang ve Peters’tan (2023) Marksizm ile geleneksel kültürün derin bütünleşmesi (s. 882; Guo 2014’e dayanıyor); C. Aydın’dan (2022) Çin düşüncesinin eklektik ve hümanist yapısı (s. 99; Störing 2000’e dayanıyor); Gökenç Gülez’den (2023) ebeveynlerin klasik eğitim tercihi (s. 325; Wang’ın bulgusunun özeti). Liao ve Liu’nun (2020, s. 25) aktardığı 2016 bakanlık düzenlemesi ile Türkiye’deki ders çizelgesi bilgisi metinde tutulmuş, fakat birincil belge gösterilmek üzere “SAĞLANAN BELGELERDE KAYNAK BULUNAMADI” ibaresiyle işaretlenmiştir. Liao ve Liu bu nedenle kaynakçadan çıkmıştır.</w:t>
      </w:r>
    </w:p>
    <w:p>
      <w:pPr>
        <w:spacing w:after="40" w:before="40" w:line="300"/>
        <w:ind w:left="567" w:hanging="227"/>
        <w:jc w:val="both"/>
      </w:pPr>
      <w:r>
        <w:rPr>
          <w:rFonts w:ascii="Times New Roman" w:cs="Times New Roman" w:eastAsia="Times New Roman" w:hAnsi="Times New Roman"/>
          <w:sz w:val="20"/>
          <w:szCs w:val="20"/>
        </w:rPr>
        <w:t xml:space="preserve">– </w:t>
      </w:r>
      <w:r>
        <w:rPr>
          <w:rFonts w:ascii="Times New Roman" w:cs="Times New Roman" w:eastAsia="Times New Roman" w:hAnsi="Times New Roman"/>
          <w:b w:val="false"/>
          <w:bCs w:val="false"/>
          <w:i w:val="false"/>
          <w:iCs w:val="false"/>
          <w:sz w:val="20"/>
          <w:szCs w:val="20"/>
        </w:rPr>
        <w:t xml:space="preserve">Özgün mü aktarma mı olduğu kesin olarak ayırt edilemeyen ifadeler ihtiyaten çıkarılmış ya da eser sahibinin aynı eserdeki açıkça kendine ait bir ifadesiyle değiştirilmiştir. Parlakyiğit (2020, s. 44; paragraf sonundaki Çifçi 2015 dipnotu bütün paragrafı kapsıyor olabilir) ile Aksoy (2025, s. 71; Rezepa 2025’e dayanıyor olabilir) çıkarılmış ve kaynakçadan düşmüştür. Yeniacun’un “model birey” tespiti (s. 205; Tanrısevdi ve Kıral’dan aktarılmış olabilir) çıkarılmıştır. Gökenç Gülez’in 2000’li yıllara ilişkin cümlesi (s. 321) yerine Sonuç’taki kendi değerlendirmesi (s. 325), Şevik’in “niyetli görünmektedir” cümlesi yerine “Kanımızca” diye başlayan kendi kanaati (s. 54), Tuncer’in “nesil” cümlesi (s. 2268; Kul 2017’den aktarılmış olabilir) yerine Sonuç’taki kendi değerlendirmesi (s. 2269) kullanılmıştır. Bu kararlar ihtiyat gereği alınmıştır; ilgili eserleri görüp özgün olduklarını teyit ederseniz geri eklenebilirler.</w:t>
      </w:r>
    </w:p>
    <w:p>
      <w:pPr>
        <w:spacing w:after="40" w:before="40" w:line="300"/>
        <w:ind w:left="567" w:hanging="227"/>
        <w:jc w:val="both"/>
      </w:pPr>
      <w:r>
        <w:rPr>
          <w:rFonts w:ascii="Times New Roman" w:cs="Times New Roman" w:eastAsia="Times New Roman" w:hAnsi="Times New Roman"/>
          <w:sz w:val="20"/>
          <w:szCs w:val="20"/>
        </w:rPr>
        <w:t xml:space="preserve">– </w:t>
      </w:r>
      <w:r>
        <w:rPr>
          <w:rFonts w:ascii="Times New Roman" w:cs="Times New Roman" w:eastAsia="Times New Roman" w:hAnsi="Times New Roman"/>
          <w:b w:val="false"/>
          <w:bCs w:val="false"/>
          <w:i w:val="false"/>
          <w:iCs w:val="false"/>
          <w:sz w:val="20"/>
          <w:szCs w:val="20"/>
        </w:rPr>
        <w:t xml:space="preserve">Kaynağı tam yansıtmadığı belirlenen cümleler düzeltilmiştir: “sınav cehennemi” nitelemesinin dayandığı sınav zinciri; Tanrısevdi ve Kıral’ın yorumunun kanunlarda sayılan amaçlara dayandığı ve “iyi eğitimli” unsuru; Yeniacun’un “giderek azalarak da olsa” kaydı; Coşkun ve Çelikten’in sınırlılık ve öneri cümlesi; Sun’un “iyi öğretim stratejisi” kaydı; Gao’nun yabancılaşma nitelemesinin kapsamı; J. Zhang’ın “devletçe birleştirilmiş” ve “üstün geleneksel kültür” ifadeleri; Ametbek’in “belki de” ihtiyatı ve Parti tüzüğüne dayanan yorumu; Ma’nın dini de imparator otoritesine tabi sayan açıklaması ve çifte kimliği cami eğitimi ile Han kitap hareketine birlikte bağlaması; Hsu’nun demokratik ülkeler kaydı; Kişi’nin yorumunun Zhang ve Ong’dan hareket ettiği; Li ve Li’nin beş ilkeye ilişkin kendi değerlendirmesi; Karacadagli’nin kaynak göstermeden yaptığı ifadeye ihtiyat kaydı; Peters’ın tespitinin Amerikan Rüyası ile karşılaştırma içinde yapıldığı.</w:t>
      </w:r>
    </w:p>
    <w:p>
      <w:pPr>
        <w:spacing w:after="40" w:before="40" w:line="300"/>
        <w:ind w:left="567" w:hanging="227"/>
        <w:jc w:val="both"/>
      </w:pPr>
      <w:r>
        <w:rPr>
          <w:rFonts w:ascii="Times New Roman" w:cs="Times New Roman" w:eastAsia="Times New Roman" w:hAnsi="Times New Roman"/>
          <w:sz w:val="20"/>
          <w:szCs w:val="20"/>
        </w:rPr>
        <w:t xml:space="preserve">– </w:t>
      </w:r>
      <w:r>
        <w:rPr>
          <w:rFonts w:ascii="Times New Roman" w:cs="Times New Roman" w:eastAsia="Times New Roman" w:hAnsi="Times New Roman"/>
          <w:b w:val="false"/>
          <w:bCs w:val="false"/>
          <w:i w:val="false"/>
          <w:iCs w:val="false"/>
          <w:sz w:val="20"/>
          <w:szCs w:val="20"/>
        </w:rPr>
        <w:t xml:space="preserve">Eser sahibinin kendi değerlendirmesi olmakla birlikte başka bir belgeye de yaslanan karma nitelikli atıflar, eser sahibinin değerlendirmesi olarak çerçevelenerek bırakılmıştır: Aimaiti (2023, s. 97; 6+3 bilgisi tezin kavramsal çerçevesinde Yan 2016 ve GOV 2006’ya dayanır ve orada bazı bölgelerde 5+4 düzeninin uygulandığı da belirtilir), Coşkun ve Çelikten (2020, s. 2987, 3004; Anayasa ve 1995 Eğitim Kanunu maddelerine dayanan değerlendirmeler), Tanrısevdi ve Kıral (s. 225; kanun ve bakanlık belgelerine dayanan yorum), Li ve Li (2022, s. 8), Kişi (2021, s. 87). Kuralınız gereği bunları ayrıca tartmanız, gerekirse birincil belgeyle desteklemeniz önerilir.</w:t>
      </w:r>
    </w:p>
    <w:p>
      <w:pPr>
        <w:spacing w:after="60" w:before="60" w:line="300"/>
        <w:jc w:val="both"/>
      </w:pPr>
      <w:r>
        <w:rPr>
          <w:rFonts w:ascii="Times New Roman" w:cs="Times New Roman" w:eastAsia="Times New Roman" w:hAnsi="Times New Roman"/>
          <w:b w:val="false"/>
          <w:bCs w:val="false"/>
          <w:i w:val="false"/>
          <w:iCs w:val="false"/>
          <w:sz w:val="20"/>
          <w:szCs w:val="20"/>
        </w:rPr>
        <w:t xml:space="preserve">Ders kitabı alıntıları:</w:t>
      </w:r>
    </w:p>
    <w:p>
      <w:pPr>
        <w:spacing w:after="40" w:before="40" w:line="300"/>
        <w:ind w:left="567" w:hanging="227"/>
        <w:jc w:val="both"/>
      </w:pPr>
      <w:r>
        <w:rPr>
          <w:rFonts w:ascii="Times New Roman" w:cs="Times New Roman" w:eastAsia="Times New Roman" w:hAnsi="Times New Roman"/>
          <w:sz w:val="20"/>
          <w:szCs w:val="20"/>
        </w:rPr>
        <w:t xml:space="preserve">– </w:t>
      </w:r>
      <w:r>
        <w:rPr>
          <w:rFonts w:ascii="Times New Roman" w:cs="Times New Roman" w:eastAsia="Times New Roman" w:hAnsi="Times New Roman"/>
          <w:b w:val="false"/>
          <w:bCs w:val="false"/>
          <w:i w:val="false"/>
          <w:iCs w:val="false"/>
          <w:sz w:val="20"/>
          <w:szCs w:val="20"/>
        </w:rPr>
        <w:t xml:space="preserve">Görüş balonu ya da ek okuma kutusunda yer alan ifadeler kitabın kendi hükmü gibi sunulmaktan çıkarılmıştır: Maddi zenginlik ve mutluluk cümlesi bir forum etkinliğindeki internet kullanıcısı görüşü olarak, “dünyanın kaderi” sözü Xi Jinping’in 2014 tarihli röportajından aktarılan bir söz olarak, 《礼记·礼运》 pasajı dersin açılışı değil bir “İlgili Bağlantı” kutusu olarak verilmiştir.</w:t>
      </w:r>
    </w:p>
    <w:p>
      <w:pPr>
        <w:spacing w:after="40" w:before="40" w:line="300"/>
        <w:ind w:left="567" w:hanging="227"/>
        <w:jc w:val="both"/>
      </w:pPr>
      <w:r>
        <w:rPr>
          <w:rFonts w:ascii="Times New Roman" w:cs="Times New Roman" w:eastAsia="Times New Roman" w:hAnsi="Times New Roman"/>
          <w:sz w:val="20"/>
          <w:szCs w:val="20"/>
        </w:rPr>
        <w:t xml:space="preserve">– </w:t>
      </w:r>
      <w:r>
        <w:rPr>
          <w:rFonts w:ascii="Times New Roman" w:cs="Times New Roman" w:eastAsia="Times New Roman" w:hAnsi="Times New Roman"/>
          <w:b w:val="false"/>
          <w:bCs w:val="false"/>
          <w:i w:val="false"/>
          <w:iCs w:val="false"/>
          <w:sz w:val="20"/>
          <w:szCs w:val="20"/>
        </w:rPr>
        <w:t xml:space="preserve">Bağlamın ötesine geçen yorumlar daraltılmıştır: Wu Mengchao’ya ilişkin “seküler ölümsüzleşme” yorumu çıkarılmıştır (adlandırma 2010’da, Wu hayattayken ve bir yenilik dersi içinde verilir). Tao Yuanming şiirinin “insan ile doğanın uyumu” başlığı altında okutulduğu belirtilmiştir. “Temellendirilmeden” ifadesi yerine kitabın sunduğu millî ve tarihî farklılık gerekçesi yazılmıştır. “Kültür geni” yorumuna kitabın uygulama vurgusu eklenmiştir. “İbadete yer verilmez” hükmü Mazu pasajı ve 2010 Yushu depremi için “bereket dileme” bilgisiyle sınırlandırılmıştır. Hayatın anlamına verilen cevapların bireysel gelişimi de içerdiği eklenmiştir.</w:t>
      </w:r>
    </w:p>
    <w:p>
      <w:pPr>
        <w:spacing w:after="40" w:before="40" w:line="300"/>
        <w:ind w:left="567" w:hanging="227"/>
        <w:jc w:val="both"/>
      </w:pPr>
      <w:r>
        <w:rPr>
          <w:rFonts w:ascii="Times New Roman" w:cs="Times New Roman" w:eastAsia="Times New Roman" w:hAnsi="Times New Roman"/>
          <w:sz w:val="20"/>
          <w:szCs w:val="20"/>
        </w:rPr>
        <w:t xml:space="preserve">– </w:t>
      </w:r>
      <w:r>
        <w:rPr>
          <w:rFonts w:ascii="Times New Roman" w:cs="Times New Roman" w:eastAsia="Times New Roman" w:hAnsi="Times New Roman"/>
          <w:b w:val="false"/>
          <w:bCs w:val="false"/>
          <w:i w:val="false"/>
          <w:iCs w:val="false"/>
          <w:sz w:val="20"/>
          <w:szCs w:val="20"/>
        </w:rPr>
        <w:t xml:space="preserve">Çeviri düzeltmeleri: 自觉遵守者 “bilinçli riayet eden”, 注定…必然坚守 “kaçınılmaz kıldığı”, 社会主义建设者 “inşacısı”, 民族团结 “etnik gruplar (milletler) arasındaki birlik”, 社稷 “(yani devlet)”, 自信 “özgüven”, 牺牲 “şehit düşmek”. 《礼记》 sözünün ikinci yarısı ile 文明古国 cümlesindeki “kalkınma” ve “giderek daha önemli rol” unsurları eklenmiştir.</w:t>
      </w:r>
    </w:p>
    <w:p>
      <w:pPr>
        <w:spacing w:after="40" w:before="40" w:line="300"/>
        <w:ind w:left="567" w:hanging="227"/>
        <w:jc w:val="both"/>
      </w:pPr>
      <w:r>
        <w:rPr>
          <w:rFonts w:ascii="Times New Roman" w:cs="Times New Roman" w:eastAsia="Times New Roman" w:hAnsi="Times New Roman"/>
          <w:sz w:val="20"/>
          <w:szCs w:val="20"/>
        </w:rPr>
        <w:t xml:space="preserve">– </w:t>
      </w:r>
      <w:r>
        <w:rPr>
          <w:rFonts w:ascii="Times New Roman" w:cs="Times New Roman" w:eastAsia="Times New Roman" w:hAnsi="Times New Roman"/>
          <w:b w:val="false"/>
          <w:bCs w:val="false"/>
          <w:i w:val="false"/>
          <w:iCs w:val="false"/>
          <w:sz w:val="20"/>
          <w:szCs w:val="20"/>
        </w:rPr>
        <w:t xml:space="preserve">Sayım ifadeleri netleştirilmiştir: Üst ciltteki 141 法治 geçişinin 134’ü ikinci ünitededir; alt ciltte 人类命运共同体 akan metinde dokuz kez geçer, onuncu geçiş bir ders başlığıdır.</w:t>
      </w:r>
    </w:p>
    <w:p>
      <w:pPr>
        <w:spacing w:after="40" w:before="40" w:line="300"/>
        <w:ind w:left="567" w:hanging="227"/>
        <w:jc w:val="both"/>
      </w:pPr>
      <w:r>
        <w:rPr>
          <w:rFonts w:ascii="Times New Roman" w:cs="Times New Roman" w:eastAsia="Times New Roman" w:hAnsi="Times New Roman"/>
          <w:sz w:val="20"/>
          <w:szCs w:val="20"/>
        </w:rPr>
        <w:t xml:space="preserve">– </w:t>
      </w:r>
      <w:r>
        <w:rPr>
          <w:rFonts w:ascii="Times New Roman" w:cs="Times New Roman" w:eastAsia="Times New Roman" w:hAnsi="Times New Roman"/>
          <w:b w:val="false"/>
          <w:bCs w:val="false"/>
          <w:i w:val="false"/>
          <w:iCs w:val="false"/>
          <w:sz w:val="20"/>
          <w:szCs w:val="20"/>
        </w:rPr>
        <w:t xml:space="preserve">Alt cildin 2022 basımı 2020 ve 2021 yıllarına ait veriler içerdiğinden kaynakçaya basım bilgisi eklenmiş ve Veri Kaynağı bölümünde belirtilmiştir.</w:t>
      </w:r>
    </w:p>
    <w:p>
      <w:pPr>
        <w:spacing w:after="40" w:before="40" w:line="300"/>
        <w:ind w:left="567" w:hanging="227"/>
        <w:jc w:val="both"/>
      </w:pPr>
      <w:r>
        <w:rPr>
          <w:rFonts w:ascii="Times New Roman" w:cs="Times New Roman" w:eastAsia="Times New Roman" w:hAnsi="Times New Roman"/>
          <w:sz w:val="20"/>
          <w:szCs w:val="20"/>
        </w:rPr>
        <w:t xml:space="preserve">– </w:t>
      </w:r>
      <w:r>
        <w:rPr>
          <w:rFonts w:ascii="Times New Roman" w:cs="Times New Roman" w:eastAsia="Times New Roman" w:hAnsi="Times New Roman"/>
          <w:b w:val="false"/>
          <w:bCs w:val="false"/>
          <w:i w:val="false"/>
          <w:iCs w:val="false"/>
          <w:sz w:val="20"/>
          <w:szCs w:val="20"/>
        </w:rPr>
        <w:t xml:space="preserve">“Soruların çoğu yönlendirilmiştir” ifadesi nicel olarak sınanmadığı için “incelenen örneklerde çoğu zaman” biçiminde yumuşatılmıştır.</w:t>
      </w:r>
    </w:p>
    <w:p>
      <w:pPr>
        <w:spacing w:after="120" w:before="120" w:line="360"/>
      </w:pPr>
      <w:r>
        <w:rPr>
          <w:rFonts w:ascii="Times New Roman" w:cs="Times New Roman" w:eastAsia="Times New Roman" w:hAnsi="Times New Roman"/>
          <w:b/>
          <w:bCs/>
          <w:i w:val="false"/>
          <w:iCs w:val="false"/>
          <w:sz w:val="24"/>
          <w:szCs w:val="24"/>
        </w:rPr>
        <w:t xml:space="preserve">Mevcudiyet, Sıhhat ve Münasebet Denetimi</w:t>
      </w:r>
    </w:p>
    <w:p>
      <w:pPr>
        <w:spacing w:after="60" w:before="60" w:line="300"/>
        <w:jc w:val="both"/>
      </w:pPr>
      <w:r>
        <w:rPr>
          <w:rFonts w:ascii="Times New Roman" w:cs="Times New Roman" w:eastAsia="Times New Roman" w:hAnsi="Times New Roman"/>
          <w:b w:val="false"/>
          <w:bCs w:val="false"/>
          <w:i w:val="false"/>
          <w:iCs w:val="false"/>
          <w:sz w:val="20"/>
          <w:szCs w:val="20"/>
        </w:rPr>
        <w:t xml:space="preserve">Son aşamada her kaynak üç ölçütle yeniden sınanmıştır. Mevcudiyet: Eserin dosyası sağlanan klasörde bulunmalı, atıf yapılan pasaj belirtilen sayfada birebir yer almalı ve künyenin aslî unsurları (yazar, yıl, başlık, yayın yeri) belgenin üzerinde görülebilmelidir. Sıhhat: Makaledeki cümle kaynağı aslına uygun yansıtmalı ve pasaj eser sahibinin kendi görüşü olmalıdır. Münasebet: Atıf, makalenin sorusuyla doğrudan ilgili bir iddiayı desteklemelidir. Bu denetimden geçmeyen kaynaklar ve onlara bağlı cümleler metinden ve kaynakçadan çıkarılmıştır:</w:t>
      </w:r>
    </w:p>
    <w:p>
      <w:pPr>
        <w:spacing w:after="40" w:before="40" w:line="300"/>
        <w:ind w:left="567" w:hanging="227"/>
        <w:jc w:val="both"/>
      </w:pPr>
      <w:r>
        <w:rPr>
          <w:rFonts w:ascii="Times New Roman" w:cs="Times New Roman" w:eastAsia="Times New Roman" w:hAnsi="Times New Roman"/>
          <w:sz w:val="20"/>
          <w:szCs w:val="20"/>
        </w:rPr>
        <w:t xml:space="preserve">– </w:t>
      </w:r>
      <w:r>
        <w:rPr>
          <w:rFonts w:ascii="Times New Roman" w:cs="Times New Roman" w:eastAsia="Times New Roman" w:hAnsi="Times New Roman"/>
          <w:b w:val="false"/>
          <w:bCs w:val="false"/>
          <w:i w:val="false"/>
          <w:iCs w:val="false"/>
          <w:sz w:val="20"/>
          <w:szCs w:val="20"/>
        </w:rPr>
        <w:t xml:space="preserve">Tanrısevdi ve Kıral: yayın yılı belgenin hiçbir yerinde görülmüyor (yalnızca Aralık 2018 gönderim ve kabul tarihleri var). Mevcudiyet ölçütünden geçmedi. Giriş’teki “kendi ideolojik düşünceleri doğrultusunda insan yetiştirme” cümlesi ile Tartışma’daki “başka ülkenin sistemini kopyalama” uyarısı çıkarıldı.</w:t>
      </w:r>
    </w:p>
    <w:p>
      <w:pPr>
        <w:spacing w:after="40" w:before="40" w:line="300"/>
        <w:ind w:left="567" w:hanging="227"/>
        <w:jc w:val="both"/>
      </w:pPr>
      <w:r>
        <w:rPr>
          <w:rFonts w:ascii="Times New Roman" w:cs="Times New Roman" w:eastAsia="Times New Roman" w:hAnsi="Times New Roman"/>
          <w:sz w:val="20"/>
          <w:szCs w:val="20"/>
        </w:rPr>
        <w:t xml:space="preserve">– </w:t>
      </w:r>
      <w:r>
        <w:rPr>
          <w:rFonts w:ascii="Times New Roman" w:cs="Times New Roman" w:eastAsia="Times New Roman" w:hAnsi="Times New Roman"/>
          <w:b w:val="false"/>
          <w:bCs w:val="false"/>
          <w:i w:val="false"/>
          <w:iCs w:val="false"/>
          <w:sz w:val="20"/>
          <w:szCs w:val="20"/>
        </w:rPr>
        <w:t xml:space="preserve">Yeniacun: yayın yılı belgede görülmüyor. Mevcudiyet ölçütünden geçmedi. “İdeolojik normların eğitim sistemine yerleştirilmesi” cümlesi çıkarıldı.</w:t>
      </w:r>
    </w:p>
    <w:p>
      <w:pPr>
        <w:spacing w:after="40" w:before="40" w:line="300"/>
        <w:ind w:left="567" w:hanging="227"/>
        <w:jc w:val="both"/>
      </w:pPr>
      <w:r>
        <w:rPr>
          <w:rFonts w:ascii="Times New Roman" w:cs="Times New Roman" w:eastAsia="Times New Roman" w:hAnsi="Times New Roman"/>
          <w:sz w:val="20"/>
          <w:szCs w:val="20"/>
        </w:rPr>
        <w:t xml:space="preserve">– </w:t>
      </w:r>
      <w:r>
        <w:rPr>
          <w:rFonts w:ascii="Times New Roman" w:cs="Times New Roman" w:eastAsia="Times New Roman" w:hAnsi="Times New Roman"/>
          <w:b w:val="false"/>
          <w:bCs w:val="false"/>
          <w:i w:val="false"/>
          <w:iCs w:val="false"/>
          <w:sz w:val="20"/>
          <w:szCs w:val="20"/>
        </w:rPr>
        <w:t xml:space="preserve">Gao (Gao Desheng): belge yeniden dizilmiş bir kopya; yıl ve sayfa görülmüyor. Mevcudiyet ölçütünden geçmedi. “İkna etmeye dayanan eğitim tutumu” ve “ahlak eğitiminin yabancılaşması” cümleleri çıkarıldı.</w:t>
      </w:r>
    </w:p>
    <w:p>
      <w:pPr>
        <w:spacing w:after="40" w:before="40" w:line="300"/>
        <w:ind w:left="567" w:hanging="227"/>
        <w:jc w:val="both"/>
      </w:pPr>
      <w:r>
        <w:rPr>
          <w:rFonts w:ascii="Times New Roman" w:cs="Times New Roman" w:eastAsia="Times New Roman" w:hAnsi="Times New Roman"/>
          <w:sz w:val="20"/>
          <w:szCs w:val="20"/>
        </w:rPr>
        <w:t xml:space="preserve">– </w:t>
      </w:r>
      <w:r>
        <w:rPr>
          <w:rFonts w:ascii="Times New Roman" w:cs="Times New Roman" w:eastAsia="Times New Roman" w:hAnsi="Times New Roman"/>
          <w:b w:val="false"/>
          <w:bCs w:val="false"/>
          <w:i w:val="false"/>
          <w:iCs w:val="false"/>
          <w:sz w:val="20"/>
          <w:szCs w:val="20"/>
        </w:rPr>
        <w:t xml:space="preserve">J. Zhang (Zhang Juanfeng): dergi adı, yıl, cilt ve sayı görülmüyor; belge görüntü PDF’i. Mevcudiyet ölçütünden geçmedi. Klasik vecizelerin “ölçülü” ele alınmasına ilişkin cümleler çıkarıldı.</w:t>
      </w:r>
    </w:p>
    <w:p>
      <w:pPr>
        <w:spacing w:after="40" w:before="40" w:line="300"/>
        <w:ind w:left="567" w:hanging="227"/>
        <w:jc w:val="both"/>
      </w:pPr>
      <w:r>
        <w:rPr>
          <w:rFonts w:ascii="Times New Roman" w:cs="Times New Roman" w:eastAsia="Times New Roman" w:hAnsi="Times New Roman"/>
          <w:sz w:val="20"/>
          <w:szCs w:val="20"/>
        </w:rPr>
        <w:t xml:space="preserve">– </w:t>
      </w:r>
      <w:r>
        <w:rPr>
          <w:rFonts w:ascii="Times New Roman" w:cs="Times New Roman" w:eastAsia="Times New Roman" w:hAnsi="Times New Roman"/>
          <w:b w:val="false"/>
          <w:bCs w:val="false"/>
          <w:i w:val="false"/>
          <w:iCs w:val="false"/>
          <w:sz w:val="20"/>
          <w:szCs w:val="20"/>
        </w:rPr>
        <w:t xml:space="preserve">Karacadagli: “Çin’de inananların büyük kısmı azınlık milletlere mensuptur” ifadesi tezde kaynaksız verilmiş ve doğrulanamıyor. Sıhhat ölçütünden geçmedi. İlgili cümleler çıkarıldı; kitabın dini azınlıkların farklılığı olarak konumlandırdığı tespiti kitabın kendi verisine dayandığı için kaldı.</w:t>
      </w:r>
    </w:p>
    <w:p>
      <w:pPr>
        <w:spacing w:after="40" w:before="40" w:line="300"/>
        <w:ind w:left="567" w:hanging="227"/>
        <w:jc w:val="both"/>
      </w:pPr>
      <w:r>
        <w:rPr>
          <w:rFonts w:ascii="Times New Roman" w:cs="Times New Roman" w:eastAsia="Times New Roman" w:hAnsi="Times New Roman"/>
          <w:sz w:val="20"/>
          <w:szCs w:val="20"/>
        </w:rPr>
        <w:t xml:space="preserve">– </w:t>
      </w:r>
      <w:r>
        <w:rPr>
          <w:rFonts w:ascii="Times New Roman" w:cs="Times New Roman" w:eastAsia="Times New Roman" w:hAnsi="Times New Roman"/>
          <w:b w:val="false"/>
          <w:bCs w:val="false"/>
          <w:i w:val="false"/>
          <w:iCs w:val="false"/>
          <w:sz w:val="20"/>
          <w:szCs w:val="20"/>
        </w:rPr>
        <w:t xml:space="preserve">Işık: Nasrettin Hoca ve Afanti fıkralarına ilişkin tespit, ders kitabı incelemesiyle doğrudan ilgili değildir. Münasebet ölçütünden geçmedi; cümle çıkarıldı.</w:t>
      </w:r>
    </w:p>
    <w:p>
      <w:pPr>
        <w:spacing w:after="40" w:before="40" w:line="300"/>
        <w:ind w:left="567" w:hanging="227"/>
        <w:jc w:val="both"/>
      </w:pPr>
      <w:r>
        <w:rPr>
          <w:rFonts w:ascii="Times New Roman" w:cs="Times New Roman" w:eastAsia="Times New Roman" w:hAnsi="Times New Roman"/>
          <w:sz w:val="20"/>
          <w:szCs w:val="20"/>
        </w:rPr>
        <w:t xml:space="preserve">– </w:t>
      </w:r>
      <w:r>
        <w:rPr>
          <w:rFonts w:ascii="Times New Roman" w:cs="Times New Roman" w:eastAsia="Times New Roman" w:hAnsi="Times New Roman"/>
          <w:b w:val="false"/>
          <w:bCs w:val="false"/>
          <w:i w:val="false"/>
          <w:iCs w:val="false"/>
          <w:sz w:val="20"/>
          <w:szCs w:val="20"/>
        </w:rPr>
        <w:t xml:space="preserve">Önceki denetimde çıkarılmış olan Liao ve Liu (2016 bakanlık düzenlemesinin aktarımı), Parlakyiğit (paragraf sonundaki dipnotun kapsamı belirsiz) ve Aksoy (Rezepa 2025’ten aktarılmış olabilir) kaynakçada yer almamaktadır.</w:t>
      </w:r>
    </w:p>
    <w:p>
      <w:pPr>
        <w:spacing w:after="60" w:before="60" w:line="300"/>
        <w:jc w:val="both"/>
      </w:pPr>
      <w:r>
        <w:rPr>
          <w:rFonts w:ascii="Times New Roman" w:cs="Times New Roman" w:eastAsia="Times New Roman" w:hAnsi="Times New Roman"/>
          <w:b w:val="false"/>
          <w:bCs w:val="false"/>
          <w:i w:val="false"/>
          <w:iCs w:val="false"/>
          <w:sz w:val="20"/>
          <w:szCs w:val="20"/>
        </w:rPr>
        <w:t xml:space="preserve">Kalan 21 kaynak (iki ders kitabı ve 19 eser) üç ölçütten de geçmiştir. Dikkat edilmesi gereken noktalar: Sun (2019) için yıl, dergi adı ve sayı belgede görülüyor, sayfa aralığı ise görülmüyor; bu yüzden metin içinde APA 7’nin aktarma atıflarında izin verdiği biçimde sayfasız atıf yapılmış, kaynakçada sayfa aralığı verilmemiştir. Tuncer (2021) için sayfa altlarındaki numaralar (2262–2272) esas alınmıştır; makalenin kendi atıf satırı 2268–2278 demektedir, dergiden teyit ediniz. Adilijiang (2019) için kapakta “AIERKEN ADILIJIANG” yazmaktadır; Türk tezlerindeki ad-soyad sırası esas alınarak soyadı Adilijiang kabul edilmiştir. Coşkun ve Çelikten (2020, s. 2987, 3004), Aimaiti (2023, s. 97), Kişi (2021, s. 87) ve Li ve Li (2022, s. 8) atıfları, eser sahibinin bir belgeye ya da başka bir esere dayanarak vardığı kendi değerlendirmeleridir; metinde bu nitelikleriyle sunulmuştur.</w:t>
      </w:r>
    </w:p>
    <w:p>
      <w:pPr>
        <w:spacing w:after="120" w:before="120" w:line="360"/>
      </w:pPr>
      <w:r>
        <w:rPr>
          <w:rFonts w:ascii="Times New Roman" w:cs="Times New Roman" w:eastAsia="Times New Roman" w:hAnsi="Times New Roman"/>
          <w:b/>
          <w:bCs/>
          <w:i w:val="false"/>
          <w:iCs w:val="false"/>
          <w:sz w:val="24"/>
          <w:szCs w:val="24"/>
        </w:rPr>
        <w:t xml:space="preserve">Çince Karakterlerin Kaldırılması</w:t>
      </w:r>
    </w:p>
    <w:p>
      <w:pPr>
        <w:spacing w:after="60" w:before="60" w:line="300"/>
        <w:jc w:val="both"/>
      </w:pPr>
      <w:r>
        <w:rPr>
          <w:rFonts w:ascii="Times New Roman" w:cs="Times New Roman" w:eastAsia="Times New Roman" w:hAnsi="Times New Roman"/>
          <w:b w:val="false"/>
          <w:bCs w:val="false"/>
          <w:i w:val="false"/>
          <w:iCs w:val="false"/>
          <w:sz w:val="20"/>
          <w:szCs w:val="20"/>
        </w:rPr>
        <w:t xml:space="preserve">Temiz metindeki bütün Çince kavram, eser, kişi ve kurum adları pinyin harf çevirisiyle verilmiştir (ör. Daode yu Fazhi, Lunyu, Liji, Zhonghua Shijitan Xu, Renmin Jiaoyu Chubanshe). Harf çevirileri tarafımdan yapılmıştır; Çince künyelerdeki yazar ve dergi adlarının pinyin yazımı da bana aittir. Metinde doğrudan aktarılan Çince cümlelerin Türkçe karşılıkları araştırmacıya ait sayıldığından, Yöntem bölümünde bu durum belirtilmiştir. Kontrol nüshasındaki özgün Çince pasajlar yalnızca doğrulama içindir.</w:t>
      </w:r>
    </w:p>
    <w:p>
      <w:pPr>
        <w:spacing w:after="120" w:before="120" w:line="360"/>
      </w:pPr>
      <w:r>
        <w:rPr>
          <w:rFonts w:ascii="Times New Roman" w:cs="Times New Roman" w:eastAsia="Times New Roman" w:hAnsi="Times New Roman"/>
          <w:b/>
          <w:bCs/>
          <w:i w:val="false"/>
          <w:iCs w:val="false"/>
          <w:sz w:val="24"/>
          <w:szCs w:val="24"/>
        </w:rPr>
        <w:t xml:space="preserve">Gönderimden Önce Son Kontroller</w:t>
      </w:r>
    </w:p>
    <w:p>
      <w:pPr>
        <w:spacing w:after="40" w:before="40" w:line="300"/>
        <w:ind w:left="567" w:hanging="227"/>
        <w:jc w:val="both"/>
      </w:pPr>
      <w:r>
        <w:rPr>
          <w:rFonts w:ascii="Times New Roman" w:cs="Times New Roman" w:eastAsia="Times New Roman" w:hAnsi="Times New Roman"/>
          <w:sz w:val="20"/>
          <w:szCs w:val="20"/>
        </w:rPr>
        <w:t xml:space="preserve">– </w:t>
      </w:r>
      <w:r>
        <w:rPr>
          <w:rFonts w:ascii="Times New Roman" w:cs="Times New Roman" w:eastAsia="Times New Roman" w:hAnsi="Times New Roman"/>
          <w:b w:val="false"/>
          <w:bCs w:val="false"/>
          <w:i w:val="false"/>
          <w:iCs w:val="false"/>
          <w:sz w:val="20"/>
          <w:szCs w:val="20"/>
        </w:rPr>
        <w:t xml:space="preserve">Dergi, yazar adlarının makale dosyasında yer almamasını istediği için metinde yazar bilgisi, ORCID ve kurum bilgisi yoktur; bunlar derginin ayrı yazar formuna girilmelidir. Çalışma bir tez, proje ya da bildiriden üretilmişse başlığa dipnotla eklenmelidir.</w:t>
      </w:r>
    </w:p>
    <w:p>
      <w:pPr>
        <w:spacing w:after="40" w:before="40" w:line="300"/>
        <w:ind w:left="567" w:hanging="227"/>
        <w:jc w:val="both"/>
      </w:pPr>
      <w:r>
        <w:rPr>
          <w:rFonts w:ascii="Times New Roman" w:cs="Times New Roman" w:eastAsia="Times New Roman" w:hAnsi="Times New Roman"/>
          <w:sz w:val="20"/>
          <w:szCs w:val="20"/>
        </w:rPr>
        <w:t xml:space="preserve">– </w:t>
      </w:r>
      <w:r>
        <w:rPr>
          <w:rFonts w:ascii="Times New Roman" w:cs="Times New Roman" w:eastAsia="Times New Roman" w:hAnsi="Times New Roman"/>
          <w:b w:val="false"/>
          <w:bCs w:val="false"/>
          <w:i w:val="false"/>
          <w:iCs w:val="false"/>
          <w:sz w:val="20"/>
          <w:szCs w:val="20"/>
        </w:rPr>
        <w:t xml:space="preserve">Yöntem bölümünde doküman incelemesi ve içerik analizi kaynak gösterilmeden tanımlanmıştır; sağlanan belgelerde yöntem kaynağı bulunmadığı için eklenmemiştir. Hakemler yöntem kaynağı isterse uygun bir kaynak ekleyebilirsiniz.</w:t>
      </w:r>
    </w:p>
    <w:p>
      <w:pPr>
        <w:spacing w:after="40" w:before="40" w:line="300"/>
        <w:ind w:left="567" w:hanging="227"/>
        <w:jc w:val="both"/>
      </w:pPr>
      <w:r>
        <w:rPr>
          <w:rFonts w:ascii="Times New Roman" w:cs="Times New Roman" w:eastAsia="Times New Roman" w:hAnsi="Times New Roman"/>
          <w:sz w:val="20"/>
          <w:szCs w:val="20"/>
        </w:rPr>
        <w:t xml:space="preserve">– </w:t>
      </w:r>
      <w:r>
        <w:rPr>
          <w:rFonts w:ascii="Times New Roman" w:cs="Times New Roman" w:eastAsia="Times New Roman" w:hAnsi="Times New Roman"/>
          <w:b w:val="false"/>
          <w:bCs w:val="false"/>
          <w:i w:val="false"/>
          <w:iCs w:val="false"/>
          <w:sz w:val="20"/>
          <w:szCs w:val="20"/>
        </w:rPr>
        <w:t xml:space="preserve">Türkiye karşılaştırmasında Din Kültürü ve Ahlak Bilgisi dersine ilişkin cümle, dersin adından hareketle ve kaynak gösterilmeden kurulmuştur; MEB öğretim programına atıf eklenmesi metni güçlendirir.</w:t>
      </w:r>
    </w:p>
    <w:p>
      <w:pPr>
        <w:spacing w:after="40" w:before="40" w:line="300"/>
        <w:ind w:left="567" w:hanging="227"/>
        <w:jc w:val="both"/>
      </w:pPr>
      <w:r>
        <w:rPr>
          <w:rFonts w:ascii="Times New Roman" w:cs="Times New Roman" w:eastAsia="Times New Roman" w:hAnsi="Times New Roman"/>
          <w:sz w:val="20"/>
          <w:szCs w:val="20"/>
        </w:rPr>
        <w:t xml:space="preserve">– </w:t>
      </w:r>
      <w:r>
        <w:rPr>
          <w:rFonts w:ascii="Times New Roman" w:cs="Times New Roman" w:eastAsia="Times New Roman" w:hAnsi="Times New Roman"/>
          <w:b w:val="false"/>
          <w:bCs w:val="false"/>
          <w:i w:val="false"/>
          <w:iCs w:val="false"/>
          <w:sz w:val="20"/>
          <w:szCs w:val="20"/>
        </w:rPr>
        <w:t xml:space="preserve">Çince pasajların Türkçe karşılıkları ve pinyin yazımları sizin tarafınızdan gözden geçirilmelidir; kontrol bloklarındaki “yardımcı Türkçe karşılık” ibaresini taşıyan çeviriler de yapay zekâ çevirisidir.</w:t>
      </w:r>
    </w:p>
    <w:p>
      <w:pPr>
        <w:spacing w:after="120" w:before="120" w:line="360"/>
      </w:pPr>
      <w:r>
        <w:rPr>
          <w:rFonts w:ascii="Times New Roman" w:cs="Times New Roman" w:eastAsia="Times New Roman" w:hAnsi="Times New Roman"/>
          <w:b/>
          <w:bCs/>
          <w:i w:val="false"/>
          <w:iCs w:val="false"/>
          <w:sz w:val="24"/>
          <w:szCs w:val="24"/>
        </w:rPr>
        <w:t xml:space="preserve">Dergi Kurallarına İlişkin Notlar</w:t>
      </w:r>
    </w:p>
    <w:p>
      <w:pPr>
        <w:spacing w:after="40" w:before="40" w:line="300"/>
        <w:ind w:left="567" w:hanging="227"/>
        <w:jc w:val="both"/>
      </w:pPr>
      <w:r>
        <w:rPr>
          <w:rFonts w:ascii="Times New Roman" w:cs="Times New Roman" w:eastAsia="Times New Roman" w:hAnsi="Times New Roman"/>
          <w:sz w:val="20"/>
          <w:szCs w:val="20"/>
        </w:rPr>
        <w:t xml:space="preserve">– </w:t>
      </w:r>
      <w:r>
        <w:rPr>
          <w:rFonts w:ascii="Times New Roman" w:cs="Times New Roman" w:eastAsia="Times New Roman" w:hAnsi="Times New Roman"/>
          <w:b w:val="false"/>
          <w:bCs w:val="false"/>
          <w:i w:val="false"/>
          <w:iCs w:val="false"/>
          <w:sz w:val="20"/>
          <w:szCs w:val="20"/>
        </w:rPr>
        <w:t xml:space="preserve">Ana metin (Giriş, Yöntem, Bulgular, Tartışma) yaklaşık 5.450 kelime, İngilizce genişletilmiş özet yaklaşık 1.495 kelimedir (atıflar dâhil); dergi sınırı kaynakça ve öz hariç 8.000 kelime, genişletilmiş özet için 1.500 kelimedir.</w:t>
      </w:r>
    </w:p>
    <w:p>
      <w:pPr>
        <w:spacing w:after="40" w:before="40" w:line="300"/>
        <w:ind w:left="567" w:hanging="227"/>
        <w:jc w:val="both"/>
      </w:pPr>
      <w:r>
        <w:rPr>
          <w:rFonts w:ascii="Times New Roman" w:cs="Times New Roman" w:eastAsia="Times New Roman" w:hAnsi="Times New Roman"/>
          <w:sz w:val="20"/>
          <w:szCs w:val="20"/>
        </w:rPr>
        <w:t xml:space="preserve">– </w:t>
      </w:r>
      <w:r>
        <w:rPr>
          <w:rFonts w:ascii="Times New Roman" w:cs="Times New Roman" w:eastAsia="Times New Roman" w:hAnsi="Times New Roman"/>
          <w:b w:val="false"/>
          <w:bCs w:val="false"/>
          <w:i w:val="false"/>
          <w:iCs w:val="false"/>
          <w:sz w:val="20"/>
          <w:szCs w:val="20"/>
        </w:rPr>
        <w:t xml:space="preserve">Öz 201, Abstract 199 kelimedir (dergi 200 kelime istemektedir).</w:t>
      </w:r>
    </w:p>
    <w:p>
      <w:pPr>
        <w:spacing w:after="40" w:before="40" w:line="300"/>
        <w:ind w:left="567" w:hanging="227"/>
        <w:jc w:val="both"/>
      </w:pPr>
      <w:r>
        <w:rPr>
          <w:rFonts w:ascii="Times New Roman" w:cs="Times New Roman" w:eastAsia="Times New Roman" w:hAnsi="Times New Roman"/>
          <w:sz w:val="20"/>
          <w:szCs w:val="20"/>
        </w:rPr>
        <w:t xml:space="preserve">– </w:t>
      </w:r>
      <w:r>
        <w:rPr>
          <w:rFonts w:ascii="Times New Roman" w:cs="Times New Roman" w:eastAsia="Times New Roman" w:hAnsi="Times New Roman"/>
          <w:b w:val="false"/>
          <w:bCs w:val="false"/>
          <w:i w:val="false"/>
          <w:iCs w:val="false"/>
          <w:sz w:val="20"/>
          <w:szCs w:val="20"/>
        </w:rPr>
        <w:t xml:space="preserve">İngilizce genişletilmiş özet kaynakçadan sonra yerleştirilmiştir; derginin şablonunda farklı bir yer öngörülüyorsa taşınmalıdır.</w:t>
      </w:r>
    </w:p>
    <w:p>
      <w:pPr>
        <w:spacing w:after="40" w:before="40" w:line="300"/>
        <w:ind w:left="567" w:hanging="227"/>
        <w:jc w:val="both"/>
      </w:pPr>
      <w:r>
        <w:rPr>
          <w:rFonts w:ascii="Times New Roman" w:cs="Times New Roman" w:eastAsia="Times New Roman" w:hAnsi="Times New Roman"/>
          <w:sz w:val="20"/>
          <w:szCs w:val="20"/>
        </w:rPr>
        <w:t xml:space="preserve">– </w:t>
      </w:r>
      <w:r>
        <w:rPr>
          <w:rFonts w:ascii="Times New Roman" w:cs="Times New Roman" w:eastAsia="Times New Roman" w:hAnsi="Times New Roman"/>
          <w:b w:val="false"/>
          <w:bCs w:val="false"/>
          <w:i w:val="false"/>
          <w:iCs w:val="false"/>
          <w:sz w:val="20"/>
          <w:szCs w:val="20"/>
        </w:rPr>
        <w:t xml:space="preserve">Tablolar dergi kuralına uygun olarak başlığı ilk hücreye yazılmış, tek satır aralıklı ve 10 punto hazırlanmıştır; derginin ayrı tablo şablonu (journal-file/13059) ağ kısıtı nedeniyle indirilemediği için şablonla karşılaştırılmalıdır.</w:t>
      </w:r>
    </w:p>
    <w:p>
      <w:pPr>
        <w:spacing w:after="40" w:before="40" w:line="300"/>
        <w:ind w:left="567" w:hanging="227"/>
        <w:jc w:val="both"/>
      </w:pPr>
      <w:r>
        <w:rPr>
          <w:rFonts w:ascii="Times New Roman" w:cs="Times New Roman" w:eastAsia="Times New Roman" w:hAnsi="Times New Roman"/>
          <w:sz w:val="20"/>
          <w:szCs w:val="20"/>
        </w:rPr>
        <w:t xml:space="preserve">– </w:t>
      </w:r>
      <w:r>
        <w:rPr>
          <w:rFonts w:ascii="Times New Roman" w:cs="Times New Roman" w:eastAsia="Times New Roman" w:hAnsi="Times New Roman"/>
          <w:b w:val="false"/>
          <w:bCs w:val="false"/>
          <w:i w:val="false"/>
          <w:iCs w:val="false"/>
          <w:sz w:val="20"/>
          <w:szCs w:val="20"/>
        </w:rPr>
        <w:t xml:space="preserve">Kaynakça yalnızca metinde atıf yapılan eserlerden otomatik olarak üretilmiştir; metindeki her atfın kaynakçada, kaynakçadaki her eserin metinde karşılığı vardır.</w:t>
      </w:r>
    </w:p>
    <w:p>
      <w:r>
        <w:br w:type="page"/>
      </w:r>
    </w:p>
    <w:p>
      <w:pPr>
        <w:spacing w:after="120" w:before="120" w:line="360"/>
        <w:jc w:val="center"/>
      </w:pPr>
      <w:r>
        <w:rPr>
          <w:rFonts w:ascii="Times New Roman" w:cs="Times New Roman" w:eastAsia="Times New Roman" w:hAnsi="Times New Roman"/>
          <w:b/>
          <w:bCs/>
          <w:i w:val="false"/>
          <w:iCs w:val="false"/>
          <w:sz w:val="24"/>
          <w:szCs w:val="24"/>
        </w:rPr>
        <w:t xml:space="preserve">Çin Eğitim Sisteminde Ahlak ve Hukuk Eğitimi: 9. Sınıf Ders Kitaplarının İçerik Analizi</w:t>
      </w:r>
    </w:p>
    <w:p>
      <w:pPr>
        <w:spacing w:after="120" w:before="120" w:line="360"/>
      </w:pPr>
      <w:r>
        <w:rPr>
          <w:rFonts w:ascii="Times New Roman" w:cs="Times New Roman" w:eastAsia="Times New Roman" w:hAnsi="Times New Roman"/>
          <w:b/>
          <w:bCs/>
          <w:i w:val="false"/>
          <w:iCs w:val="false"/>
          <w:sz w:val="20"/>
          <w:szCs w:val="20"/>
        </w:rPr>
        <w:t xml:space="preserve">Öz:</w:t>
      </w:r>
    </w:p>
    <w:p>
      <w:pPr>
        <w:spacing w:after="120" w:before="120" w:line="360"/>
        <w:jc w:val="both"/>
      </w:pPr>
      <w:r>
        <w:rPr>
          <w:rFonts w:ascii="Times New Roman" w:cs="Times New Roman" w:eastAsia="Times New Roman" w:hAnsi="Times New Roman"/>
          <w:b w:val="false"/>
          <w:bCs w:val="false"/>
          <w:i w:val="false"/>
          <w:iCs w:val="false"/>
          <w:sz w:val="20"/>
          <w:szCs w:val="20"/>
        </w:rPr>
        <w:t xml:space="preserve">Bu araştırmanın amacı, Çin Halk Cumhuriyeti’nde zorunlu eğitimin son yılında okutulan 9. sınıf Ahlak ve Hukuk (Daode yu Fazhi) ders kitabının iki cildini değerler eğitimi ve din eğitimi bakış açısıyla incelemektir. Nitel araştırma yaklaşımıyla doküman incelemesine dayanan çalışmada kitabın özgün Çince metni değerler, hukuk ve yurttaşlık, ideolojik çerçeve ile din, inanç ve gelenek kategorileri etrafında içerik analizine tabi tutulmuştur. Bulgular, kitabın ahlakı tarih, millet, Çin Komünist Partisi, anayasa ve seçilerek devralınmış gelenek üzerine kurduğunu ve aşkın bir dayanağa başvurmadığını göstermektedir. Sosyalist çekirdek değerler doğruyu ve yanlışı değerlendirme ölçütü olarak sunulmakta, vatanseverlik Parti ve sosyalizm sevgisiyle özdeşleştirilmektedir. Din kitapta yalnızca üç yerde doğrudan anılmakta; eşitlik, güvenlik ve dinî çatışma bağlamlarında yer almaktadır. Bir halk inancı olan Mazu kültürü ise millî birliğe hizmet eden bir mânevî bağ olarak tanıtılmaktadır. Konfüçyüsçü özdeyişler çoğu zaman kaynağı belirtilmeden ahlaki ve siyasi vecizeler olarak sıkça kullanılmakta, fakat kozmolojik ve ritüel boyutlarından arındırılmaktadır. İnanç, kutsallık, ruh ve kader gibi dinî kavramlar ise hukuk düzenine, millî birliğe ve Çin’e özgü sosyalizme yöneltilmektedir. Son ünitede hayatın anlamı emek ve hizmetle tanımlanmakta, bireyin kaderi milletin kaderine bağlanmaktadır. Çalışma bu örüntünün din eğitimi bakımından bir seküler kutsallaştırma biçimi olarak okunabileceğini tartışmakta, Türkiye ile bir karşılaştırma sunmakta ve ileri araştırmalar için öneriler getirmektedir.</w:t>
      </w:r>
    </w:p>
    <w:p>
      <w:pPr>
        <w:spacing w:after="120" w:before="120" w:line="360"/>
      </w:pPr>
      <w:r>
        <w:rPr>
          <w:rFonts w:ascii="Times New Roman" w:cs="Times New Roman" w:eastAsia="Times New Roman" w:hAnsi="Times New Roman"/>
          <w:b/>
          <w:bCs/>
          <w:sz w:val="20"/>
          <w:szCs w:val="20"/>
        </w:rPr>
        <w:t xml:space="preserve">Anahtar Kelimeler:</w:t>
      </w:r>
      <w:r>
        <w:rPr>
          <w:rFonts w:ascii="Times New Roman" w:cs="Times New Roman" w:eastAsia="Times New Roman" w:hAnsi="Times New Roman"/>
          <w:sz w:val="20"/>
          <w:szCs w:val="20"/>
        </w:rPr>
        <w:t xml:space="preserve"> Değerler eğitimi, din eğitimi, ahlak ve hukuk, ders kitabı, Çin</w:t>
      </w:r>
    </w:p>
    <w:p>
      <w:pPr>
        <w:spacing w:after="120" w:before="360" w:line="360"/>
        <w:jc w:val="center"/>
      </w:pPr>
      <w:r>
        <w:rPr>
          <w:rFonts w:ascii="Times New Roman" w:cs="Times New Roman" w:eastAsia="Times New Roman" w:hAnsi="Times New Roman"/>
          <w:b/>
          <w:bCs/>
          <w:i w:val="false"/>
          <w:iCs w:val="false"/>
          <w:sz w:val="24"/>
          <w:szCs w:val="24"/>
        </w:rPr>
        <w:t xml:space="preserve">Moral and Legal Education in the Chinese Education System: A Content Analysis of Grade 9 Textbooks</w:t>
      </w:r>
    </w:p>
    <w:p>
      <w:pPr>
        <w:spacing w:after="120" w:before="120" w:line="360"/>
      </w:pPr>
      <w:r>
        <w:rPr>
          <w:rFonts w:ascii="Times New Roman" w:cs="Times New Roman" w:eastAsia="Times New Roman" w:hAnsi="Times New Roman"/>
          <w:b/>
          <w:bCs/>
          <w:i w:val="false"/>
          <w:iCs w:val="false"/>
          <w:sz w:val="20"/>
          <w:szCs w:val="20"/>
        </w:rPr>
        <w:t xml:space="preserve">Abstract:</w:t>
      </w:r>
    </w:p>
    <w:p>
      <w:pPr>
        <w:spacing w:after="120" w:before="120" w:line="360"/>
        <w:jc w:val="both"/>
      </w:pPr>
      <w:r>
        <w:rPr>
          <w:rFonts w:ascii="Times New Roman" w:cs="Times New Roman" w:eastAsia="Times New Roman" w:hAnsi="Times New Roman"/>
          <w:b w:val="false"/>
          <w:bCs w:val="false"/>
          <w:i w:val="false"/>
          <w:iCs w:val="false"/>
          <w:sz w:val="20"/>
          <w:szCs w:val="20"/>
        </w:rPr>
        <w:t xml:space="preserve">This study examines the two volumes of the Grade 9 Morality and Rule of Law (Daode yu Fazhi) textbook, used in the final year of compulsory education in China, from the perspectives of values education and religious education. Using document analysis within a qualitative design, the original Chinese text was analysed under four categories: values, law and citizenship, ideological framework, and religion, belief and tradition. The textbook grounds morality in history, the nation, the Communist Party of China, the constitution and a selectively inherited tradition, without recourse to any transcendent foundation. The core socialist values are presented as the standard for judging right and wrong, and patriotism is equated with love for the Party and for socialism. Religion is mentioned directly only three times, in connection with equality, security and conflict, whereas the folk cult of Mazu appears as a spiritual bond serving national unity. Confucian sayings, often unattributed, supply moral and political maxims but are stripped of their cosmological and ritual dimensions. Notions such as belief, sacredness, soul and destiny are redirected towards the legal order, national unity and socialism. The study discusses this pattern as a form of secular sacralisation and offers a brief comparison with Türkiye.</w:t>
      </w:r>
    </w:p>
    <w:p>
      <w:pPr>
        <w:spacing w:after="120" w:before="120" w:line="360"/>
      </w:pPr>
      <w:r>
        <w:rPr>
          <w:rFonts w:ascii="Times New Roman" w:cs="Times New Roman" w:eastAsia="Times New Roman" w:hAnsi="Times New Roman"/>
          <w:b/>
          <w:bCs/>
          <w:sz w:val="20"/>
          <w:szCs w:val="20"/>
        </w:rPr>
        <w:t xml:space="preserve">Keywords:</w:t>
      </w:r>
      <w:r>
        <w:rPr>
          <w:rFonts w:ascii="Times New Roman" w:cs="Times New Roman" w:eastAsia="Times New Roman" w:hAnsi="Times New Roman"/>
          <w:sz w:val="20"/>
          <w:szCs w:val="20"/>
        </w:rPr>
        <w:t xml:space="preserve"> Values education, religious education, morality and rule of law, textbook, China</w:t>
      </w:r>
    </w:p>
    <w:p>
      <w:pPr>
        <w:spacing w:after="120" w:before="240" w:line="360"/>
        <w:jc w:val="center"/>
      </w:pPr>
      <w:r>
        <w:rPr>
          <w:rFonts w:ascii="Times New Roman" w:cs="Times New Roman" w:eastAsia="Times New Roman" w:hAnsi="Times New Roman"/>
          <w:b/>
          <w:bCs/>
          <w:i w:val="false"/>
          <w:iCs w:val="false"/>
          <w:sz w:val="24"/>
          <w:szCs w:val="24"/>
        </w:rPr>
        <w:t xml:space="preserve">Giriş</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Türkiye, Çin ve Rusya eğitim sistemlerini karşılaştıran Aimaiti (2023, s. 97), bu sistemlerin birbirinden ayrıldığı en önemli yönlerden birinin zorunlu eğitim aşaması olduğunu tespit eder ve Çin’de dokuz yıllık zorunlu eğitimin altı yıllık ilkokul ile üç yıllık ortaokulu kapsadığını belirtir. Bu devrenin son halkası olan 9. sınıf, öğrencinin hem zorunlu eğitimden çıktığı hem de lise giriş imtihanına hazırlandığı bir eşiktir. Coşkun ve Çelikten’in (2020, s. 3005) lise giriş, lise bitirme ve günlerce süren üniversite giriş sınavlarından oluşan zincir nedeniyle Çin eğitim sistemini “tam bir sınav cehennemi” olarak nitelendirmesi ve dokuz yıllık temel eğitimden sonra lise giriş sınavının zorunlu olduğunu hatırlatması bu eşiğin ağırlığını gösterir.</w:t>
      </w:r>
    </w:p>
    <w:p>
      <w:pPr>
        <w:spacing w:after="0" w:before="40" w:line="276"/>
        <w:ind w:left="567"/>
        <w:jc w:val="both"/>
      </w:pPr>
      <w:r>
        <w:rPr>
          <w:rFonts w:ascii="Times New Roman" w:cs="Times New Roman" w:eastAsia="Times New Roman" w:hAnsi="Times New Roman"/>
          <w:i/>
          <w:iCs/>
          <w:color w:val="404040"/>
          <w:sz w:val="20"/>
          <w:szCs w:val="20"/>
        </w:rPr>
        <w:t xml:space="preserve">“Araştırma sırasında ülkelerin eğitim sistemlerinde farklılık gösteren en önemli yanlarında biri zorunlu eğitim aşamasıdır. Çin eğitim sisteminde zorunlu eğitim 9 yıl olup, 6 yıllık ilkokul 3 yıllık ortaokul süresini kapsamaktadır. Rusya’da ise 11 yıl olup, ilkokul süresi 4 yıl, ortaokul süresi ise 5 yıl olmaktadır. Türkiye’de ise zorunlu eğitim 4 yıl ilkokul, 4 yıl orta okul, 4 yıl lise olmak üzere 12 yıl süreyle gerçekleşmektedir.”</w:t>
      </w:r>
    </w:p>
    <w:p>
      <w:pPr>
        <w:spacing w:after="80" w:before="0" w:line="276"/>
        <w:ind w:left="567"/>
      </w:pPr>
      <w:r>
        <w:rPr>
          <w:rFonts w:ascii="Times New Roman" w:cs="Times New Roman" w:eastAsia="Times New Roman" w:hAnsi="Times New Roman"/>
          <w:color w:val="7F7F7F"/>
          <w:sz w:val="18"/>
          <w:szCs w:val="18"/>
        </w:rPr>
        <w:t xml:space="preserve">[Kontrol: KAYNAKÇA ESERLER/TEZ TÜRKİYE, ÇİN VE RUSYA EĞİTİM SİSTEMLERİNİN KARŞILAŞTIRMALI OLARAK İNCELENMESİ.pdf; PDF s. 112; basılı s. 97; birebir eşleşme: TAM]</w:t>
      </w:r>
    </w:p>
    <w:p>
      <w:pPr>
        <w:spacing w:after="0" w:before="40" w:line="276"/>
        <w:ind w:left="567"/>
        <w:jc w:val="both"/>
      </w:pPr>
      <w:r>
        <w:rPr>
          <w:rFonts w:ascii="Times New Roman" w:cs="Times New Roman" w:eastAsia="Times New Roman" w:hAnsi="Times New Roman"/>
          <w:i/>
          <w:iCs/>
          <w:color w:val="404040"/>
          <w:sz w:val="20"/>
          <w:szCs w:val="20"/>
        </w:rPr>
        <w:t xml:space="preserve">“Çin’de eğitim sisteminin tam bir sınav cehennemi olduğunu söylemek mümkündür. Lise giriş sınavları, lise bitirme sınavları, günlerce süren üniversiteye giriş sınavları Çin’de yaşayan bir öğrencinin alması gereken sınavlardan bazılarıdır. Dokuz yıllık temel eğitimden sonra lise giriş sınavı zorunludur.”</w:t>
      </w:r>
    </w:p>
    <w:p>
      <w:pPr>
        <w:spacing w:after="80" w:before="0" w:line="276"/>
        <w:ind w:left="567"/>
      </w:pPr>
      <w:r>
        <w:rPr>
          <w:rFonts w:ascii="Times New Roman" w:cs="Times New Roman" w:eastAsia="Times New Roman" w:hAnsi="Times New Roman"/>
          <w:color w:val="7F7F7F"/>
          <w:sz w:val="18"/>
          <w:szCs w:val="18"/>
        </w:rPr>
        <w:t xml:space="preserve">[Kontrol: KAYNAKÇA ESERLER/in Halk Cumhuriyeti Eğitim Sistemi.pdf; PDF s. 24; basılı s. 3005; birebir eşleşme: TAM]</w:t>
      </w:r>
    </w:p>
    <w:p>
      <w:pPr>
        <w:spacing w:after="120" w:before="120" w:line="360"/>
        <w:ind w:firstLine="284"/>
        <w:jc w:val="both"/>
      </w:pPr>
      <w:r>
        <w:rPr>
          <w:rFonts w:ascii="Times New Roman" w:cs="Times New Roman" w:eastAsia="Times New Roman" w:hAnsi="Times New Roman"/>
          <w:b w:val="false"/>
          <w:bCs w:val="false"/>
          <w:i w:val="false"/>
          <w:iCs w:val="false"/>
          <w:sz w:val="24"/>
          <w:szCs w:val="24"/>
        </w:rPr>
        <w:t xml:space="preserve">Bugün “Ahlak ve Hukuk” (Daode yu Fazhi) adını taşıyan ders görece yenidir: İncelenen kitapların künye sayfalarına göre alt cildin ilk baskısı 2018, üst cildin ikinci baskısı 2021 tarihlidir; dersin programı ile ders kitabının adları arasında ise ancak 2022’de yayımlanan öğretim programıyla birlik sağlanmıştır (Li &amp; Li, 2022, s. 7). Li ve Li (2022, s. 8), programın beş temel ilkesinden “erdemi tesis edip insan yetiştirmeyi temel görev edinmek ve dersin ideolojik yönlendirme işlevini ortaya çıkarmak” ilkesinin birinci sırada yer almasının bu ilkenin konumunu ve önemini açıkça gösterdiğini vurgular. Li ve Li’nin (2022, s. 9) tespitine göre devletçe birleştirilmiş (tongbian) ders kitapları, günümüzde zorunlu eğitim aşamasında ideolojik-siyasi ders işlevinin başlıca taşıyıcısıdır. Dolayısıyla bu kitaplar yalnızca bir ahlak öğretimi aracı değil, devletin genç nesle ne tür bir insan tasavvuru aktarmak istediğini gösteren resmî metinlerdir.</w:t>
      </w:r>
    </w:p>
    <w:p>
      <w:pPr>
        <w:spacing w:after="0" w:before="40" w:line="276"/>
        <w:ind w:left="567"/>
        <w:jc w:val="both"/>
      </w:pPr>
      <w:r>
        <w:rPr>
          <w:rFonts w:ascii="Times New Roman" w:cs="Times New Roman" w:eastAsia="Times New Roman" w:hAnsi="Times New Roman"/>
          <w:i/>
          <w:iCs/>
          <w:color w:val="404040"/>
          <w:sz w:val="20"/>
          <w:szCs w:val="20"/>
        </w:rPr>
        <w:t xml:space="preserve">“随着《义务教育道德与法治课程标准（2022年版）》（以下简称“新课标”）的发布，道德与法治课程终于实现了课程标准与教材名称的统一，道德与法治课程与教学改革也由此翻开新的一页。”</w:t>
      </w:r>
    </w:p>
    <w:p>
      <w:pPr>
        <w:spacing w:after="80" w:before="0" w:line="276"/>
        <w:ind w:left="567"/>
      </w:pPr>
      <w:r>
        <w:rPr>
          <w:rFonts w:ascii="Times New Roman" w:cs="Times New Roman" w:eastAsia="Times New Roman" w:hAnsi="Times New Roman"/>
          <w:color w:val="7F7F7F"/>
          <w:sz w:val="18"/>
          <w:szCs w:val="18"/>
        </w:rPr>
        <w:t xml:space="preserve">[Kontrol: ÇİNCE MAKALELER VE KİTAPLAR/20220606093330661619.pdf; PDF s. 2; basılı s. 7; birebir eşleşme: TAM]</w:t>
      </w:r>
      <w:r>
        <w:rPr>
          <w:rFonts w:ascii="Times New Roman" w:cs="Times New Roman" w:eastAsia="Times New Roman" w:hAnsi="Times New Roman"/>
          <w:color w:val="7F7F7F"/>
          <w:sz w:val="18"/>
          <w:szCs w:val="18"/>
        </w:rPr>
        <w:t xml:space="preserve">  Yardımcı Türkçe karşılık (yapay zekâ çevirisi; yazarca denetlenmeli): Zorunlu Eğitim Ahlak ve Hukuk Dersi Öğretim Programı'nın (2022 Baskısı) (bundan sonra "yeni program") yayımlanmasıyla Ahlak ve Hukuk dersi nihayet öğretim programı ile ders kitabının adlarında birliği sağlamış; Ahlak ve Hukuk dersi ve öğretimi reformu da böylece yeni bir sayfa açmıştır.</w:t>
      </w:r>
    </w:p>
    <w:p>
      <w:pPr>
        <w:spacing w:after="0" w:before="40" w:line="276"/>
        <w:ind w:left="567"/>
        <w:jc w:val="both"/>
      </w:pPr>
      <w:r>
        <w:rPr>
          <w:rFonts w:ascii="Times New Roman" w:cs="Times New Roman" w:eastAsia="Times New Roman" w:hAnsi="Times New Roman"/>
          <w:i/>
          <w:iCs/>
          <w:color w:val="404040"/>
          <w:sz w:val="20"/>
          <w:szCs w:val="20"/>
        </w:rPr>
        <w:t xml:space="preserve">“就课程理念而言，“新课标”共明确了五条课程理念，而“以立德树人为根本任务，发挥课程的思想引领作用”作为第一条，其地位和重要性可见一斑。”</w:t>
      </w:r>
    </w:p>
    <w:p>
      <w:pPr>
        <w:spacing w:after="80" w:before="0" w:line="276"/>
        <w:ind w:left="567"/>
      </w:pPr>
      <w:r>
        <w:rPr>
          <w:rFonts w:ascii="Times New Roman" w:cs="Times New Roman" w:eastAsia="Times New Roman" w:hAnsi="Times New Roman"/>
          <w:color w:val="7F7F7F"/>
          <w:sz w:val="18"/>
          <w:szCs w:val="18"/>
        </w:rPr>
        <w:t xml:space="preserve">[Kontrol: ÇİNCE MAKALELER VE KİTAPLAR/20220606093330661619.pdf; PDF s. 3; basılı s. 8; birebir eşleşme: TAM]</w:t>
      </w:r>
      <w:r>
        <w:rPr>
          <w:rFonts w:ascii="Times New Roman" w:cs="Times New Roman" w:eastAsia="Times New Roman" w:hAnsi="Times New Roman"/>
          <w:color w:val="7F7F7F"/>
          <w:sz w:val="18"/>
          <w:szCs w:val="18"/>
        </w:rPr>
        <w:t xml:space="preserve">  Yardımcı Türkçe karşılık (yapay zekâ çevirisi; yazarca denetlenmeli): Ders anlayışı bakımından "yeni program" toplam beş ders ilkesi belirlemiştir; "ahlakla erdemi tesis edip insan yetiştirmeyi temel görev edinmek, dersin ideolojik yönlendirme işlevini ortaya çıkarmak" ilkesinin birinci sırada yer alması, onun konumunu ve önemini açıkça göstermektedir.</w:t>
      </w:r>
    </w:p>
    <w:p>
      <w:pPr>
        <w:spacing w:after="0" w:before="40" w:line="276"/>
        <w:ind w:left="567"/>
        <w:jc w:val="both"/>
      </w:pPr>
      <w:r>
        <w:rPr>
          <w:rFonts w:ascii="Times New Roman" w:cs="Times New Roman" w:eastAsia="Times New Roman" w:hAnsi="Times New Roman"/>
          <w:i/>
          <w:iCs/>
          <w:color w:val="404040"/>
          <w:sz w:val="20"/>
          <w:szCs w:val="20"/>
        </w:rPr>
        <w:t xml:space="preserve">“统编教材是当前义务教育阶段落实思政课功能的主要载体，也是“新课标”发布后教师可以用来感受和践行“新课标”理念的抓手。”</w:t>
      </w:r>
    </w:p>
    <w:p>
      <w:pPr>
        <w:spacing w:after="80" w:before="0" w:line="276"/>
        <w:ind w:left="567"/>
      </w:pPr>
      <w:r>
        <w:rPr>
          <w:rFonts w:ascii="Times New Roman" w:cs="Times New Roman" w:eastAsia="Times New Roman" w:hAnsi="Times New Roman"/>
          <w:color w:val="7F7F7F"/>
          <w:sz w:val="18"/>
          <w:szCs w:val="18"/>
        </w:rPr>
        <w:t xml:space="preserve">[Kontrol: ÇİNCE MAKALELER VE KİTAPLAR/20220606093330661619.pdf; PDF s. 4; basılı s. 9; birebir eşleşme: TAM]</w:t>
      </w:r>
      <w:r>
        <w:rPr>
          <w:rFonts w:ascii="Times New Roman" w:cs="Times New Roman" w:eastAsia="Times New Roman" w:hAnsi="Times New Roman"/>
          <w:color w:val="7F7F7F"/>
          <w:sz w:val="18"/>
          <w:szCs w:val="18"/>
        </w:rPr>
        <w:t xml:space="preserve">  Yardımcı Türkçe karşılık (yapay zekâ çevirisi; yazarca denetlenmeli): Ortak (devletçe birleştirilmiş) ders kitapları, bugün zorunlu eğitim aşamasında ideolojik-politik dersin işlevini yerine getirmenin başlıca taşıyıcısıdır; aynı zamanda "yeni program" yayımlandıktan sonra öğretmenlerin "yeni program"ın anlayışını kavramak ve uygulamak için tutunabilecekleri araçtır.</w:t>
      </w:r>
    </w:p>
    <w:p>
      <w:pPr>
        <w:spacing w:after="120" w:before="120" w:line="360"/>
        <w:ind w:firstLine="284"/>
        <w:jc w:val="both"/>
      </w:pPr>
      <w:r>
        <w:rPr>
          <w:rFonts w:ascii="Times New Roman" w:cs="Times New Roman" w:eastAsia="Times New Roman" w:hAnsi="Times New Roman"/>
          <w:b w:val="false"/>
          <w:bCs w:val="false"/>
          <w:i w:val="false"/>
          <w:iCs w:val="false"/>
          <w:sz w:val="24"/>
          <w:szCs w:val="24"/>
        </w:rPr>
        <w:t xml:space="preserve">Bu tasavvurun hukuki ve ideolojik çerçevesi Türkçe literatürde belli ölçüde ortaya konmuştur. Coşkun ve Çelikten (2020, s. 2987), Çin Anayasası ile 1995 tarihli Eğitim Kanunu’nda eğitimin sosyalist amaçlara hizmet etmesi gerektiğine dair yoğun bir vurgu bulunduğunu ve kanunun Marksizm-Leninizm, Mao Zedong Düşüncesi ve Çin’e özgü sosyalizmin inşası kuramlarını yol gösterici saydığını aktarır; aynı çalışmada eğitimde laikliğin de vurgulandığı, kanunun 8. maddesine göre devletin eğitimi dinden ayırdığı belirtilir (Coşkun &amp; Çelikten, 2020, s. 3004). Ortaokul ile lisedeki ahlak eğitimi ve sosyal bilgiler derslerinde Marksist teori ve felsefeye ilişkin içeriklerin öğretimin önemli bir parçası olduğu da kaydedilmektedir (Wang &amp; Peters, 2023, s. 878).</w:t>
      </w:r>
    </w:p>
    <w:p>
      <w:pPr>
        <w:spacing w:after="0" w:before="40" w:line="276"/>
        <w:ind w:left="567"/>
        <w:jc w:val="both"/>
      </w:pPr>
      <w:r>
        <w:rPr>
          <w:rFonts w:ascii="Times New Roman" w:cs="Times New Roman" w:eastAsia="Times New Roman" w:hAnsi="Times New Roman"/>
          <w:i/>
          <w:iCs/>
          <w:color w:val="404040"/>
          <w:sz w:val="20"/>
          <w:szCs w:val="20"/>
        </w:rPr>
        <w:t xml:space="preserve">“Hem Çin Anayasa’sında hem de 1995 Eğitim Kanunu’nda yoğun bir biçimde sosyalist amaçlara hizmet etme vurgusu olduğu görülmektedir. Eğitimin sosyalist amaçlara hizmet etmesi gerektiği ile ilgili maddeler şunlardır: Sosyalist eğitimi geliştirmek için, devlet Marksizm-Leninizm, Mao Zedong Düşüncesi ve sosyalizmin Çin karakteriyle inşası teorilerini yol gösterici olarak korur ve Anayasa’nın temel ilkelerine uyar (madde 3).”</w:t>
      </w:r>
    </w:p>
    <w:p>
      <w:pPr>
        <w:spacing w:after="80" w:before="0" w:line="276"/>
        <w:ind w:left="567"/>
      </w:pPr>
      <w:r>
        <w:rPr>
          <w:rFonts w:ascii="Times New Roman" w:cs="Times New Roman" w:eastAsia="Times New Roman" w:hAnsi="Times New Roman"/>
          <w:color w:val="7F7F7F"/>
          <w:sz w:val="18"/>
          <w:szCs w:val="18"/>
        </w:rPr>
        <w:t xml:space="preserve">[Kontrol: KAYNAKÇA ESERLER/in Halk Cumhuriyeti Eğitim Sistemi.pdf; PDF s. 6; basılı s. 2987; birebir eşleşme: TAM]</w:t>
      </w:r>
    </w:p>
    <w:p>
      <w:pPr>
        <w:spacing w:after="0" w:before="40" w:line="276"/>
        <w:ind w:left="567"/>
        <w:jc w:val="both"/>
      </w:pPr>
      <w:r>
        <w:rPr>
          <w:rFonts w:ascii="Times New Roman" w:cs="Times New Roman" w:eastAsia="Times New Roman" w:hAnsi="Times New Roman"/>
          <w:i/>
          <w:iCs/>
          <w:color w:val="404040"/>
          <w:sz w:val="20"/>
          <w:szCs w:val="20"/>
        </w:rPr>
        <w:t xml:space="preserve">“Sosyalizmin yanısıra eğitimde laiklik vurgulanmaktadır. Eğitim Kanunu (1995) 8. maddeye göre, devlet eğitimi dinden ayırır. Herhangi bir kurum ya da kişi dini, devletin eğitim sistemini engelleyecek biçimde kullanamaz.”</w:t>
      </w:r>
    </w:p>
    <w:p>
      <w:pPr>
        <w:spacing w:after="80" w:before="0" w:line="276"/>
        <w:ind w:left="567"/>
      </w:pPr>
      <w:r>
        <w:rPr>
          <w:rFonts w:ascii="Times New Roman" w:cs="Times New Roman" w:eastAsia="Times New Roman" w:hAnsi="Times New Roman"/>
          <w:color w:val="7F7F7F"/>
          <w:sz w:val="18"/>
          <w:szCs w:val="18"/>
        </w:rPr>
        <w:t xml:space="preserve">[Kontrol: KAYNAKÇA ESERLER/in Halk Cumhuriyeti Eğitim Sistemi.pdf; PDF s. 23; basılı s. 3004; birebir eşleşme: TAM]</w:t>
      </w:r>
    </w:p>
    <w:p>
      <w:pPr>
        <w:spacing w:after="0" w:before="40" w:line="276"/>
        <w:ind w:left="567"/>
        <w:jc w:val="both"/>
      </w:pPr>
      <w:r>
        <w:rPr>
          <w:rFonts w:ascii="Times New Roman" w:cs="Times New Roman" w:eastAsia="Times New Roman" w:hAnsi="Times New Roman"/>
          <w:i/>
          <w:iCs/>
          <w:color w:val="404040"/>
          <w:sz w:val="20"/>
          <w:szCs w:val="20"/>
        </w:rPr>
        <w:t xml:space="preserve">“Relatively speaking, there are many more schools of Marxism or departments of Marxist education than schools of philosophy or departments of philosophy, largely because the teaching work of the former targets all students in the colleague and universities, while the departments or the schools of philosophy are mainly geared toward the systematic teaching and study of philosophy. Additionally, in the moral education and social studies of junior and senior high schools, contents related to Marxist theory and philosophy are also an important part of teaching.”</w:t>
      </w:r>
    </w:p>
    <w:p>
      <w:pPr>
        <w:spacing w:after="80" w:before="0" w:line="276"/>
        <w:ind w:left="567"/>
      </w:pPr>
      <w:r>
        <w:rPr>
          <w:rFonts w:ascii="Times New Roman" w:cs="Times New Roman" w:eastAsia="Times New Roman" w:hAnsi="Times New Roman"/>
          <w:color w:val="7F7F7F"/>
          <w:sz w:val="18"/>
          <w:szCs w:val="18"/>
        </w:rPr>
        <w:t xml:space="preserve">[Kontrol: DED_ÇİN VE YUNAN DERS KİTAPLARI_TARİH_DİN/Contemporary Chinese Marxism  Disciplines  teaching plat.pdf; PDF s. 3; basılı s. 878; birebir eşleşme: TAM]</w:t>
      </w:r>
      <w:r>
        <w:rPr>
          <w:rFonts w:ascii="Times New Roman" w:cs="Times New Roman" w:eastAsia="Times New Roman" w:hAnsi="Times New Roman"/>
          <w:color w:val="7F7F7F"/>
          <w:sz w:val="18"/>
          <w:szCs w:val="18"/>
        </w:rPr>
        <w:t xml:space="preserve">  Yardımcı Türkçe karşılık (yapay zekâ çevirisi; yazarca denetlenmeli): Göreli olarak, Marksizm okulları ya da Marksist eğitim bölümleri, felsefe okulları ya da felsefe bölümlerinden çok daha fazladır; bunun başlıca nedeni, ilkinin öğretim çalışmasının yüksekokul ve üniversitelerdeki tüm öğrencileri hedeflemesi, felsefe bölüm ya da okullarının ise esas olarak felsefenin sistematik öğretim ve incelenmesine yönelik olmasıdır. Ayrıca ortaokul ve liselerin ahlak eğitimi ve sosyal bilgiler derslerinde Marksist teori ve felsefeyle ilgili içerikler de öğretimin önemli bir parçasıdır.</w:t>
      </w:r>
    </w:p>
    <w:p>
      <w:pPr>
        <w:spacing w:after="120" w:before="120" w:line="360"/>
        <w:ind w:firstLine="284"/>
        <w:jc w:val="both"/>
      </w:pPr>
      <w:r>
        <w:rPr>
          <w:rFonts w:ascii="Times New Roman" w:cs="Times New Roman" w:eastAsia="Times New Roman" w:hAnsi="Times New Roman"/>
          <w:b w:val="false"/>
          <w:bCs w:val="false"/>
          <w:i w:val="false"/>
          <w:iCs w:val="false"/>
          <w:sz w:val="24"/>
          <w:szCs w:val="24"/>
        </w:rPr>
        <w:t xml:space="preserve">Ne var ki resmî ideolojinin bu tek boyutlu tablosu, son yirmi yılda belirginleşen bir başka akımı gözden kaçırma tehlikesi taşır: geleneksel kültürün, bilhassa Konfüçyüsçü mirasın yeniden itibar kazanması. Gökenç Gülez (2023, s. 325), Xi Jinping’in katıldığı uluslararası bir sempozyumda Konfüçyüs’e atıfta bulunmasını, modern dönem eğitim sisteminde Konfüçyüsçü eğitim modelinin yeniden canlanmasında bir etken olarak gösterir. Wang (2023, s. 326) bu canlanmayı hem hükûmet güdümlü bir “yukarıdan aşağıya” olgu hem de tabandan yükselen bir hareket olarak okur. Şevik (2022, s. 54), Konfüçyüs doktrinini eşitlikçi Marksist-Leninist düşünceyle uzlaştırmaya yönelik bu “radikal uzlaşma girişimi”nin, Konfüçyüsçülüğün Çin Komünist Partisi hükûmetinin siyasi beklentilerini karşıladığı sürece mümkün olmaya devam edeceği kanaatindedir. Ametbek (2023, s. 92) ise Parti tüzüğünde hem geleneksel kültürün hem sosyalist kültürün geliştirilmesine yapılan vurguyu Çin Komünist Partisi’nin geçmişle bir şekilde barışma süreci olarak değerlendirir; ona göre Çin bir yandan beş bin yıllık tarihiyle barışmaya çalışırken öte yandan sosyalist kimliğini sürdürme çabası içindedir.</w:t>
      </w:r>
    </w:p>
    <w:p>
      <w:pPr>
        <w:spacing w:after="0" w:before="40" w:line="276"/>
        <w:ind w:left="567"/>
        <w:jc w:val="both"/>
      </w:pPr>
      <w:r>
        <w:rPr>
          <w:rFonts w:ascii="Times New Roman" w:cs="Times New Roman" w:eastAsia="Times New Roman" w:hAnsi="Times New Roman"/>
          <w:i/>
          <w:iCs/>
          <w:color w:val="404040"/>
          <w:sz w:val="20"/>
          <w:szCs w:val="20"/>
        </w:rPr>
        <w:t xml:space="preserve">“Farklı alanlarda reformların yapıldığı 1978 yılından sonra, eğitimde sınav odaklı eğitim modelinden kalite odaklı (suzhi) eğitim modeline geçiş yapılması Konfuçyüsçü eğitim modelinin Çin eğitim sistemine olan bir yansımasıdır. Nitekim Suzhi eğitim modeli Konfuçyanizm eğitim düşüncesinin temelini oluşturan ahlak eğitimi ile yakından ilişkilidir. 21. yüzyılda Çin Devlet başkanı Xi Jinping’in katıldığı uluslararası bir sempozyumda Konfuçyüs’e atıfta bulunması modern dönem eğitim sisteminde Konfuçyüsçü eğitim modelinin yeniden canlanmasında bir etken olarak gösterilebilir.”</w:t>
      </w:r>
    </w:p>
    <w:p>
      <w:pPr>
        <w:spacing w:after="80" w:before="0" w:line="276"/>
        <w:ind w:left="567"/>
      </w:pPr>
      <w:r>
        <w:rPr>
          <w:rFonts w:ascii="Times New Roman" w:cs="Times New Roman" w:eastAsia="Times New Roman" w:hAnsi="Times New Roman"/>
          <w:color w:val="7F7F7F"/>
          <w:sz w:val="18"/>
          <w:szCs w:val="18"/>
        </w:rPr>
        <w:t xml:space="preserve">[Kontrol: KAYNAKÇA ESERLER/KONFUÇYÜSÇÜ EĞİTİMİN YENİDEN CANLANMASI.pdf; PDF s. 13; basılı s. 325; birebir eşleşme: TAM]</w:t>
      </w:r>
    </w:p>
    <w:p>
      <w:pPr>
        <w:spacing w:after="0" w:before="40" w:line="276"/>
        <w:ind w:left="567"/>
        <w:jc w:val="both"/>
      </w:pPr>
      <w:r>
        <w:rPr>
          <w:rFonts w:ascii="Times New Roman" w:cs="Times New Roman" w:eastAsia="Times New Roman" w:hAnsi="Times New Roman"/>
          <w:i/>
          <w:iCs/>
          <w:color w:val="404040"/>
          <w:sz w:val="20"/>
          <w:szCs w:val="20"/>
        </w:rPr>
        <w:t xml:space="preserve">“Confucian revival in contemporary China can be understood as both a top-down (government-driven) phenomenon and a bottom-up (grassroots-driven) movement.”</w:t>
      </w:r>
    </w:p>
    <w:p>
      <w:pPr>
        <w:spacing w:after="80" w:before="0" w:line="276"/>
        <w:ind w:left="567"/>
      </w:pPr>
      <w:r>
        <w:rPr>
          <w:rFonts w:ascii="Times New Roman" w:cs="Times New Roman" w:eastAsia="Times New Roman" w:hAnsi="Times New Roman"/>
          <w:color w:val="7F7F7F"/>
          <w:sz w:val="18"/>
          <w:szCs w:val="18"/>
        </w:rPr>
        <w:t xml:space="preserve">[Kontrol: DED_ÇİN VE YUNAN DERS KİTAPLARI_TARİH_DİN/Resurgence of Confucian education in contemporary China  Parental involvement  moral anxiety  and the pedagogy of memorisation.pdf; PDF s. 3; basılı s. 326; birebir eşleşme: TAM]</w:t>
      </w:r>
      <w:r>
        <w:rPr>
          <w:rFonts w:ascii="Times New Roman" w:cs="Times New Roman" w:eastAsia="Times New Roman" w:hAnsi="Times New Roman"/>
          <w:color w:val="7F7F7F"/>
          <w:sz w:val="18"/>
          <w:szCs w:val="18"/>
        </w:rPr>
        <w:t xml:space="preserve">  Yardımcı Türkçe karşılık (yapay zekâ çevirisi; yazarca denetlenmeli): Çağdaş Çin'deki Konfüçyüsçü canlanma hem yukarıdan aşağıya (hükûmet güdümlü) bir olgu hem de aşağıdan yukarıya (tabandan gelen) bir hareket olarak anlaşılabilir.</w:t>
      </w:r>
    </w:p>
    <w:p>
      <w:pPr>
        <w:spacing w:after="0" w:before="40" w:line="276"/>
        <w:ind w:left="567"/>
        <w:jc w:val="both"/>
      </w:pPr>
      <w:r>
        <w:rPr>
          <w:rFonts w:ascii="Times New Roman" w:cs="Times New Roman" w:eastAsia="Times New Roman" w:hAnsi="Times New Roman"/>
          <w:i/>
          <w:iCs/>
          <w:color w:val="404040"/>
          <w:sz w:val="20"/>
          <w:szCs w:val="20"/>
        </w:rPr>
        <w:t xml:space="preserve">“Sonuç olarak, Çin hükümeti son bin yılın hiyerarşik, sınıf-destekleyicisi bir öğreti olarak kabaca değerlendirilebilecek Konfüçyüs doktrinini, eşitlikçi Marksist-Leninist düşünceyle uzlaştırmaya niyetli görünmektedir. Kanımızca, son dönemin getirdiği bu radikal uzlaşma girişimi, Konfüçyüsçülük öğretisinin, ÇKP hükümetinin dönem itibariyle yönetimsel anlamda gerekli siyasi beklentisini karşılayabilen bir mahiyette kaldığı sürece mümkün olmaya devam ededecek izlenimi vermektedir.”</w:t>
      </w:r>
    </w:p>
    <w:p>
      <w:pPr>
        <w:spacing w:after="80" w:before="0" w:line="276"/>
        <w:ind w:left="567"/>
      </w:pPr>
      <w:r>
        <w:rPr>
          <w:rFonts w:ascii="Times New Roman" w:cs="Times New Roman" w:eastAsia="Times New Roman" w:hAnsi="Times New Roman"/>
          <w:color w:val="7F7F7F"/>
          <w:sz w:val="18"/>
          <w:szCs w:val="18"/>
        </w:rPr>
        <w:t xml:space="preserve">[Kontrol: KAYNAKÇA ESERLER/Çin toplumu ve Konfüçyüsün ruhu.pdf; PDF s. 64; basılı s. 54; birebir eşleşme: TAM]</w:t>
      </w:r>
    </w:p>
    <w:p>
      <w:pPr>
        <w:spacing w:after="0" w:before="40" w:line="276"/>
        <w:ind w:left="567"/>
        <w:jc w:val="both"/>
      </w:pPr>
      <w:r>
        <w:rPr>
          <w:rFonts w:ascii="Times New Roman" w:cs="Times New Roman" w:eastAsia="Times New Roman" w:hAnsi="Times New Roman"/>
          <w:i/>
          <w:iCs/>
          <w:color w:val="404040"/>
          <w:sz w:val="20"/>
          <w:szCs w:val="20"/>
        </w:rPr>
        <w:t xml:space="preserve">“Birinci cümlede hem geleneksel kültür hem sosyalist kültürün geliştirilmesine vurgu yapılmaktadır. Bir yanda da feodal yozlaşmış fikirlere karşı koymaktan bahsedilmektedir. Bu durum ÇKP’nin geçmişle bir şekilde barışma süreci olarak değerlendirilmektedir. Çin bir yandan kendisinin 5000 yıllık tarihi ile barışmaya çalışırken, diğer yandan sosyalist kimliğini de devam ettirme çabası içindedir.”</w:t>
      </w:r>
    </w:p>
    <w:p>
      <w:pPr>
        <w:spacing w:after="80" w:before="0" w:line="276"/>
        <w:ind w:left="567"/>
      </w:pPr>
      <w:r>
        <w:rPr>
          <w:rFonts w:ascii="Times New Roman" w:cs="Times New Roman" w:eastAsia="Times New Roman" w:hAnsi="Times New Roman"/>
          <w:color w:val="7F7F7F"/>
          <w:sz w:val="18"/>
          <w:szCs w:val="18"/>
        </w:rPr>
        <w:t xml:space="preserve">[Kontrol: KAYNAKÇA ESERLER/DOKTORA TEZİ_Çin ulusal kimliği'nin dış politikaya yansımas.pdf; PDF s. 102; basılı s. 92; birebir eşleşme: TAM]</w:t>
      </w:r>
    </w:p>
    <w:p>
      <w:pPr>
        <w:spacing w:after="120" w:before="120" w:line="360"/>
        <w:ind w:firstLine="284"/>
        <w:jc w:val="both"/>
      </w:pPr>
      <w:r>
        <w:rPr>
          <w:rFonts w:ascii="Times New Roman" w:cs="Times New Roman" w:eastAsia="Times New Roman" w:hAnsi="Times New Roman"/>
          <w:b w:val="false"/>
          <w:bCs w:val="false"/>
          <w:i w:val="false"/>
          <w:iCs w:val="false"/>
          <w:sz w:val="24"/>
          <w:szCs w:val="24"/>
        </w:rPr>
        <w:t xml:space="preserve">Bu ikili yapı, bir din eğitimcisi için ayrı bir soru doğurur: Resmî olarak laik, ideolojik olarak Marksist bir müfredat, ahlakı hangi zemine istinat ettirir? Konfüçyüsçülüğün mahiyeti bu soruyu daha da derinleştirir. Kişi’ye (2021, s. 56) göre Konfüçyanizm özünde bir din değil, bir yaşam ve yönetim felsefesidir; Ma (2019, s. 82) ise Konfüçyanizmin ruhlar ve ahirete aldırmaksızın gerçek hayat üzerine yoğunlaştığını, ancak yalnızca yaşanılan dünyaya önem verdiği için halkın psikolojik ihtiyacını tek başına karşılayamadığını belirtir (Ma, 2019, s. 86). Dinin yerini başka bir kutsiyet kaynağının alıp alamayacağı sorusu da literatürde tartışılmaktadır; Kişi (2021, s. 18), milliyetçiliğin dine kıyasla vahiy kaynaklı değil daha dünyevi ve rasyonel olduğu hissini uyandırdığı için toplumlar nezdinde dinin yerini de alabildiğini kaydeder.</w:t>
      </w:r>
    </w:p>
    <w:p>
      <w:pPr>
        <w:spacing w:after="0" w:before="40" w:line="276"/>
        <w:ind w:left="567"/>
        <w:jc w:val="both"/>
      </w:pPr>
      <w:r>
        <w:rPr>
          <w:rFonts w:ascii="Times New Roman" w:cs="Times New Roman" w:eastAsia="Times New Roman" w:hAnsi="Times New Roman"/>
          <w:i/>
          <w:iCs/>
          <w:color w:val="404040"/>
          <w:sz w:val="20"/>
          <w:szCs w:val="20"/>
        </w:rPr>
        <w:t xml:space="preserve">“Özünde Konfüçyanizim bir din değil, bir yaşam ve yönetim felsefesidir. Toplumsal ve insani değerleri içererek, tanrıbilimsel temelin ötesinde bir yaşam biçimi sunmaya çalışır. Düzen, sadakat, ahlak ve sosyal fayda başlıca vurgulanan değerlerdir.”</w:t>
      </w:r>
    </w:p>
    <w:p>
      <w:pPr>
        <w:spacing w:after="80" w:before="0" w:line="276"/>
        <w:ind w:left="567"/>
      </w:pPr>
      <w:r>
        <w:rPr>
          <w:rFonts w:ascii="Times New Roman" w:cs="Times New Roman" w:eastAsia="Times New Roman" w:hAnsi="Times New Roman"/>
          <w:color w:val="7F7F7F"/>
          <w:sz w:val="18"/>
          <w:szCs w:val="18"/>
        </w:rPr>
        <w:t xml:space="preserve">[Kontrol: KAYNAKÇA ESERLER/DOKTORA_Çin milliyetçiliğinin sosyalizm ekseninde yükselişi.pdf; PDF s. 67; basılı s. 56; birebir eşleşme: TAM]</w:t>
      </w:r>
    </w:p>
    <w:p>
      <w:pPr>
        <w:spacing w:after="0" w:before="40" w:line="276"/>
        <w:ind w:left="567"/>
        <w:jc w:val="both"/>
      </w:pPr>
      <w:r>
        <w:rPr>
          <w:rFonts w:ascii="Times New Roman" w:cs="Times New Roman" w:eastAsia="Times New Roman" w:hAnsi="Times New Roman"/>
          <w:i/>
          <w:iCs/>
          <w:color w:val="404040"/>
          <w:sz w:val="20"/>
          <w:szCs w:val="20"/>
        </w:rPr>
        <w:t xml:space="preserve">“Konfüçyanizm, insanın ailesi ve sosyal sorumlulukları üzerinde durur. Konfüçyanizm ruhlar ve ahirete aldırmaksızın gerçek hayat üzerine yoğunlaşmaktadır. İslam'ın getirdiği bazı kuralar (yemek, evlilik ve cenaze gümrük. vb) Konfüçyanizm’in geleneklerinden oldukça farklıdır. Fakat iki kültür arasında benzerlikler de mevcuttur, Konfüçyanizm kültüründe yaratıcının tamamen reddedilmemesi ve Hanların daima Tanrı’ya saygı göstermesi, İslam kültürünün kabul edilmesi için önemli bir temeldir.”</w:t>
      </w:r>
    </w:p>
    <w:p>
      <w:pPr>
        <w:spacing w:after="80" w:before="0" w:line="276"/>
        <w:ind w:left="567"/>
      </w:pPr>
      <w:r>
        <w:rPr>
          <w:rFonts w:ascii="Times New Roman" w:cs="Times New Roman" w:eastAsia="Times New Roman" w:hAnsi="Times New Roman"/>
          <w:color w:val="7F7F7F"/>
          <w:sz w:val="18"/>
          <w:szCs w:val="18"/>
        </w:rPr>
        <w:t xml:space="preserve">[Kontrol: KAYNAKÇA ESERLER/Çin'de İslam'ı yeniden canlandırma çabaları.pdf; PDF s. 93; basılı s. 82; birebir eşleşme: TAM]</w:t>
      </w:r>
    </w:p>
    <w:p>
      <w:pPr>
        <w:spacing w:after="0" w:before="40" w:line="276"/>
        <w:ind w:left="567"/>
        <w:jc w:val="both"/>
      </w:pPr>
      <w:r>
        <w:rPr>
          <w:rFonts w:ascii="Times New Roman" w:cs="Times New Roman" w:eastAsia="Times New Roman" w:hAnsi="Times New Roman"/>
          <w:i/>
          <w:iCs/>
          <w:color w:val="404040"/>
          <w:sz w:val="20"/>
          <w:szCs w:val="20"/>
        </w:rPr>
        <w:t xml:space="preserve">“İnsanların dine ihtiyacı var, fakat Konfüçyanizm sadece “yaşanılan dünyaya” önem verip “yaşam sonrası” nın özelliklerinden bahsetmediği için Çin halkının psikolojik ihtiyacını tek başına karşılamak mümkün değildir. Bu nedenle, aslında Çin kültürü Konfüçyanizm, Budizm ve Taoizm ile karışık bir kültür olduğunu görmekteyiz. Yabancıların gözünde, belki Konfüçyanizm, Budizm ve Taoizm üç farklı dindir, fakat Çinlilere göre tek bir din oluşturduğunu söyleyebiliriz. İnsanlar genellikle bu üç dine aynı anda inanırlar.”</w:t>
      </w:r>
    </w:p>
    <w:p>
      <w:pPr>
        <w:spacing w:after="80" w:before="0" w:line="276"/>
        <w:ind w:left="567"/>
      </w:pPr>
      <w:r>
        <w:rPr>
          <w:rFonts w:ascii="Times New Roman" w:cs="Times New Roman" w:eastAsia="Times New Roman" w:hAnsi="Times New Roman"/>
          <w:color w:val="7F7F7F"/>
          <w:sz w:val="18"/>
          <w:szCs w:val="18"/>
        </w:rPr>
        <w:t xml:space="preserve">[Kontrol: KAYNAKÇA ESERLER/Çin'de İslam'ı yeniden canlandırma çabaları.pdf; PDF s. 97; basılı s. 86; birebir eşleşme: TAM]</w:t>
      </w:r>
    </w:p>
    <w:p>
      <w:pPr>
        <w:spacing w:after="0" w:before="40" w:line="276"/>
        <w:ind w:left="567"/>
        <w:jc w:val="both"/>
      </w:pPr>
      <w:r>
        <w:rPr>
          <w:rFonts w:ascii="Times New Roman" w:cs="Times New Roman" w:eastAsia="Times New Roman" w:hAnsi="Times New Roman"/>
          <w:i/>
          <w:iCs/>
          <w:color w:val="404040"/>
          <w:sz w:val="20"/>
          <w:szCs w:val="20"/>
        </w:rPr>
        <w:t xml:space="preserve">“Atfedilen değer ile milliyetçilik, toplumlar için dinin yerini de alabilmiştir. Bu durumdaki temel neden ise milliyetçiliğin sahip olmuş olduğu öz niteliğin, dine kıyas ile vahiy kaynaklı değil daha dünyevi ve rasyonel olduğu hissini uyandırmasıdır.”</w:t>
      </w:r>
    </w:p>
    <w:p>
      <w:pPr>
        <w:spacing w:after="80" w:before="0" w:line="276"/>
        <w:ind w:left="567"/>
      </w:pPr>
      <w:r>
        <w:rPr>
          <w:rFonts w:ascii="Times New Roman" w:cs="Times New Roman" w:eastAsia="Times New Roman" w:hAnsi="Times New Roman"/>
          <w:color w:val="7F7F7F"/>
          <w:sz w:val="18"/>
          <w:szCs w:val="18"/>
        </w:rPr>
        <w:t xml:space="preserve">[Kontrol: KAYNAKÇA ESERLER/DOKTORA_Çin milliyetçiliğinin sosyalizm ekseninde yükselişi.pdf; PDF s. 29; basılı s. 18; birebir eşleşme: TAM]</w:t>
      </w:r>
    </w:p>
    <w:p>
      <w:pPr>
        <w:spacing w:after="120" w:before="120" w:line="360"/>
        <w:ind w:firstLine="284"/>
        <w:jc w:val="both"/>
      </w:pPr>
      <w:r>
        <w:rPr>
          <w:rFonts w:ascii="Times New Roman" w:cs="Times New Roman" w:eastAsia="Times New Roman" w:hAnsi="Times New Roman"/>
          <w:b w:val="false"/>
          <w:bCs w:val="false"/>
          <w:i w:val="false"/>
          <w:iCs w:val="false"/>
          <w:sz w:val="24"/>
          <w:szCs w:val="24"/>
        </w:rPr>
        <w:t xml:space="preserve">Türkçe literatürdeki çalışmalar Çin eğitim sistemini çoğunlukla yapısal ve yönetsel boyutlarıyla ele almıştır. A. T. Aydın’ın (2024, s. 337) araştırma problemi, Çin eğitim sisteminin yönetsel yapılanmasının uluslararası sınav sonuçlarına nasıl yansıdığı ve Türk eğitim sistemi için hangi iyileştirme alanlarının bulunduğudur. Aimaiti (2023, s. 83), Türkiye literatüründe Çin eğitim sistemine dair kaynakların yetersiz olduğunu tespit eder; Coşkun ve Çelikten (2020, s. 3006) de yararlandıkları kaynakların İngilizce ya da Türkçe, genellikle uluslararası raporlar olduğunu belirterek özgün Çince kaynaklara ulaşılarak yapılacak çalışmaların ve eyalet düzeyindeki incelemelerin Çin eğitim sistemini daha iyi anlamaya katkı sağlayacağını ifade eder. Çin’deki alan yazını ise Ahlak ve Hukuk dersini daha çok öğretim yöntemi ve yeni öğretim programının ders kitabına yansıtılması bakımından tartışmaktadır; Sun (2019), öğretim stratejilerinin araç niteliği taşımakla birlikte bununla sınırlı olmadığını, iyi bir öğretim stratejisinin ahlak eğitiminin anlayışını ve değer tutumunu da aktardığını ileri sürer. Ders kitabının içeriğini değerler eğitimi ve din eğitimi bakış açısıyla, özgün Çince metin üzerinden inceleyen bir çalışmaya sağlanan belgelerde rastlanmamıştır.</w:t>
      </w:r>
    </w:p>
    <w:p>
      <w:pPr>
        <w:spacing w:after="0" w:before="40" w:line="276"/>
        <w:ind w:left="567"/>
        <w:jc w:val="both"/>
      </w:pPr>
      <w:r>
        <w:rPr>
          <w:rFonts w:ascii="Times New Roman" w:cs="Times New Roman" w:eastAsia="Times New Roman" w:hAnsi="Times New Roman"/>
          <w:i/>
          <w:iCs/>
          <w:color w:val="404040"/>
          <w:sz w:val="20"/>
          <w:szCs w:val="20"/>
        </w:rPr>
        <w:t xml:space="preserve">“ÇHC eğitim sisteminin yönetsel yapılanmasının ve süreç boyutlarının uluslararası sınav sonuçlarına nasıl yansıdığı ve bu bağlamda Türk eğitim sistemi için hangi iyileştirme alanlarının mevcut olduğu sorusu bu araştırmanın problemini oluşturmaktadır.”</w:t>
      </w:r>
    </w:p>
    <w:p>
      <w:pPr>
        <w:spacing w:after="80" w:before="0" w:line="276"/>
        <w:ind w:left="567"/>
      </w:pPr>
      <w:r>
        <w:rPr>
          <w:rFonts w:ascii="Times New Roman" w:cs="Times New Roman" w:eastAsia="Times New Roman" w:hAnsi="Times New Roman"/>
          <w:color w:val="7F7F7F"/>
          <w:sz w:val="18"/>
          <w:szCs w:val="18"/>
        </w:rPr>
        <w:t xml:space="preserve">[Kontrol: KAYNAKÇA ESERLER/Çin Halk Cumhuriyeti Eğitim Sisteminin Değerlendirilmesi.pdf; PDF s. 13; basılı s. 337; birebir eşleşme: TAM]</w:t>
      </w:r>
    </w:p>
    <w:p>
      <w:pPr>
        <w:spacing w:after="0" w:before="40" w:line="276"/>
        <w:ind w:left="567"/>
        <w:jc w:val="both"/>
      </w:pPr>
      <w:r>
        <w:rPr>
          <w:rFonts w:ascii="Times New Roman" w:cs="Times New Roman" w:eastAsia="Times New Roman" w:hAnsi="Times New Roman"/>
          <w:i/>
          <w:iCs/>
          <w:color w:val="404040"/>
          <w:sz w:val="20"/>
          <w:szCs w:val="20"/>
        </w:rPr>
        <w:t xml:space="preserve">“Türkiye literatüründe Çin ve Rusya eğitim sistemleri ile ilgili kaynaklar ve araştırmalar yetersiz bulunduğu gözlemlenmiştir. Bu sebepten dolayı Çin ve Rusya eğitim sistemlerini araştırırken en güncel kaynaklardan istifade edilerek alan yazına katkı sağlayacağı düşünülmektedir.”</w:t>
      </w:r>
    </w:p>
    <w:p>
      <w:pPr>
        <w:spacing w:after="80" w:before="0" w:line="276"/>
        <w:ind w:left="567"/>
      </w:pPr>
      <w:r>
        <w:rPr>
          <w:rFonts w:ascii="Times New Roman" w:cs="Times New Roman" w:eastAsia="Times New Roman" w:hAnsi="Times New Roman"/>
          <w:color w:val="7F7F7F"/>
          <w:sz w:val="18"/>
          <w:szCs w:val="18"/>
        </w:rPr>
        <w:t xml:space="preserve">[Kontrol: KAYNAKÇA ESERLER/TEZ TÜRKİYE, ÇİN VE RUSYA EĞİTİM SİSTEMLERİNİN KARŞILAŞTIRMALI OLARAK İNCELENMESİ.pdf; PDF s. 98; basılı s. 83; birebir eşleşme: TAM]</w:t>
      </w:r>
    </w:p>
    <w:p>
      <w:pPr>
        <w:spacing w:after="0" w:before="40" w:line="276"/>
        <w:ind w:left="567"/>
        <w:jc w:val="both"/>
      </w:pPr>
      <w:r>
        <w:rPr>
          <w:rFonts w:ascii="Times New Roman" w:cs="Times New Roman" w:eastAsia="Times New Roman" w:hAnsi="Times New Roman"/>
          <w:i/>
          <w:iCs/>
          <w:color w:val="404040"/>
          <w:sz w:val="20"/>
          <w:szCs w:val="20"/>
        </w:rPr>
        <w:t xml:space="preserve">“Bu çalışmada ekonomik gücüne rağmen, rejim gereği dış dünyaya uzun süre kapalı kalmış Çin Eğitim Sistemi detaylarıyla ele alınmış olsa da çalışmanın çeşitli sınırlılıkları mevcuttur. Öncelikle çalışmada yararlanılan kaynaklar İngilizce veya Türkçe dilinde, genellikle uluslararası raporlardır. Başka bir sınırlılık ise farklı eğitim politikaları olabilen eyaletlerin –örneğin Şangay- genel resim içerisinde kaybolmasıdır. Orijinal Çince kaynaklara ulaşılarak yapılacak çalışmalara ve eyalet düzeyinde incelemeler Çin Eğitim Sistemini daha iyi anlamak için yararlı olacaktır.”</w:t>
      </w:r>
    </w:p>
    <w:p>
      <w:pPr>
        <w:spacing w:after="80" w:before="0" w:line="276"/>
        <w:ind w:left="567"/>
      </w:pPr>
      <w:r>
        <w:rPr>
          <w:rFonts w:ascii="Times New Roman" w:cs="Times New Roman" w:eastAsia="Times New Roman" w:hAnsi="Times New Roman"/>
          <w:color w:val="7F7F7F"/>
          <w:sz w:val="18"/>
          <w:szCs w:val="18"/>
        </w:rPr>
        <w:t xml:space="preserve">[Kontrol: KAYNAKÇA ESERLER/in Halk Cumhuriyeti Eğitim Sistemi.pdf; PDF s. 25; basılı s. 3006; birebir eşleşme: TAM]</w:t>
      </w:r>
    </w:p>
    <w:p>
      <w:pPr>
        <w:spacing w:after="0" w:before="40" w:line="276"/>
        <w:ind w:left="567"/>
        <w:jc w:val="both"/>
      </w:pPr>
      <w:r>
        <w:rPr>
          <w:rFonts w:ascii="Times New Roman" w:cs="Times New Roman" w:eastAsia="Times New Roman" w:hAnsi="Times New Roman"/>
          <w:i/>
          <w:iCs/>
          <w:color w:val="404040"/>
          <w:sz w:val="20"/>
          <w:szCs w:val="20"/>
        </w:rPr>
        <w:t xml:space="preserve">“教学策略与教学方法作为实现教育目标的一种途径，当然具有工具的性质。但是好的教学策略不只是引起学生的兴趣，而且传递着德育的理念与价值立场。教学设计的思路会对学生的道德思维产生潜移默化的影响，而道德思维本身是学生道德成长的重要内容，正是在这个意义上，我们说“策略即理念，方法即内容”。”</w:t>
      </w:r>
    </w:p>
    <w:p>
      <w:pPr>
        <w:spacing w:after="80" w:before="0" w:line="276"/>
        <w:ind w:left="567"/>
      </w:pPr>
      <w:r>
        <w:rPr>
          <w:rFonts w:ascii="Times New Roman" w:cs="Times New Roman" w:eastAsia="Times New Roman" w:hAnsi="Times New Roman"/>
          <w:color w:val="7F7F7F"/>
          <w:sz w:val="18"/>
          <w:szCs w:val="18"/>
        </w:rPr>
        <w:t xml:space="preserve">[Kontrol: ÇİNCE MAKALELER VE KİTAPLAR/20201126101534164.pdf; PDF s. 1; basılı s. [SAYFA GÖRÜLEMEDİ]; birebir eşleşme: TAM]</w:t>
      </w:r>
      <w:r>
        <w:rPr>
          <w:rFonts w:ascii="Times New Roman" w:cs="Times New Roman" w:eastAsia="Times New Roman" w:hAnsi="Times New Roman"/>
          <w:color w:val="7F7F7F"/>
          <w:sz w:val="18"/>
          <w:szCs w:val="18"/>
        </w:rPr>
        <w:t xml:space="preserve">  Yardımcı Türkçe karşılık (yapay zekâ çevirisi; yazarca denetlenmeli): Öğretim stratejileri ve öğretim yöntemleri, eğitim hedeflerine ulaşmanın bir yolu olarak elbette araç niteliği taşır. Ancak iyi bir öğretim stratejisi yalnızca öğrencilerin ilgisini uyandırmakla kalmaz, aynı zamanda ahlak eğitiminin (德育) anlayışını ve değer tutumunu da aktarır. Öğretim tasarımının düşünce çizgisi öğrencilerin ahlaki düşünmesi üzerinde fark ettirmeden sindirici bir etki yaratır; ahlaki düşünme ise bizatihi öğrencilerin ahlaki gelişiminin önemli bir içeriğidir. İşte tam bu anlamda 'strateji anlayıştır, yöntem içeriktir' diyoruz.</w:t>
      </w:r>
    </w:p>
    <w:p>
      <w:pPr>
        <w:spacing w:after="120" w:before="120" w:line="360"/>
        <w:ind w:firstLine="284"/>
        <w:jc w:val="both"/>
      </w:pPr>
      <w:r>
        <w:rPr>
          <w:rFonts w:ascii="Times New Roman" w:cs="Times New Roman" w:eastAsia="Times New Roman" w:hAnsi="Times New Roman"/>
          <w:b w:val="false"/>
          <w:bCs w:val="false"/>
          <w:i w:val="false"/>
          <w:iCs w:val="false"/>
          <w:sz w:val="24"/>
          <w:szCs w:val="24"/>
        </w:rPr>
        <w:t xml:space="preserve">Bu çalışmanın amacı, Çin’de zorunlu eğitimin son yılında okutulan 9. sınıf Ahlak ve Hukuk ders kitabının iki cildini değerler eğitimi ve din eğitimi bakış açısıyla incelemektir. Bu amaç doğrultusunda şu sorulara cevap aranmıştır: (1) Kitap hangi değerleri öğretmekte ve bu değerleri neye dayandırmaktadır? (2) Hukuk ve yurttaşlık içeriği nasıl kurgulanmıştır? (3) Ahlak öğretimi hangi ideolojik çerçeve içinde sunulmaktadır? (4) Kitapta din, inanç ve geleneğe hangi biçimlerde yer verilmektedir?</w:t>
      </w:r>
    </w:p>
    <w:p>
      <w:pPr>
        <w:spacing w:after="120" w:before="240" w:line="360"/>
        <w:jc w:val="center"/>
      </w:pPr>
      <w:r>
        <w:rPr>
          <w:rFonts w:ascii="Times New Roman" w:cs="Times New Roman" w:eastAsia="Times New Roman" w:hAnsi="Times New Roman"/>
          <w:b/>
          <w:bCs/>
          <w:i w:val="false"/>
          <w:iCs w:val="false"/>
          <w:sz w:val="24"/>
          <w:szCs w:val="24"/>
        </w:rPr>
        <w:t xml:space="preserve">Yöntem</w:t>
      </w:r>
    </w:p>
    <w:p>
      <w:pPr>
        <w:spacing w:after="120" w:before="120" w:line="360"/>
        <w:jc w:val="left"/>
      </w:pPr>
      <w:r>
        <w:rPr>
          <w:rFonts w:ascii="Times New Roman" w:cs="Times New Roman" w:eastAsia="Times New Roman" w:hAnsi="Times New Roman"/>
          <w:b/>
          <w:bCs/>
          <w:i w:val="false"/>
          <w:iCs w:val="false"/>
          <w:sz w:val="24"/>
          <w:szCs w:val="24"/>
        </w:rPr>
        <w:t xml:space="preserve">Araştırmanın Deseni</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Araştırma, nitel araştırma yaklaşımı içinde doküman incelemesine dayanan bir içerik analizi olarak tasarlanmıştır. Doküman incelemesi burada, araştırma sorularına cevap verecek bilgiyi taşıyan resmî ders kitabı metinlerinin belli bir usule göre okunması, kodlanması ve yorumlanması anlamında kullanılmıştır. Ders kitabı devletin onayından geçmiş, bütün öğrencilere ulaşan ve içeriği sabit bir metin olduğu için resmî ahlak tasavvurunu incelemek bakımından bu yol uygun görülmüştür.</w:t>
      </w:r>
    </w:p>
    <w:p>
      <w:pPr>
        <w:spacing w:after="120" w:before="120" w:line="360"/>
        <w:jc w:val="left"/>
      </w:pPr>
      <w:r>
        <w:rPr>
          <w:rFonts w:ascii="Times New Roman" w:cs="Times New Roman" w:eastAsia="Times New Roman" w:hAnsi="Times New Roman"/>
          <w:b/>
          <w:bCs/>
          <w:i w:val="false"/>
          <w:iCs w:val="false"/>
          <w:sz w:val="24"/>
          <w:szCs w:val="24"/>
        </w:rPr>
        <w:t xml:space="preserve">Veri Kaynağı</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Araştırmanın veri kaynağını, Çin Halk Cumhuriyeti Eğitim Bakanlığının organizasyonuyla hazırlanan (Jiaoyubu zuzhi bianxie) ve “birleşik baskı” (tongbian ban) ibaresini taşıyan 9. sınıf Ahlak ve Hukuk ders kitabının iki cildi oluşturmaktadır. Birinci dönemde okutulan üst cilt (shangce), 2021 yılı Haziran ayında yapılan ikinci baskıdır; genel editörü Zhu Xiaoman, cilt editörleri Gao Guoxi ve Yang Yiming’dir. İkinci dönemde okutulan alt cilt (xiace), 2018 yılı Aralık ayında yapılan birinci baskının 2022 yılı Ocak ayındaki beşinci basımıdır; cilt editörleri Gao Guoxi, Wu Rong ve Qin Shuheng’dir. Her iki cildin sonsözünde (houji) ders kitabının yayın işini Renmin Jiaoyu Chubanshe’nin (Halk Eğitim Yayınevi) üstlendiği belirtilmektedir. Metin içinde üst cilde “Jiaoyubu (2021)”, alt cilde “Jiaoyubu (2018)” biçiminde atıf yapılmıştır. Alt cildin incelenen basımı 2020 ve 2021 yıllarına ait verileri ve salgın dönemine ilişkin içerikleri de barındırdığından, bu cilde yapılan atıflar 2022 tarihli beşinci basımın metnine ve sayfalarına dayanmaktadır. Üst cilt dört ünite ve sekiz dersten, alt cilt üç ünite ve yedi dersten oluşmaktadır (Tablo 1).</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300"/>
        <w:gridCol w:w="2700"/>
        <w:gridCol w:w="3400"/>
        <w:gridCol w:w="1400"/>
      </w:tblGrid>
      <w:tr>
        <w:tc>
          <w:tcPr>
            <w:tcW w:type="dxa" w:w="8800"/>
            <w:gridSpan w:val="4"/>
            <w:tcBorders>
              <w:top w:val="single" w:color="000000" w:sz="4"/>
              <w:left w:val="none" w:color="FFFFFF" w:sz="0"/>
              <w:bottom w:val="single" w:color="000000" w:sz="4"/>
              <w:right w:val="none" w:color="FFFFFF" w:sz="0"/>
            </w:tcBorders>
          </w:tcPr>
          <w:p>
            <w:pPr>
              <w:spacing w:after="40" w:before="40" w:line="240"/>
            </w:pPr>
            <w:r>
              <w:rPr>
                <w:rFonts w:ascii="Times New Roman" w:cs="Times New Roman" w:eastAsia="Times New Roman" w:hAnsi="Times New Roman"/>
                <w:sz w:val="20"/>
                <w:szCs w:val="20"/>
              </w:rPr>
              <w:t xml:space="preserve">Tablo 1. 9. Sınıf Ahlak ve Hukuk Ders Kitabının Ünite ve Ders Yapısı</w:t>
            </w:r>
          </w:p>
        </w:tc>
      </w:tr>
      <w:tr>
        <w:trPr>
          <w:tblHeader/>
        </w:trPr>
        <w:tc>
          <w:tcPr>
            <w:tcW w:type="dxa" w:w="1300"/>
            <w:tcBorders>
              <w:top w:val="single" w:color="000000" w:sz="4"/>
              <w:left w:val="none" w:color="FFFFFF" w:sz="0"/>
              <w:bottom w:val="single" w:color="000000" w:sz="4"/>
              <w:right w:val="none" w:color="FFFFFF" w:sz="0"/>
            </w:tcBorders>
          </w:tcPr>
          <w:p>
            <w:pPr>
              <w:spacing w:after="20" w:before="20" w:line="240"/>
              <w:jc w:val="left"/>
            </w:pPr>
            <w:r>
              <w:rPr>
                <w:rFonts w:ascii="Times New Roman" w:cs="Times New Roman" w:eastAsia="Times New Roman" w:hAnsi="Times New Roman"/>
                <w:b/>
                <w:bCs/>
                <w:sz w:val="20"/>
                <w:szCs w:val="20"/>
              </w:rPr>
              <w:t xml:space="preserve">Cilt</w:t>
            </w:r>
          </w:p>
        </w:tc>
        <w:tc>
          <w:tcPr>
            <w:tcW w:type="dxa" w:w="2700"/>
            <w:tcBorders>
              <w:top w:val="single" w:color="000000" w:sz="4"/>
              <w:left w:val="none" w:color="FFFFFF" w:sz="0"/>
              <w:bottom w:val="single" w:color="000000" w:sz="4"/>
              <w:right w:val="none" w:color="FFFFFF" w:sz="0"/>
            </w:tcBorders>
          </w:tcPr>
          <w:p>
            <w:pPr>
              <w:spacing w:after="20" w:before="20" w:line="240"/>
              <w:jc w:val="left"/>
            </w:pPr>
            <w:r>
              <w:rPr>
                <w:rFonts w:ascii="Times New Roman" w:cs="Times New Roman" w:eastAsia="Times New Roman" w:hAnsi="Times New Roman"/>
                <w:b/>
                <w:bCs/>
                <w:sz w:val="20"/>
                <w:szCs w:val="20"/>
              </w:rPr>
              <w:t xml:space="preserve">Ünite</w:t>
            </w:r>
          </w:p>
        </w:tc>
        <w:tc>
          <w:tcPr>
            <w:tcW w:type="dxa" w:w="3400"/>
            <w:tcBorders>
              <w:top w:val="single" w:color="000000" w:sz="4"/>
              <w:left w:val="none" w:color="FFFFFF" w:sz="0"/>
              <w:bottom w:val="single" w:color="000000" w:sz="4"/>
              <w:right w:val="none" w:color="FFFFFF" w:sz="0"/>
            </w:tcBorders>
          </w:tcPr>
          <w:p>
            <w:pPr>
              <w:spacing w:after="20" w:before="20" w:line="240"/>
              <w:jc w:val="left"/>
            </w:pPr>
            <w:r>
              <w:rPr>
                <w:rFonts w:ascii="Times New Roman" w:cs="Times New Roman" w:eastAsia="Times New Roman" w:hAnsi="Times New Roman"/>
                <w:b/>
                <w:bCs/>
                <w:sz w:val="20"/>
                <w:szCs w:val="20"/>
              </w:rPr>
              <w:t xml:space="preserve">Dersler</w:t>
            </w:r>
          </w:p>
        </w:tc>
        <w:tc>
          <w:tcPr>
            <w:tcW w:type="dxa" w:w="1400"/>
            <w:tcBorders>
              <w:top w:val="single" w:color="000000" w:sz="4"/>
              <w:left w:val="none" w:color="FFFFFF" w:sz="0"/>
              <w:bottom w:val="single" w:color="000000" w:sz="4"/>
              <w:right w:val="none" w:color="FFFFFF" w:sz="0"/>
            </w:tcBorders>
          </w:tcPr>
          <w:p>
            <w:pPr>
              <w:spacing w:after="20" w:before="20" w:line="240"/>
              <w:jc w:val="left"/>
            </w:pPr>
            <w:r>
              <w:rPr>
                <w:rFonts w:ascii="Times New Roman" w:cs="Times New Roman" w:eastAsia="Times New Roman" w:hAnsi="Times New Roman"/>
                <w:b/>
                <w:bCs/>
                <w:sz w:val="20"/>
                <w:szCs w:val="20"/>
              </w:rPr>
              <w:t xml:space="preserve">Basılı Sayfa</w:t>
            </w:r>
          </w:p>
        </w:tc>
      </w:tr>
      <w:tr>
        <w:tc>
          <w:tcPr>
            <w:tcW w:type="dxa" w:w="13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Üst cilt (shangce)</w:t>
            </w:r>
          </w:p>
        </w:tc>
        <w:tc>
          <w:tcPr>
            <w:tcW w:type="dxa" w:w="27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1. Fuqiang yu chuangxin (Refah ve Yenilik)</w:t>
            </w:r>
          </w:p>
        </w:tc>
        <w:tc>
          <w:tcPr>
            <w:tcW w:type="dxa" w:w="34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1. Tashang qiangguo zhi lu (Güçlü Ülke Yoluna Çıkmak); 2. Chuangxin qudong fazhan (Yeniliğin Sürüklediği Kalkınma)</w:t>
            </w:r>
          </w:p>
        </w:tc>
        <w:tc>
          <w:tcPr>
            <w:tcW w:type="dxa" w:w="14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1–28</w:t>
            </w:r>
          </w:p>
        </w:tc>
      </w:tr>
      <w:tr>
        <w:tc>
          <w:tcPr>
            <w:tcW w:type="dxa" w:w="13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
            </w:r>
          </w:p>
        </w:tc>
        <w:tc>
          <w:tcPr>
            <w:tcW w:type="dxa" w:w="27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2. Minzhu yu fazhi (Demokrasi ve Hukuk Devleti)</w:t>
            </w:r>
          </w:p>
        </w:tc>
        <w:tc>
          <w:tcPr>
            <w:tcW w:type="dxa" w:w="34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3. Zhuiqiu minzhu jiazhi (Demokratik Değerin Peşinde); 4. Jianshe fazhi Zhongguo (Hukuk Devleti Çin’i İnşa Etmek)</w:t>
            </w:r>
          </w:p>
        </w:tc>
        <w:tc>
          <w:tcPr>
            <w:tcW w:type="dxa" w:w="14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29–56</w:t>
            </w:r>
          </w:p>
        </w:tc>
      </w:tr>
      <w:tr>
        <w:tc>
          <w:tcPr>
            <w:tcW w:type="dxa" w:w="13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
            </w:r>
          </w:p>
        </w:tc>
        <w:tc>
          <w:tcPr>
            <w:tcW w:type="dxa" w:w="27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3. Wenming yu jiayuan (Medeniyet ve Yurt)</w:t>
            </w:r>
          </w:p>
        </w:tc>
        <w:tc>
          <w:tcPr>
            <w:tcW w:type="dxa" w:w="34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5. Shouwang jingshen jiayuan (Mânevî Yurda Sahip Çıkmak); 6. Jianshe meili Zhongguo (Güzel Çin’i İnşa Etmek)</w:t>
            </w:r>
          </w:p>
        </w:tc>
        <w:tc>
          <w:tcPr>
            <w:tcW w:type="dxa" w:w="14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57–88</w:t>
            </w:r>
          </w:p>
        </w:tc>
      </w:tr>
      <w:tr>
        <w:tc>
          <w:tcPr>
            <w:tcW w:type="dxa" w:w="13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
            </w:r>
          </w:p>
        </w:tc>
        <w:tc>
          <w:tcPr>
            <w:tcW w:type="dxa" w:w="27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4. Hexie yu mengxiang (Uyum ve Rüya)</w:t>
            </w:r>
          </w:p>
        </w:tc>
        <w:tc>
          <w:tcPr>
            <w:tcW w:type="dxa" w:w="34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7. Zhonghua yi jia qin (Çin Milleti Tek Aile); 8. Zhongguoren Zhongguomeng (Çinliler ve Çin Rüyası)</w:t>
            </w:r>
          </w:p>
        </w:tc>
        <w:tc>
          <w:tcPr>
            <w:tcW w:type="dxa" w:w="14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89–118</w:t>
            </w:r>
          </w:p>
        </w:tc>
      </w:tr>
      <w:tr>
        <w:tc>
          <w:tcPr>
            <w:tcW w:type="dxa" w:w="13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Alt cilt (xiace)</w:t>
            </w:r>
          </w:p>
        </w:tc>
        <w:tc>
          <w:tcPr>
            <w:tcW w:type="dxa" w:w="27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1. Women gongtong de shijie (Ortak Dünyamız)</w:t>
            </w:r>
          </w:p>
        </w:tc>
        <w:tc>
          <w:tcPr>
            <w:tcW w:type="dxa" w:w="34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1. Tongzhu diqiucun (Aynı Küresel Köyde); 2. Goujian renlei mingyun gongtongti (İnsanlığın Kader Ortaklığını Kurmak)</w:t>
            </w:r>
          </w:p>
        </w:tc>
        <w:tc>
          <w:tcPr>
            <w:tcW w:type="dxa" w:w="14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1–26</w:t>
            </w:r>
          </w:p>
        </w:tc>
      </w:tr>
      <w:tr>
        <w:tc>
          <w:tcPr>
            <w:tcW w:type="dxa" w:w="13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
            </w:r>
          </w:p>
        </w:tc>
        <w:tc>
          <w:tcPr>
            <w:tcW w:type="dxa" w:w="27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2. Shijie wutai shang de Zhongguo (Dünya Sahnesinde Çin)</w:t>
            </w:r>
          </w:p>
        </w:tc>
        <w:tc>
          <w:tcPr>
            <w:tcW w:type="dxa" w:w="34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3. Yu shijie jin xianglian (Dünyayla Sıkı Bağ); 4. Yu shijie gong fazhan (Dünyayla Birlikte Kalkınmak)</w:t>
            </w:r>
          </w:p>
        </w:tc>
        <w:tc>
          <w:tcPr>
            <w:tcW w:type="dxa" w:w="14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27–52</w:t>
            </w:r>
          </w:p>
        </w:tc>
      </w:tr>
      <w:tr>
        <w:tc>
          <w:tcPr>
            <w:tcW w:type="dxa" w:w="1300"/>
            <w:tcBorders>
              <w:top w:val="none" w:color="FFFFFF" w:sz="0"/>
              <w:left w:val="none" w:color="FFFFFF" w:sz="0"/>
              <w:bottom w:val="single" w:color="000000" w:sz="4"/>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
            </w:r>
          </w:p>
        </w:tc>
        <w:tc>
          <w:tcPr>
            <w:tcW w:type="dxa" w:w="2700"/>
            <w:tcBorders>
              <w:top w:val="none" w:color="FFFFFF" w:sz="0"/>
              <w:left w:val="none" w:color="FFFFFF" w:sz="0"/>
              <w:bottom w:val="single" w:color="000000" w:sz="4"/>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3. Zouxiang weilai de shaonian (Geleceğe Yürüyen Gençler)</w:t>
            </w:r>
          </w:p>
        </w:tc>
        <w:tc>
          <w:tcPr>
            <w:tcW w:type="dxa" w:w="3400"/>
            <w:tcBorders>
              <w:top w:val="none" w:color="FFFFFF" w:sz="0"/>
              <w:left w:val="none" w:color="FFFFFF" w:sz="0"/>
              <w:bottom w:val="single" w:color="000000" w:sz="4"/>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5. Shaonian de dandang (Gençlerin Sorumluluğu); 6. Wo de biyeji (Mezuniyet Dönemim); 7. Cong zheli chufa (Buradan Yola Çıkmak)</w:t>
            </w:r>
          </w:p>
        </w:tc>
        <w:tc>
          <w:tcPr>
            <w:tcW w:type="dxa" w:w="1400"/>
            <w:tcBorders>
              <w:top w:val="none" w:color="FFFFFF" w:sz="0"/>
              <w:left w:val="none" w:color="FFFFFF" w:sz="0"/>
              <w:bottom w:val="single" w:color="000000" w:sz="4"/>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53–91</w:t>
            </w:r>
          </w:p>
        </w:tc>
      </w:tr>
    </w:tbl>
    <w:p>
      <w:pPr>
        <w:spacing w:after="120" w:before="60" w:line="240"/>
      </w:pPr>
      <w:r>
        <w:rPr>
          <w:rFonts w:ascii="Times New Roman" w:cs="Times New Roman" w:eastAsia="Times New Roman" w:hAnsi="Times New Roman"/>
          <w:sz w:val="20"/>
          <w:szCs w:val="20"/>
        </w:rPr>
        <w:t xml:space="preserve">Not. Ünite ve ders adları ders kitaplarının içindekiler sayfalarından alınmış ve pinyin harf çevirisiyle verilmiştir; Türkçe karşılıklar araştırmacıya aittir.</w:t>
      </w:r>
    </w:p>
    <w:p>
      <w:pPr>
        <w:spacing w:after="120" w:before="120" w:line="360"/>
        <w:jc w:val="left"/>
      </w:pPr>
      <w:r>
        <w:rPr>
          <w:rFonts w:ascii="Times New Roman" w:cs="Times New Roman" w:eastAsia="Times New Roman" w:hAnsi="Times New Roman"/>
          <w:b/>
          <w:bCs/>
          <w:i w:val="false"/>
          <w:iCs w:val="false"/>
          <w:sz w:val="24"/>
          <w:szCs w:val="24"/>
        </w:rPr>
        <w:t xml:space="preserve">Veri Toplama Süreci</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Ders kitaplarının PDF dosyalarının metni, sayfa sınırları korunarak çıkarılmış ve iki cildin tamamı baştan sona okunmuştur. Her iki ciltte de basılı sayfa numarasının PDF sayfa sırasından beş eksik olduğu, ünite açılış sayfaları dışında sayfa altlıklarından tek tek teyit edilmiştir. Atıflarda basılı sayfa numarası kullanılmış, basılı numarası bulunmayan ünite açılış sayfaları içindekiler sayfasındaki numarayla gösterilmiştir. Çince pasajların Türkçe karşılıkları araştırmacıya aittir; metinde anılan Çince kavram ve eser adları harf çevirisiyle (pinyin) gösterilmiştir.</w:t>
      </w:r>
    </w:p>
    <w:p>
      <w:pPr>
        <w:spacing w:after="120" w:before="120" w:line="360"/>
        <w:jc w:val="left"/>
      </w:pPr>
      <w:r>
        <w:rPr>
          <w:rFonts w:ascii="Times New Roman" w:cs="Times New Roman" w:eastAsia="Times New Roman" w:hAnsi="Times New Roman"/>
          <w:b/>
          <w:bCs/>
          <w:i w:val="false"/>
          <w:iCs w:val="false"/>
          <w:sz w:val="24"/>
          <w:szCs w:val="24"/>
        </w:rPr>
        <w:t xml:space="preserve">Verilerin Analizi</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Analiz, araştırma sorularından türetilen dört ana kategori etrafında belli bir usule göre yürütülmüştür: değerler, hukuk ve yurttaşlık, ideolojik çerçeve ile din, inanç ve gelenek. Her dersin özeti çıkarılmış; değer telkini, hukuki içerik, ideolojik göndermeler ve dinî-geleneksel atıflar sayfa numaralarıyla kodlanmıştır. Din ve gelenek kategorisinde zongjiao (din), xinyang (inanç), rujia (Konfüçyüsçü okul), Kongzi (Konfüçyüs), Mengzi (Mencius), chuantong meide (geleneksel erdemler), shensheng (kutsal), linghun (ruh) ve mingyun (kader) gibi kavramlar bütün metinde ayrıca taranmış ve geçtikleri her yer bağlamı içinde okunmuştur. Seçilmiş kavramların gövde metnindeki geçiş sıklığı betikle sayılmış; sayımlarda sayfa altlıklarındaki ünite ve ders adları dışarıda bırakılmıştır. Sıklıklar yorumun yerine geçmemekte, nitel bulguları destekleyen yardımcı bir göstergede kalmaktadır. Kodlamanın güvenirliğini desteklemek için her kod, dayandığı pasajın sayfa numarasıyla birlikte kaydedilmiş; ilk kodlamanın ardından iki cilt baştan sona yeniden okunarak kodlar gözden geçirilmiş ve metinde aktarılan her ifade kitabın özgün metninde yeniden doğrulanmıştır.</w:t>
      </w:r>
    </w:p>
    <w:p>
      <w:pPr>
        <w:spacing w:after="120" w:before="240" w:line="360"/>
        <w:jc w:val="center"/>
      </w:pPr>
      <w:r>
        <w:rPr>
          <w:rFonts w:ascii="Times New Roman" w:cs="Times New Roman" w:eastAsia="Times New Roman" w:hAnsi="Times New Roman"/>
          <w:b/>
          <w:bCs/>
          <w:i w:val="false"/>
          <w:iCs w:val="false"/>
          <w:sz w:val="24"/>
          <w:szCs w:val="24"/>
        </w:rPr>
        <w:t xml:space="preserve">Bulgular</w:t>
      </w:r>
    </w:p>
    <w:p>
      <w:pPr>
        <w:spacing w:after="120" w:before="120" w:line="360"/>
        <w:jc w:val="left"/>
      </w:pPr>
      <w:r>
        <w:rPr>
          <w:rFonts w:ascii="Times New Roman" w:cs="Times New Roman" w:eastAsia="Times New Roman" w:hAnsi="Times New Roman"/>
          <w:b/>
          <w:bCs/>
          <w:i w:val="false"/>
          <w:iCs w:val="false"/>
          <w:sz w:val="24"/>
          <w:szCs w:val="24"/>
        </w:rPr>
        <w:t xml:space="preserve">Kitabın Yapısı ve Pedagojik Kurgusu</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Ders kitabı bilgi aktarımını kısa bir ana metne bırakmakta, sayfaların büyük kısmını etkinlik ve bilgi çerçevelerine ayırmaktadır. Her alt başlık öğrencinin kendi tecrübesinden hareket eden bir “Deneyimini Kullan” etkinliğiyle açılmakta, “Genişletme Alanı” ile kapanmaktadır. Aradaki en yaygın çerçeve “Araştır ve Paylaş” etkinliğidir; bu çerçeve üst ciltte 68, alt ciltte 70 kez yer almaktadır (Tablo 2). Üst ciltte 48 kez görülen “İlgili Bağlantı” kutuları çoğunlukla yasa maddelerini, Parti belgelerini ve lider sözlerini aktarmaktadır; alt ciltte bu çerçevenin yalnızca 7 kez kullanılması, ikinci dönemin dış dünyaya ve öğrencinin geleceğine yönelen anlatısıyla uyumludur.</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1600"/>
        <w:gridCol w:w="1600"/>
      </w:tblGrid>
      <w:tr>
        <w:tc>
          <w:tcPr>
            <w:tcW w:type="dxa" w:w="8800"/>
            <w:gridSpan w:val="4"/>
            <w:tcBorders>
              <w:top w:val="single" w:color="000000" w:sz="4"/>
              <w:left w:val="none" w:color="FFFFFF" w:sz="0"/>
              <w:bottom w:val="single" w:color="000000" w:sz="4"/>
              <w:right w:val="none" w:color="FFFFFF" w:sz="0"/>
            </w:tcBorders>
          </w:tcPr>
          <w:p>
            <w:pPr>
              <w:spacing w:after="40" w:before="40" w:line="240"/>
            </w:pPr>
            <w:r>
              <w:rPr>
                <w:rFonts w:ascii="Times New Roman" w:cs="Times New Roman" w:eastAsia="Times New Roman" w:hAnsi="Times New Roman"/>
                <w:sz w:val="20"/>
                <w:szCs w:val="20"/>
              </w:rPr>
              <w:t xml:space="preserve">Tablo 2. Ders Kitabındaki Etkinlik ve Bilgi Çerçevelerinin Sayısı</w:t>
            </w:r>
          </w:p>
        </w:tc>
      </w:tr>
      <w:tr>
        <w:trPr>
          <w:tblHeader/>
        </w:trPr>
        <w:tc>
          <w:tcPr>
            <w:tcW w:type="dxa" w:w="2000"/>
            <w:tcBorders>
              <w:top w:val="single" w:color="000000" w:sz="4"/>
              <w:left w:val="none" w:color="FFFFFF" w:sz="0"/>
              <w:bottom w:val="single" w:color="000000" w:sz="4"/>
              <w:right w:val="none" w:color="FFFFFF" w:sz="0"/>
            </w:tcBorders>
          </w:tcPr>
          <w:p>
            <w:pPr>
              <w:spacing w:after="20" w:before="20" w:line="240"/>
              <w:jc w:val="left"/>
            </w:pPr>
            <w:r>
              <w:rPr>
                <w:rFonts w:ascii="Times New Roman" w:cs="Times New Roman" w:eastAsia="Times New Roman" w:hAnsi="Times New Roman"/>
                <w:b/>
                <w:bCs/>
                <w:sz w:val="20"/>
                <w:szCs w:val="20"/>
              </w:rPr>
              <w:t xml:space="preserve">Çerçeve</w:t>
            </w:r>
          </w:p>
        </w:tc>
        <w:tc>
          <w:tcPr>
            <w:tcW w:type="dxa" w:w="3600"/>
            <w:tcBorders>
              <w:top w:val="single" w:color="000000" w:sz="4"/>
              <w:left w:val="none" w:color="FFFFFF" w:sz="0"/>
              <w:bottom w:val="single" w:color="000000" w:sz="4"/>
              <w:right w:val="none" w:color="FFFFFF" w:sz="0"/>
            </w:tcBorders>
          </w:tcPr>
          <w:p>
            <w:pPr>
              <w:spacing w:after="20" w:before="20" w:line="240"/>
              <w:jc w:val="left"/>
            </w:pPr>
            <w:r>
              <w:rPr>
                <w:rFonts w:ascii="Times New Roman" w:cs="Times New Roman" w:eastAsia="Times New Roman" w:hAnsi="Times New Roman"/>
                <w:b/>
                <w:bCs/>
                <w:sz w:val="20"/>
                <w:szCs w:val="20"/>
              </w:rPr>
              <w:t xml:space="preserve">Türkçe Karşılığı</w:t>
            </w:r>
          </w:p>
        </w:tc>
        <w:tc>
          <w:tcPr>
            <w:tcW w:type="dxa" w:w="1600"/>
            <w:tcBorders>
              <w:top w:val="single" w:color="000000" w:sz="4"/>
              <w:left w:val="none" w:color="FFFFFF" w:sz="0"/>
              <w:bottom w:val="single" w:color="000000" w:sz="4"/>
              <w:right w:val="none" w:color="FFFFFF" w:sz="0"/>
            </w:tcBorders>
          </w:tcPr>
          <w:p>
            <w:pPr>
              <w:spacing w:after="20" w:before="20" w:line="240"/>
              <w:jc w:val="left"/>
            </w:pPr>
            <w:r>
              <w:rPr>
                <w:rFonts w:ascii="Times New Roman" w:cs="Times New Roman" w:eastAsia="Times New Roman" w:hAnsi="Times New Roman"/>
                <w:b/>
                <w:bCs/>
                <w:sz w:val="20"/>
                <w:szCs w:val="20"/>
              </w:rPr>
              <w:t xml:space="preserve">Üst Cilt</w:t>
            </w:r>
          </w:p>
        </w:tc>
        <w:tc>
          <w:tcPr>
            <w:tcW w:type="dxa" w:w="1600"/>
            <w:tcBorders>
              <w:top w:val="single" w:color="000000" w:sz="4"/>
              <w:left w:val="none" w:color="FFFFFF" w:sz="0"/>
              <w:bottom w:val="single" w:color="000000" w:sz="4"/>
              <w:right w:val="none" w:color="FFFFFF" w:sz="0"/>
            </w:tcBorders>
          </w:tcPr>
          <w:p>
            <w:pPr>
              <w:spacing w:after="20" w:before="20" w:line="240"/>
              <w:jc w:val="left"/>
            </w:pPr>
            <w:r>
              <w:rPr>
                <w:rFonts w:ascii="Times New Roman" w:cs="Times New Roman" w:eastAsia="Times New Roman" w:hAnsi="Times New Roman"/>
                <w:b/>
                <w:bCs/>
                <w:sz w:val="20"/>
                <w:szCs w:val="20"/>
              </w:rPr>
              <w:t xml:space="preserve">Alt Cilt</w:t>
            </w:r>
          </w:p>
        </w:tc>
      </w:tr>
      <w:tr>
        <w:tc>
          <w:tcPr>
            <w:tcW w:type="dxa" w:w="20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Yunyong ni de jingyan</w:t>
            </w:r>
          </w:p>
        </w:tc>
        <w:tc>
          <w:tcPr>
            <w:tcW w:type="dxa" w:w="36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Deneyimini Kullan</w:t>
            </w:r>
          </w:p>
        </w:tc>
        <w:tc>
          <w:tcPr>
            <w:tcW w:type="dxa" w:w="16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16</w:t>
            </w:r>
          </w:p>
        </w:tc>
        <w:tc>
          <w:tcPr>
            <w:tcW w:type="dxa" w:w="16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14</w:t>
            </w:r>
          </w:p>
        </w:tc>
      </w:tr>
      <w:tr>
        <w:tc>
          <w:tcPr>
            <w:tcW w:type="dxa" w:w="20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Tanjiu yu fenxiang</w:t>
            </w:r>
          </w:p>
        </w:tc>
        <w:tc>
          <w:tcPr>
            <w:tcW w:type="dxa" w:w="36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Araştır ve Paylaş</w:t>
            </w:r>
          </w:p>
        </w:tc>
        <w:tc>
          <w:tcPr>
            <w:tcW w:type="dxa" w:w="16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68</w:t>
            </w:r>
          </w:p>
        </w:tc>
        <w:tc>
          <w:tcPr>
            <w:tcW w:type="dxa" w:w="16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70</w:t>
            </w:r>
          </w:p>
        </w:tc>
      </w:tr>
      <w:tr>
        <w:tc>
          <w:tcPr>
            <w:tcW w:type="dxa" w:w="20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Xiangguan lianjie</w:t>
            </w:r>
          </w:p>
        </w:tc>
        <w:tc>
          <w:tcPr>
            <w:tcW w:type="dxa" w:w="36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İlgili Bağlantı</w:t>
            </w:r>
          </w:p>
        </w:tc>
        <w:tc>
          <w:tcPr>
            <w:tcW w:type="dxa" w:w="16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48</w:t>
            </w:r>
          </w:p>
        </w:tc>
        <w:tc>
          <w:tcPr>
            <w:tcW w:type="dxa" w:w="16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7</w:t>
            </w:r>
          </w:p>
        </w:tc>
      </w:tr>
      <w:tr>
        <w:tc>
          <w:tcPr>
            <w:tcW w:type="dxa" w:w="20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Yuedu ganwu</w:t>
            </w:r>
          </w:p>
        </w:tc>
        <w:tc>
          <w:tcPr>
            <w:tcW w:type="dxa" w:w="36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Oku ve Düşün</w:t>
            </w:r>
          </w:p>
        </w:tc>
        <w:tc>
          <w:tcPr>
            <w:tcW w:type="dxa" w:w="16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9</w:t>
            </w:r>
          </w:p>
        </w:tc>
        <w:tc>
          <w:tcPr>
            <w:tcW w:type="dxa" w:w="16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10</w:t>
            </w:r>
          </w:p>
        </w:tc>
      </w:tr>
      <w:tr>
        <w:tc>
          <w:tcPr>
            <w:tcW w:type="dxa" w:w="20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Fangfa yu jineng</w:t>
            </w:r>
          </w:p>
        </w:tc>
        <w:tc>
          <w:tcPr>
            <w:tcW w:type="dxa" w:w="36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Yöntem ve Beceri</w:t>
            </w:r>
          </w:p>
        </w:tc>
        <w:tc>
          <w:tcPr>
            <w:tcW w:type="dxa" w:w="16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1</w:t>
            </w:r>
          </w:p>
        </w:tc>
        <w:tc>
          <w:tcPr>
            <w:tcW w:type="dxa" w:w="16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5</w:t>
            </w:r>
          </w:p>
        </w:tc>
      </w:tr>
      <w:tr>
        <w:tc>
          <w:tcPr>
            <w:tcW w:type="dxa" w:w="2000"/>
            <w:tcBorders>
              <w:top w:val="none" w:color="FFFFFF" w:sz="0"/>
              <w:left w:val="none" w:color="FFFFFF" w:sz="0"/>
              <w:bottom w:val="single" w:color="000000" w:sz="4"/>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Tuozhan kongjian</w:t>
            </w:r>
          </w:p>
        </w:tc>
        <w:tc>
          <w:tcPr>
            <w:tcW w:type="dxa" w:w="3600"/>
            <w:tcBorders>
              <w:top w:val="none" w:color="FFFFFF" w:sz="0"/>
              <w:left w:val="none" w:color="FFFFFF" w:sz="0"/>
              <w:bottom w:val="single" w:color="000000" w:sz="4"/>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Genişletme Alanı</w:t>
            </w:r>
          </w:p>
        </w:tc>
        <w:tc>
          <w:tcPr>
            <w:tcW w:type="dxa" w:w="1600"/>
            <w:tcBorders>
              <w:top w:val="none" w:color="FFFFFF" w:sz="0"/>
              <w:left w:val="none" w:color="FFFFFF" w:sz="0"/>
              <w:bottom w:val="single" w:color="000000" w:sz="4"/>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16</w:t>
            </w:r>
          </w:p>
        </w:tc>
        <w:tc>
          <w:tcPr>
            <w:tcW w:type="dxa" w:w="1600"/>
            <w:tcBorders>
              <w:top w:val="none" w:color="FFFFFF" w:sz="0"/>
              <w:left w:val="none" w:color="FFFFFF" w:sz="0"/>
              <w:bottom w:val="single" w:color="000000" w:sz="4"/>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14</w:t>
            </w:r>
          </w:p>
        </w:tc>
      </w:tr>
    </w:tbl>
    <w:p>
      <w:pPr>
        <w:spacing w:after="120" w:before="60" w:line="240"/>
      </w:pPr>
      <w:r>
        <w:rPr>
          <w:rFonts w:ascii="Times New Roman" w:cs="Times New Roman" w:eastAsia="Times New Roman" w:hAnsi="Times New Roman"/>
          <w:sz w:val="20"/>
          <w:szCs w:val="20"/>
        </w:rPr>
        <w:t xml:space="preserve">Not. Sayılar, gövde metninde (üst cilt PDF s. 6–123, alt cilt PDF s. 6–96) çerçeve adının geçtiği yerlerin betikle sayılmasıyla elde edilmiştir.</w:t>
      </w:r>
    </w:p>
    <w:p>
      <w:pPr>
        <w:spacing w:after="120" w:before="120" w:line="360"/>
        <w:ind w:firstLine="284"/>
        <w:jc w:val="both"/>
      </w:pPr>
      <w:r>
        <w:rPr>
          <w:rFonts w:ascii="Times New Roman" w:cs="Times New Roman" w:eastAsia="Times New Roman" w:hAnsi="Times New Roman"/>
          <w:b w:val="false"/>
          <w:bCs w:val="false"/>
          <w:i w:val="false"/>
          <w:iCs w:val="false"/>
          <w:sz w:val="24"/>
          <w:szCs w:val="24"/>
        </w:rPr>
        <w:t xml:space="preserve">Etkinlikler görünüşte açık uçludur: Öğrencilerden münazara yapmaları, forumlara yorum yazmaları, birbiriyle çatışan görüş balonlarını değerlendirmeleri istenir. Bununla birlikte incelenen örneklerde sorular çoğu zaman ana metinde ulaşılmış hükme doğru yönlendirilmektedir; bunun bütün etkinliklerdeki oranı ayrıca kodlanarak hesaplanmamıştır. Yasaya neden uyulması gerektiği sorulduğunda dört görüş sıralanır; bunlardan biri “özgürlük ancak yasayla vardır, bilinçli olarak yasaya uymayı seçiyorum” şeklindedir (Jiaoyubu, 2021, s. 54); öteki seçenekler zahmetten kaçınma, korku ve kurala uyma gerekçelerine dayanır, aşkın bir gerekçe ise seçenekler arasında yer almaz. Benzer biçimde, Çin’de söylenegelen “öne çıkan kuşu tüfek vurur”, “ormanda sivrilen ağacı rüzgâr mutlaka kırar” sözleri yenilik kıvılcımını söndüren bir “kültürel psikoloji” olarak tartışmaya açılır (Jiaoyubu, 2021, s. 28).</w:t>
      </w:r>
    </w:p>
    <w:p>
      <w:pPr>
        <w:spacing w:after="0" w:before="40" w:line="276"/>
        <w:ind w:left="567"/>
        <w:jc w:val="both"/>
      </w:pPr>
      <w:r>
        <w:rPr>
          <w:rFonts w:ascii="Times New Roman" w:cs="Times New Roman" w:eastAsia="Times New Roman" w:hAnsi="Times New Roman"/>
          <w:i/>
          <w:iCs/>
          <w:color w:val="404040"/>
          <w:sz w:val="20"/>
          <w:szCs w:val="20"/>
        </w:rPr>
        <w:t xml:space="preserve">“我守法，是因为有法律才有自由”</w:t>
      </w:r>
    </w:p>
    <w:p>
      <w:pPr>
        <w:spacing w:after="80" w:before="0" w:line="276"/>
        <w:ind w:left="567"/>
      </w:pPr>
      <w:r>
        <w:rPr>
          <w:rFonts w:ascii="Times New Roman" w:cs="Times New Roman" w:eastAsia="Times New Roman" w:hAnsi="Times New Roman"/>
          <w:color w:val="7F7F7F"/>
          <w:sz w:val="18"/>
          <w:szCs w:val="18"/>
        </w:rPr>
        <w:t xml:space="preserve">[Kontrol: DED_ÇİN VE YUNAN DERS KİTAPLARI_TARİH_DİN/9. sınıf_1. kitap_üst cilt_birinci dönem kitabı.pdf; PDF s. 59; basılı s. 54; birebir eşleşme: TAM]</w:t>
      </w:r>
    </w:p>
    <w:p>
      <w:pPr>
        <w:spacing w:after="0" w:before="40" w:line="276"/>
        <w:ind w:left="567"/>
        <w:jc w:val="both"/>
      </w:pPr>
      <w:r>
        <w:rPr>
          <w:rFonts w:ascii="Times New Roman" w:cs="Times New Roman" w:eastAsia="Times New Roman" w:hAnsi="Times New Roman"/>
          <w:i/>
          <w:iCs/>
          <w:color w:val="404040"/>
          <w:sz w:val="20"/>
          <w:szCs w:val="20"/>
        </w:rPr>
        <w:t xml:space="preserve">“中国有“枪打出头鸟”“木秀于林，风必摧之”的说法，这样的文化心理，会浇灭创新的火花”</w:t>
      </w:r>
    </w:p>
    <w:p>
      <w:pPr>
        <w:spacing w:after="80" w:before="0" w:line="276"/>
        <w:ind w:left="567"/>
      </w:pPr>
      <w:r>
        <w:rPr>
          <w:rFonts w:ascii="Times New Roman" w:cs="Times New Roman" w:eastAsia="Times New Roman" w:hAnsi="Times New Roman"/>
          <w:color w:val="7F7F7F"/>
          <w:sz w:val="18"/>
          <w:szCs w:val="18"/>
        </w:rPr>
        <w:t xml:space="preserve">[Kontrol: DED_ÇİN VE YUNAN DERS KİTAPLARI_TARİH_DİN/9. sınıf_1. kitap_üst cilt_birinci dönem kitabı.pdf; PDF s. 33; basılı s. 28; birebir eşleşme: TAM]</w:t>
      </w:r>
    </w:p>
    <w:p>
      <w:pPr>
        <w:spacing w:after="120" w:before="120" w:line="360"/>
        <w:ind w:firstLine="284"/>
        <w:jc w:val="both"/>
      </w:pPr>
      <w:r>
        <w:rPr>
          <w:rFonts w:ascii="Times New Roman" w:cs="Times New Roman" w:eastAsia="Times New Roman" w:hAnsi="Times New Roman"/>
          <w:b w:val="false"/>
          <w:bCs w:val="false"/>
          <w:i w:val="false"/>
          <w:iCs w:val="false"/>
          <w:sz w:val="24"/>
          <w:szCs w:val="24"/>
        </w:rPr>
        <w:t xml:space="preserve">Kitabın değer öğretiminde en sık başvurduğu araçlardan biri örnek şahsiyettir. Bilim insanları, sınır karakolundaki askerler, hayırseverler, devrim şehitleri ve “Çin’in iyi insanları” derslerin her yerinde karşımıza çıkar. Yenilik dersinde cerrah Wu Mengchao ile hocası Qiu Fazu’nun yenilikçiliğinin anlatıldığı bir etkinlikte, Uluslararası Küçük Gezegen Merkezinin 17606 numaralı küçük gezegene “kalıcı olarak” “Wu Mengchao Yıldızı” adını verdiği bilgisi bilimsel başarının uluslararası tanınmasının bir nişanesi olarak aktarılır (Jiaoyubu, 2021, s. 27). Alt ciltte ise Güney Sudan’da barış gücü görevi sırasında bir saldırıda yaralanıp kurtarılamayarak şehit düşen (xisheng) asker Yang Shupeng’in örneği, Çin’in barış gücü harekâtındaki sorumluluğu bağlamında verilir (Jiaoyubu, 2018, s. 29); fotoğraf altındaki yazıda kendisinden “şehit” (lieshi) olarak söz edilir. Bu örneklerde ölüm ve fedakârlık bir ahiret inancına bağlanmadan millî ve insani bir ideal içinde anlamlandırılmaktadır.</w:t>
      </w:r>
    </w:p>
    <w:p>
      <w:pPr>
        <w:spacing w:after="0" w:before="40" w:line="276"/>
        <w:ind w:left="567"/>
        <w:jc w:val="both"/>
      </w:pPr>
      <w:r>
        <w:rPr>
          <w:rFonts w:ascii="Times New Roman" w:cs="Times New Roman" w:eastAsia="Times New Roman" w:hAnsi="Times New Roman"/>
          <w:i/>
          <w:iCs/>
          <w:color w:val="404040"/>
          <w:sz w:val="20"/>
          <w:szCs w:val="20"/>
        </w:rPr>
        <w:t xml:space="preserve">“将第 17606 号小行星永久命名为“吴孟超星””</w:t>
      </w:r>
    </w:p>
    <w:p>
      <w:pPr>
        <w:spacing w:after="80" w:before="0" w:line="276"/>
        <w:ind w:left="567"/>
      </w:pPr>
      <w:r>
        <w:rPr>
          <w:rFonts w:ascii="Times New Roman" w:cs="Times New Roman" w:eastAsia="Times New Roman" w:hAnsi="Times New Roman"/>
          <w:color w:val="7F7F7F"/>
          <w:sz w:val="18"/>
          <w:szCs w:val="18"/>
        </w:rPr>
        <w:t xml:space="preserve">[Kontrol: DED_ÇİN VE YUNAN DERS KİTAPLARI_TARİH_DİN/9. sınıf_1. kitap_üst cilt_birinci dönem kitabı.pdf; PDF s. 32; basılı s. 27; birebir eşleşme: TAM]</w:t>
      </w:r>
    </w:p>
    <w:p>
      <w:pPr>
        <w:spacing w:after="0" w:before="40" w:line="276"/>
        <w:ind w:left="567"/>
        <w:jc w:val="both"/>
      </w:pPr>
      <w:r>
        <w:rPr>
          <w:rFonts w:ascii="Times New Roman" w:cs="Times New Roman" w:eastAsia="Times New Roman" w:hAnsi="Times New Roman"/>
          <w:i/>
          <w:iCs/>
          <w:color w:val="404040"/>
          <w:sz w:val="20"/>
          <w:szCs w:val="20"/>
        </w:rPr>
        <w:t xml:space="preserve">“杨树朋在南苏丹遇袭事件中受伤，经抢救无效牺牲”</w:t>
      </w:r>
    </w:p>
    <w:p>
      <w:pPr>
        <w:spacing w:after="80" w:before="0" w:line="276"/>
        <w:ind w:left="567"/>
      </w:pPr>
      <w:r>
        <w:rPr>
          <w:rFonts w:ascii="Times New Roman" w:cs="Times New Roman" w:eastAsia="Times New Roman" w:hAnsi="Times New Roman"/>
          <w:color w:val="7F7F7F"/>
          <w:sz w:val="18"/>
          <w:szCs w:val="18"/>
        </w:rPr>
        <w:t xml:space="preserve">[Kontrol: DED_ÇİN VE YUNAN DERS KİTAPLARI_TARİH_DİN/9. sınıf_2. kitap_alt cilt ikinci dönem kitabı.pdf; PDF s. 34; basılı s. 29; birebir eşleşme: TAM]</w:t>
      </w:r>
    </w:p>
    <w:p>
      <w:pPr>
        <w:spacing w:after="120" w:before="120" w:line="360"/>
        <w:jc w:val="left"/>
      </w:pPr>
      <w:r>
        <w:rPr>
          <w:rFonts w:ascii="Times New Roman" w:cs="Times New Roman" w:eastAsia="Times New Roman" w:hAnsi="Times New Roman"/>
          <w:b/>
          <w:bCs/>
          <w:i w:val="false"/>
          <w:iCs w:val="false"/>
          <w:sz w:val="24"/>
          <w:szCs w:val="24"/>
        </w:rPr>
        <w:t xml:space="preserve">Değerler: Ahlakın Dayanağı ve Erdem Kataloğu</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Kitabın ilk ünitesi, ahlaki öznenin içinde konumlanacağı tarihî anlatıyı kurar. Çin’in beş bin yılı aşkın bir medeniyet tarihine sahip olduğu, yakın çağda ise Batılı güçlerin istilası ve feodal yönetimin çürümüşlüğü yüzünden daha önce görülmemiş acılar çektiği anlatılır (Jiaoyubu, 2021, s. 3). Bu acıdan çıkışın öznesi Çin Komünist Partisi’dir: Partinin önderliğinde Çin milleti “ayağa kalkmaktan zenginleşmeye ve güçlenmeye uzanan büyük sıçramayı” yaşamıştır (Jiaoyubu, 2021, s. 1). “Çin’i ancak sosyalizm kurtarabilir” hükmü (Jiaoyubu, 2021, s. 5) ve reform ile dışa açılmanın “çağdaş Çin’in kaderini belirleyen kilit hamle” sayılması (Jiaoyubu, 2021, s. 5), ahlakın kendisinden beslendiği zemini tarih, millet ve Parti üçlüsü olarak belirler. Bu üçlünün dışında, ahlakın vahiy, ilahî emir ya da Gök (tian) iradesi gibi aşkın bir kaynağa dayandırıldığı bir pasaja üst ciltte rastlanmamıştır; “Gök durmaksızın hareket eder, erdemli kişi de durmaksızın kendini güçlendirir” gibi kozmolojik benzetmeler ise yalnızca alıntı listelerinde ve açıklanmadan yer alır (Jiaoyubu, 2021, s. 70).</w:t>
      </w:r>
    </w:p>
    <w:p>
      <w:pPr>
        <w:spacing w:after="0" w:before="40" w:line="276"/>
        <w:ind w:left="567"/>
        <w:jc w:val="both"/>
      </w:pPr>
      <w:r>
        <w:rPr>
          <w:rFonts w:ascii="Times New Roman" w:cs="Times New Roman" w:eastAsia="Times New Roman" w:hAnsi="Times New Roman"/>
          <w:i/>
          <w:iCs/>
          <w:color w:val="404040"/>
          <w:sz w:val="20"/>
          <w:szCs w:val="20"/>
        </w:rPr>
        <w:t xml:space="preserve">“近代以后，由于西方列强的入侵、封建统治的腐败，中华民族遭受了前所未有的苦难”</w:t>
      </w:r>
    </w:p>
    <w:p>
      <w:pPr>
        <w:spacing w:after="80" w:before="0" w:line="276"/>
        <w:ind w:left="567"/>
      </w:pPr>
      <w:r>
        <w:rPr>
          <w:rFonts w:ascii="Times New Roman" w:cs="Times New Roman" w:eastAsia="Times New Roman" w:hAnsi="Times New Roman"/>
          <w:color w:val="7F7F7F"/>
          <w:sz w:val="18"/>
          <w:szCs w:val="18"/>
        </w:rPr>
        <w:t xml:space="preserve">[Kontrol: DED_ÇİN VE YUNAN DERS KİTAPLARI_TARİH_DİN/9. sınıf_1. kitap_üst cilt_birinci dönem kitabı.pdf; PDF s. 8; basılı s. 3; birebir eşleşme: TAM]</w:t>
      </w:r>
    </w:p>
    <w:p>
      <w:pPr>
        <w:spacing w:after="0" w:before="40" w:line="276"/>
        <w:ind w:left="567"/>
        <w:jc w:val="both"/>
      </w:pPr>
      <w:r>
        <w:rPr>
          <w:rFonts w:ascii="Times New Roman" w:cs="Times New Roman" w:eastAsia="Times New Roman" w:hAnsi="Times New Roman"/>
          <w:i/>
          <w:iCs/>
          <w:color w:val="404040"/>
          <w:sz w:val="20"/>
          <w:szCs w:val="20"/>
        </w:rPr>
        <w:t xml:space="preserve">“在中国共产党的领导下，中华民族迎来了从站起来、富起来到强起来的伟大飞跃”</w:t>
      </w:r>
    </w:p>
    <w:p>
      <w:pPr>
        <w:spacing w:after="80" w:before="0" w:line="276"/>
        <w:ind w:left="567"/>
      </w:pPr>
      <w:r>
        <w:rPr>
          <w:rFonts w:ascii="Times New Roman" w:cs="Times New Roman" w:eastAsia="Times New Roman" w:hAnsi="Times New Roman"/>
          <w:color w:val="7F7F7F"/>
          <w:sz w:val="18"/>
          <w:szCs w:val="18"/>
        </w:rPr>
        <w:t xml:space="preserve">[Kontrol: DED_ÇİN VE YUNAN DERS KİTAPLARI_TARİH_DİN/9. sınıf_1. kitap_üst cilt_birinci dönem kitabı.pdf; PDF s. 6; basılı s. 1 (sayfada basılı numara yok; 目录'ye göre); birebir eşleşme: TAM]</w:t>
      </w:r>
    </w:p>
    <w:p>
      <w:pPr>
        <w:spacing w:after="0" w:before="40" w:line="276"/>
        <w:ind w:left="567"/>
        <w:jc w:val="both"/>
      </w:pPr>
      <w:r>
        <w:rPr>
          <w:rFonts w:ascii="Times New Roman" w:cs="Times New Roman" w:eastAsia="Times New Roman" w:hAnsi="Times New Roman"/>
          <w:i/>
          <w:iCs/>
          <w:color w:val="404040"/>
          <w:sz w:val="20"/>
          <w:szCs w:val="20"/>
        </w:rPr>
        <w:t xml:space="preserve">“只有社会主义才能救中国”</w:t>
      </w:r>
    </w:p>
    <w:p>
      <w:pPr>
        <w:spacing w:after="80" w:before="0" w:line="276"/>
        <w:ind w:left="567"/>
      </w:pPr>
      <w:r>
        <w:rPr>
          <w:rFonts w:ascii="Times New Roman" w:cs="Times New Roman" w:eastAsia="Times New Roman" w:hAnsi="Times New Roman"/>
          <w:color w:val="7F7F7F"/>
          <w:sz w:val="18"/>
          <w:szCs w:val="18"/>
        </w:rPr>
        <w:t xml:space="preserve">[Kontrol: DED_ÇİN VE YUNAN DERS KİTAPLARI_TARİH_DİN/9. sınıf_1. kitap_üst cilt_birinci dönem kitabı.pdf; PDF s. 10; basılı s. 5; birebir eşleşme: TAM]</w:t>
      </w:r>
    </w:p>
    <w:p>
      <w:pPr>
        <w:spacing w:after="0" w:before="40" w:line="276"/>
        <w:ind w:left="567"/>
        <w:jc w:val="both"/>
      </w:pPr>
      <w:r>
        <w:rPr>
          <w:rFonts w:ascii="Times New Roman" w:cs="Times New Roman" w:eastAsia="Times New Roman" w:hAnsi="Times New Roman"/>
          <w:i/>
          <w:iCs/>
          <w:color w:val="404040"/>
          <w:sz w:val="20"/>
          <w:szCs w:val="20"/>
        </w:rPr>
        <w:t xml:space="preserve">“天行健，君子以自强不息”</w:t>
      </w:r>
    </w:p>
    <w:p>
      <w:pPr>
        <w:spacing w:after="80" w:before="0" w:line="276"/>
        <w:ind w:left="567"/>
      </w:pPr>
      <w:r>
        <w:rPr>
          <w:rFonts w:ascii="Times New Roman" w:cs="Times New Roman" w:eastAsia="Times New Roman" w:hAnsi="Times New Roman"/>
          <w:color w:val="7F7F7F"/>
          <w:sz w:val="18"/>
          <w:szCs w:val="18"/>
        </w:rPr>
        <w:t xml:space="preserve">[Kontrol: DED_ÇİN VE YUNAN DERS KİTAPLARI_TARİH_DİN/9. sınıf_1. kitap_üst cilt_birinci dönem kitabı.pdf; PDF s. 75; basılı s. 70; birebir eşleşme: TAM]</w:t>
      </w:r>
    </w:p>
    <w:p>
      <w:pPr>
        <w:spacing w:after="120" w:before="120" w:line="360"/>
        <w:ind w:firstLine="284"/>
        <w:jc w:val="both"/>
      </w:pPr>
      <w:r>
        <w:rPr>
          <w:rFonts w:ascii="Times New Roman" w:cs="Times New Roman" w:eastAsia="Times New Roman" w:hAnsi="Times New Roman"/>
          <w:b w:val="false"/>
          <w:bCs w:val="false"/>
          <w:i w:val="false"/>
          <w:iCs w:val="false"/>
          <w:sz w:val="24"/>
          <w:szCs w:val="24"/>
        </w:rPr>
        <w:t xml:space="preserve">Değerlerin ölçütü açıkça tanımlanmıştır. Kitap, anayasanın devletin sosyalist çekirdek değerleri savunduğu hükmünü hatırlattıktan sonra “sosyalist çekirdek değerler, çağdaş Çinlilerin doğruyu ve yanlışı değerlendirme ölçütüdür” der (Jiaoyubu, 2021, s. 71). İyilik, doğruluk ve dürüstlük gibi değerlerin insanlığın temel ortaklığını taşıdığı kabul edilir (Jiaoyubu, 2021, s. 70); fakat ardından değerlerin milletlere ve çağlara göre belirgin biçimde farklılaştığı vurgulanır ve Çin’in özgün kültürel geleneği, özgün tarihî kaderi ve özgün ulusal şartlarının, Çin kültürünün verimli toprağında kök salmış ve çağdaş Çin’e özgü değerlere bağlı kalmayı “kaçınılmaz kıldığı” belirtilir (Jiaoyubu, 2021, s. 70). Kitap aynı yerde sosyalist çekirdek değerlerin dünya medeniyetinin faydalı birikimini de özümsediğini ekler (Jiaoyubu, 2021, s. 70). Evrensel olan böylece kabul edilmekte, fakat felsefi bir temellendirme yerine millî ve tarihî farklılık gerekçesiyle millî bir zorunluluğa bağlanmaktadır.</w:t>
      </w:r>
    </w:p>
    <w:p>
      <w:pPr>
        <w:spacing w:after="0" w:before="40" w:line="276"/>
        <w:ind w:left="567"/>
        <w:jc w:val="both"/>
      </w:pPr>
      <w:r>
        <w:rPr>
          <w:rFonts w:ascii="Times New Roman" w:cs="Times New Roman" w:eastAsia="Times New Roman" w:hAnsi="Times New Roman"/>
          <w:i/>
          <w:iCs/>
          <w:color w:val="404040"/>
          <w:sz w:val="20"/>
          <w:szCs w:val="20"/>
        </w:rPr>
        <w:t xml:space="preserve">“社会主义核心价值观是当代中国人评判是非曲直的价值标准”</w:t>
      </w:r>
    </w:p>
    <w:p>
      <w:pPr>
        <w:spacing w:after="80" w:before="0" w:line="276"/>
        <w:ind w:left="567"/>
      </w:pPr>
      <w:r>
        <w:rPr>
          <w:rFonts w:ascii="Times New Roman" w:cs="Times New Roman" w:eastAsia="Times New Roman" w:hAnsi="Times New Roman"/>
          <w:color w:val="7F7F7F"/>
          <w:sz w:val="18"/>
          <w:szCs w:val="18"/>
        </w:rPr>
        <w:t xml:space="preserve">[Kontrol: DED_ÇİN VE YUNAN DERS KİTAPLARI_TARİH_DİN/9. sınıf_1. kitap_üst cilt_birinci dönem kitabı.pdf; PDF s. 76; basılı s. 71; birebir eşleşme: TAM]</w:t>
      </w:r>
    </w:p>
    <w:p>
      <w:pPr>
        <w:spacing w:after="0" w:before="40" w:line="276"/>
        <w:ind w:left="567"/>
        <w:jc w:val="both"/>
      </w:pPr>
      <w:r>
        <w:rPr>
          <w:rFonts w:ascii="Times New Roman" w:cs="Times New Roman" w:eastAsia="Times New Roman" w:hAnsi="Times New Roman"/>
          <w:i/>
          <w:iCs/>
          <w:color w:val="404040"/>
          <w:sz w:val="20"/>
          <w:szCs w:val="20"/>
        </w:rPr>
        <w:t xml:space="preserve">“许多价值具有人类的基本共性，如善良、正直、诚信”</w:t>
      </w:r>
    </w:p>
    <w:p>
      <w:pPr>
        <w:spacing w:after="80" w:before="0" w:line="276"/>
        <w:ind w:left="567"/>
      </w:pPr>
      <w:r>
        <w:rPr>
          <w:rFonts w:ascii="Times New Roman" w:cs="Times New Roman" w:eastAsia="Times New Roman" w:hAnsi="Times New Roman"/>
          <w:color w:val="7F7F7F"/>
          <w:sz w:val="18"/>
          <w:szCs w:val="18"/>
        </w:rPr>
        <w:t xml:space="preserve">[Kontrol: DED_ÇİN VE YUNAN DERS KİTAPLARI_TARİH_DİN/9. sınıf_1. kitap_üst cilt_birinci dönem kitabı.pdf; PDF s. 75; basılı s. 70; birebir eşleşme: TAM]</w:t>
      </w:r>
    </w:p>
    <w:p>
      <w:pPr>
        <w:spacing w:after="120" w:before="120" w:line="360"/>
        <w:ind w:firstLine="284"/>
        <w:jc w:val="both"/>
      </w:pPr>
      <w:r>
        <w:rPr>
          <w:rFonts w:ascii="Times New Roman" w:cs="Times New Roman" w:eastAsia="Times New Roman" w:hAnsi="Times New Roman"/>
          <w:b w:val="false"/>
          <w:bCs w:val="false"/>
          <w:i w:val="false"/>
          <w:iCs w:val="false"/>
          <w:sz w:val="24"/>
          <w:szCs w:val="24"/>
        </w:rPr>
        <w:t xml:space="preserve">Erdem kataloğu ise geleneğin dilini taşır. Üçüncü ünitede Çin geleneksel erdemleri “Çin kültürünün özü” olarak tanımlanır (Jiaoyubu, 2021, s. 62); ülke ve halk için kaygılanan vatan sevgisi, çalışkanlık ve kendini durmaksızın güçlendirme, yardımlaşma, dürüstlük ve kanuna bağlılık ile birlikte “anne babaya hürmet ve öğretmene saygı” gibi ahlak kuralları sayılır (Jiaoyubu, 2021, s. 63). Bu erdemlerin, uzun tarihî birikim sonucunda milletin düşünme biçimine, değer anlayışına, davranış biçimine ve örf ve âdetine karışarak “bir kültür geni” hâline geldiği ifade edilir (Jiaoyubu, 2021, s. 64). “Gen” benzetmesi erdemi gerekçelendirilecek bir şey olmaktan çıkarıp Çinli olmanın tabii bir uzantısı gibi sunmaktadır; kitap bununla birlikte erdemin gücünün uygulamada olduğunu ve gençlerin onu bizzat yaşaması gerektiğini de vurgular (Jiaoyubu, 2021, s. 65).</w:t>
      </w:r>
    </w:p>
    <w:p>
      <w:pPr>
        <w:spacing w:after="0" w:before="40" w:line="276"/>
        <w:ind w:left="567"/>
        <w:jc w:val="both"/>
      </w:pPr>
      <w:r>
        <w:rPr>
          <w:rFonts w:ascii="Times New Roman" w:cs="Times New Roman" w:eastAsia="Times New Roman" w:hAnsi="Times New Roman"/>
          <w:i/>
          <w:iCs/>
          <w:color w:val="404040"/>
          <w:sz w:val="20"/>
          <w:szCs w:val="20"/>
        </w:rPr>
        <w:t xml:space="preserve">“中华传统美德是中华文化的精髓”</w:t>
      </w:r>
    </w:p>
    <w:p>
      <w:pPr>
        <w:spacing w:after="80" w:before="0" w:line="276"/>
        <w:ind w:left="567"/>
      </w:pPr>
      <w:r>
        <w:rPr>
          <w:rFonts w:ascii="Times New Roman" w:cs="Times New Roman" w:eastAsia="Times New Roman" w:hAnsi="Times New Roman"/>
          <w:color w:val="7F7F7F"/>
          <w:sz w:val="18"/>
          <w:szCs w:val="18"/>
        </w:rPr>
        <w:t xml:space="preserve">[Kontrol: DED_ÇİN VE YUNAN DERS KİTAPLARI_TARİH_DİN/9. sınıf_1. kitap_üst cilt_birinci dönem kitabı.pdf; PDF s. 67; basılı s. 62; birebir eşleşme: TAM]</w:t>
      </w:r>
    </w:p>
    <w:p>
      <w:pPr>
        <w:spacing w:after="0" w:before="40" w:line="276"/>
        <w:ind w:left="567"/>
        <w:jc w:val="both"/>
      </w:pPr>
      <w:r>
        <w:rPr>
          <w:rFonts w:ascii="Times New Roman" w:cs="Times New Roman" w:eastAsia="Times New Roman" w:hAnsi="Times New Roman"/>
          <w:i/>
          <w:iCs/>
          <w:color w:val="404040"/>
          <w:sz w:val="20"/>
          <w:szCs w:val="20"/>
        </w:rPr>
        <w:t xml:space="preserve">“有孝敬父母、尊敬师长的伦理规范”</w:t>
      </w:r>
    </w:p>
    <w:p>
      <w:pPr>
        <w:spacing w:after="80" w:before="0" w:line="276"/>
        <w:ind w:left="567"/>
      </w:pPr>
      <w:r>
        <w:rPr>
          <w:rFonts w:ascii="Times New Roman" w:cs="Times New Roman" w:eastAsia="Times New Roman" w:hAnsi="Times New Roman"/>
          <w:color w:val="7F7F7F"/>
          <w:sz w:val="18"/>
          <w:szCs w:val="18"/>
        </w:rPr>
        <w:t xml:space="preserve">[Kontrol: DED_ÇİN VE YUNAN DERS KİTAPLARI_TARİH_DİN/9. sınıf_1. kitap_üst cilt_birinci dönem kitabı.pdf; PDF s. 68; basılı s. 63; birebir eşleşme: TAM]</w:t>
      </w:r>
    </w:p>
    <w:p>
      <w:pPr>
        <w:spacing w:after="0" w:before="40" w:line="276"/>
        <w:ind w:left="567"/>
        <w:jc w:val="both"/>
      </w:pPr>
      <w:r>
        <w:rPr>
          <w:rFonts w:ascii="Times New Roman" w:cs="Times New Roman" w:eastAsia="Times New Roman" w:hAnsi="Times New Roman"/>
          <w:i/>
          <w:iCs/>
          <w:color w:val="404040"/>
          <w:sz w:val="20"/>
          <w:szCs w:val="20"/>
        </w:rPr>
        <w:t xml:space="preserve">“中华传统美德已经融入中华民族的思维方式、价值观念、行为方式和风俗习惯，成为一种文化基因”</w:t>
      </w:r>
    </w:p>
    <w:p>
      <w:pPr>
        <w:spacing w:after="80" w:before="0" w:line="276"/>
        <w:ind w:left="567"/>
      </w:pPr>
      <w:r>
        <w:rPr>
          <w:rFonts w:ascii="Times New Roman" w:cs="Times New Roman" w:eastAsia="Times New Roman" w:hAnsi="Times New Roman"/>
          <w:color w:val="7F7F7F"/>
          <w:sz w:val="18"/>
          <w:szCs w:val="18"/>
        </w:rPr>
        <w:t xml:space="preserve">[Kontrol: DED_ÇİN VE YUNAN DERS KİTAPLARI_TARİH_DİN/9. sınıf_1. kitap_üst cilt_birinci dönem kitabı.pdf; PDF s. 69; basılı s. 64; birebir eşleşme: TAM]</w:t>
      </w:r>
    </w:p>
    <w:p>
      <w:pPr>
        <w:spacing w:after="0" w:before="40" w:line="276"/>
        <w:ind w:left="567"/>
        <w:jc w:val="both"/>
      </w:pPr>
      <w:r>
        <w:rPr>
          <w:rFonts w:ascii="Times New Roman" w:cs="Times New Roman" w:eastAsia="Times New Roman" w:hAnsi="Times New Roman"/>
          <w:i/>
          <w:iCs/>
          <w:color w:val="404040"/>
          <w:sz w:val="20"/>
          <w:szCs w:val="20"/>
        </w:rPr>
        <w:t xml:space="preserve">“美德的力量在于践行”</w:t>
      </w:r>
    </w:p>
    <w:p>
      <w:pPr>
        <w:spacing w:after="80" w:before="0" w:line="276"/>
        <w:ind w:left="567"/>
      </w:pPr>
      <w:r>
        <w:rPr>
          <w:rFonts w:ascii="Times New Roman" w:cs="Times New Roman" w:eastAsia="Times New Roman" w:hAnsi="Times New Roman"/>
          <w:color w:val="7F7F7F"/>
          <w:sz w:val="18"/>
          <w:szCs w:val="18"/>
        </w:rPr>
        <w:t xml:space="preserve">[Kontrol: DED_ÇİN VE YUNAN DERS KİTAPLARI_TARİH_DİN/9. sınıf_1. kitap_üst cilt_birinci dönem kitabı.pdf; PDF s. 70; basılı s. 65; birebir eşleşme: TAM]</w:t>
      </w:r>
    </w:p>
    <w:p>
      <w:pPr>
        <w:spacing w:after="120" w:before="120" w:line="360"/>
        <w:ind w:firstLine="284"/>
        <w:jc w:val="both"/>
      </w:pPr>
      <w:r>
        <w:rPr>
          <w:rFonts w:ascii="Times New Roman" w:cs="Times New Roman" w:eastAsia="Times New Roman" w:hAnsi="Times New Roman"/>
          <w:b w:val="false"/>
          <w:bCs w:val="false"/>
          <w:i w:val="false"/>
          <w:iCs w:val="false"/>
          <w:sz w:val="24"/>
          <w:szCs w:val="24"/>
        </w:rPr>
        <w:t xml:space="preserve">Vatanseverlik bu katalogda merkezî konumdadır ve siyasi bir sadakatle özdeşleştirilir: “Çağdaş Çin’de vatanseverliğin özü, vatanı sevmek ile Parti’yi ve sosyalizmi sevmenin yüksek bir birliğini korumaktır” (Jiaoyubu, 2021, s. 67). Erdem böylece tek bir siyasal merkeze bağlanmakta, ahlaki öznenin bağlılığı Parti’ye uzanan bir zincire eklemlenmektedir. Mutluluk sorusu da aynı dünyevi çerçevede tartışılır: “Maddi hayat iyileşince insan mutlu olur mu?” konulu bir çevrimiçi forum etkinliğinde aktarılan internet kullanıcısı görüşlerinden biri, maddi zenginliğin mutluluğa yardım ettiğini, fakat hayatın amacıyla bir tutulamayacağını söyler (Jiaoyubu, 2021, s. 13); son ünitede ise ana metin “ancak mücadele eden bir hayatın mutlu bir hayat sayılabileceği” hükmüne ulaşır (Jiaoyubu, 2021, s. 114).</w:t>
      </w:r>
    </w:p>
    <w:p>
      <w:pPr>
        <w:spacing w:after="0" w:before="40" w:line="276"/>
        <w:ind w:left="567"/>
        <w:jc w:val="both"/>
      </w:pPr>
      <w:r>
        <w:rPr>
          <w:rFonts w:ascii="Times New Roman" w:cs="Times New Roman" w:eastAsia="Times New Roman" w:hAnsi="Times New Roman"/>
          <w:i/>
          <w:iCs/>
          <w:color w:val="404040"/>
          <w:sz w:val="20"/>
          <w:szCs w:val="20"/>
        </w:rPr>
        <w:t xml:space="preserve">“当代中国，爱国主义的本质就是坚持爱国和爱党、爱社会主义高度统一”</w:t>
      </w:r>
    </w:p>
    <w:p>
      <w:pPr>
        <w:spacing w:after="80" w:before="0" w:line="276"/>
        <w:ind w:left="567"/>
      </w:pPr>
      <w:r>
        <w:rPr>
          <w:rFonts w:ascii="Times New Roman" w:cs="Times New Roman" w:eastAsia="Times New Roman" w:hAnsi="Times New Roman"/>
          <w:color w:val="7F7F7F"/>
          <w:sz w:val="18"/>
          <w:szCs w:val="18"/>
        </w:rPr>
        <w:t xml:space="preserve">[Kontrol: DED_ÇİN VE YUNAN DERS KİTAPLARI_TARİH_DİN/9. sınıf_1. kitap_üst cilt_birinci dönem kitabı.pdf; PDF s. 72; basılı s. 67; birebir eşleşme: TAM]</w:t>
      </w:r>
    </w:p>
    <w:p>
      <w:pPr>
        <w:spacing w:after="0" w:before="40" w:line="276"/>
        <w:ind w:left="567"/>
        <w:jc w:val="both"/>
      </w:pPr>
      <w:r>
        <w:rPr>
          <w:rFonts w:ascii="Times New Roman" w:cs="Times New Roman" w:eastAsia="Times New Roman" w:hAnsi="Times New Roman"/>
          <w:i/>
          <w:iCs/>
          <w:color w:val="404040"/>
          <w:sz w:val="20"/>
          <w:szCs w:val="20"/>
        </w:rPr>
        <w:t xml:space="preserve">“物质财富有助于人实现幸福这个目标，但不能把物质财富与人生目标等同”</w:t>
      </w:r>
    </w:p>
    <w:p>
      <w:pPr>
        <w:spacing w:after="80" w:before="0" w:line="276"/>
        <w:ind w:left="567"/>
      </w:pPr>
      <w:r>
        <w:rPr>
          <w:rFonts w:ascii="Times New Roman" w:cs="Times New Roman" w:eastAsia="Times New Roman" w:hAnsi="Times New Roman"/>
          <w:color w:val="7F7F7F"/>
          <w:sz w:val="18"/>
          <w:szCs w:val="18"/>
        </w:rPr>
        <w:t xml:space="preserve">[Kontrol: DED_ÇİN VE YUNAN DERS KİTAPLARI_TARİH_DİN/9. sınıf_1. kitap_üst cilt_birinci dönem kitabı.pdf; PDF s. 18; basılı s. 13; birebir eşleşme: TAM]</w:t>
      </w:r>
    </w:p>
    <w:p>
      <w:pPr>
        <w:spacing w:after="0" w:before="40" w:line="276"/>
        <w:ind w:left="567"/>
        <w:jc w:val="both"/>
      </w:pPr>
      <w:r>
        <w:rPr>
          <w:rFonts w:ascii="Times New Roman" w:cs="Times New Roman" w:eastAsia="Times New Roman" w:hAnsi="Times New Roman"/>
          <w:i/>
          <w:iCs/>
          <w:color w:val="404040"/>
          <w:sz w:val="20"/>
          <w:szCs w:val="20"/>
        </w:rPr>
        <w:t xml:space="preserve">“只有奋斗的人生才称得上幸福的人生”</w:t>
      </w:r>
    </w:p>
    <w:p>
      <w:pPr>
        <w:spacing w:after="80" w:before="0" w:line="276"/>
        <w:ind w:left="567"/>
      </w:pPr>
      <w:r>
        <w:rPr>
          <w:rFonts w:ascii="Times New Roman" w:cs="Times New Roman" w:eastAsia="Times New Roman" w:hAnsi="Times New Roman"/>
          <w:color w:val="7F7F7F"/>
          <w:sz w:val="18"/>
          <w:szCs w:val="18"/>
        </w:rPr>
        <w:t xml:space="preserve">[Kontrol: DED_ÇİN VE YUNAN DERS KİTAPLARI_TARİH_DİN/9. sınıf_1. kitap_üst cilt_birinci dönem kitabı.pdf; PDF s. 119; basılı s. 114; birebir eşleşme: TAM]</w:t>
      </w:r>
    </w:p>
    <w:p>
      <w:pPr>
        <w:spacing w:after="120" w:before="120" w:line="360"/>
        <w:ind w:firstLine="284"/>
        <w:jc w:val="both"/>
      </w:pPr>
      <w:r>
        <w:rPr>
          <w:rFonts w:ascii="Times New Roman" w:cs="Times New Roman" w:eastAsia="Times New Roman" w:hAnsi="Times New Roman"/>
          <w:b w:val="false"/>
          <w:bCs w:val="false"/>
          <w:i w:val="false"/>
          <w:iCs w:val="false"/>
          <w:sz w:val="24"/>
          <w:szCs w:val="24"/>
        </w:rPr>
        <w:t xml:space="preserve">Üst cildin ekoloji dersi, doğa ile insan arasındaki ilişkiyi de aynı içkin çerçevede ahlakileştirir. İnsanın doğayı işleyip kullanabileceği, fakat doğanın üstüne keyfince çıkamayacağı belirtilir ve “doğadan yalnızca alıp durursak mutlaka onun cezasına uğrarız” denir (Jiaoyubu, 2021, s. 82). Çevreyi korumak “yeniden doğuşa”, çevreyi tahrip etmek ise “kendi kendini yok etmeye” giden yol olarak tasvir edilir (Jiaoyubu, 2021, s. 79). Ceza, yeniden doğuş ve helak çağrışımları taşıyan bu dil, yaratıcı ya da kutsal bir referansa bağlanmaz; ölçüt doğa yasası ve medeniyetin bekasıdır: “Ekoloji gelişirse medeniyet gelişir, ekoloji gerilerse medeniyet geriler” (Jiaoyubu, 2021, s. 82). Tao Yuanming’in “Bunda hakiki bir mana var; anlatmak istedim, sözü unuttum” dizesiyle biten şiiri de, “hakiki mana”nın (zhenyi) felsefi ya da Daoist içeriğine değinilmeden, “insan ile doğanın uyum içinde birlikte var olması” başlığı altında bir yaşam tablosu ve şiirsel atmosfer (yijing) örneği olarak okutulur (Jiaoyubu, 2021, s. 81).</w:t>
      </w:r>
    </w:p>
    <w:p>
      <w:pPr>
        <w:spacing w:after="0" w:before="40" w:line="276"/>
        <w:ind w:left="567"/>
        <w:jc w:val="both"/>
      </w:pPr>
      <w:r>
        <w:rPr>
          <w:rFonts w:ascii="Times New Roman" w:cs="Times New Roman" w:eastAsia="Times New Roman" w:hAnsi="Times New Roman"/>
          <w:i/>
          <w:iCs/>
          <w:color w:val="404040"/>
          <w:sz w:val="20"/>
          <w:szCs w:val="20"/>
        </w:rPr>
        <w:t xml:space="preserve">“如果我们对自然只是一味地索取，必然受到它的惩罚”</w:t>
      </w:r>
    </w:p>
    <w:p>
      <w:pPr>
        <w:spacing w:after="80" w:before="0" w:line="276"/>
        <w:ind w:left="567"/>
      </w:pPr>
      <w:r>
        <w:rPr>
          <w:rFonts w:ascii="Times New Roman" w:cs="Times New Roman" w:eastAsia="Times New Roman" w:hAnsi="Times New Roman"/>
          <w:color w:val="7F7F7F"/>
          <w:sz w:val="18"/>
          <w:szCs w:val="18"/>
        </w:rPr>
        <w:t xml:space="preserve">[Kontrol: DED_ÇİN VE YUNAN DERS KİTAPLARI_TARİH_DİN/9. sınıf_1. kitap_üst cilt_birinci dönem kitabı.pdf; PDF s. 87; basılı s. 82; birebir eşleşme: TAM]</w:t>
      </w:r>
    </w:p>
    <w:p>
      <w:pPr>
        <w:spacing w:after="0" w:before="40" w:line="276"/>
        <w:ind w:left="567"/>
        <w:jc w:val="both"/>
      </w:pPr>
      <w:r>
        <w:rPr>
          <w:rFonts w:ascii="Times New Roman" w:cs="Times New Roman" w:eastAsia="Times New Roman" w:hAnsi="Times New Roman"/>
          <w:i/>
          <w:iCs/>
          <w:color w:val="404040"/>
          <w:sz w:val="20"/>
          <w:szCs w:val="20"/>
        </w:rPr>
        <w:t xml:space="preserve">“人类关爱和保护环境就是走向重生，漠视和破坏环境就是走向自我毁灭”</w:t>
      </w:r>
    </w:p>
    <w:p>
      <w:pPr>
        <w:spacing w:after="80" w:before="0" w:line="276"/>
        <w:ind w:left="567"/>
      </w:pPr>
      <w:r>
        <w:rPr>
          <w:rFonts w:ascii="Times New Roman" w:cs="Times New Roman" w:eastAsia="Times New Roman" w:hAnsi="Times New Roman"/>
          <w:color w:val="7F7F7F"/>
          <w:sz w:val="18"/>
          <w:szCs w:val="18"/>
        </w:rPr>
        <w:t xml:space="preserve">[Kontrol: DED_ÇİN VE YUNAN DERS KİTAPLARI_TARİH_DİN/9. sınıf_1. kitap_üst cilt_birinci dönem kitabı.pdf; PDF s. 84; basılı s. 79; birebir eşleşme: TAM]</w:t>
      </w:r>
    </w:p>
    <w:p>
      <w:pPr>
        <w:spacing w:after="0" w:before="40" w:line="276"/>
        <w:ind w:left="567"/>
        <w:jc w:val="both"/>
      </w:pPr>
      <w:r>
        <w:rPr>
          <w:rFonts w:ascii="Times New Roman" w:cs="Times New Roman" w:eastAsia="Times New Roman" w:hAnsi="Times New Roman"/>
          <w:i/>
          <w:iCs/>
          <w:color w:val="404040"/>
          <w:sz w:val="20"/>
          <w:szCs w:val="20"/>
        </w:rPr>
        <w:t xml:space="preserve">“此中有真意，欲辨已忘言”</w:t>
      </w:r>
    </w:p>
    <w:p>
      <w:pPr>
        <w:spacing w:after="80" w:before="0" w:line="276"/>
        <w:ind w:left="567"/>
      </w:pPr>
      <w:r>
        <w:rPr>
          <w:rFonts w:ascii="Times New Roman" w:cs="Times New Roman" w:eastAsia="Times New Roman" w:hAnsi="Times New Roman"/>
          <w:color w:val="7F7F7F"/>
          <w:sz w:val="18"/>
          <w:szCs w:val="18"/>
        </w:rPr>
        <w:t xml:space="preserve">[Kontrol: DED_ÇİN VE YUNAN DERS KİTAPLARI_TARİH_DİN/9. sınıf_1. kitap_üst cilt_birinci dönem kitabı.pdf; PDF s. 86; basılı s. 81; birebir eşleşme: TAM]</w:t>
      </w:r>
    </w:p>
    <w:p>
      <w:pPr>
        <w:spacing w:after="120" w:before="120" w:line="360"/>
        <w:ind w:firstLine="284"/>
        <w:jc w:val="both"/>
      </w:pPr>
      <w:r>
        <w:rPr>
          <w:rFonts w:ascii="Times New Roman" w:cs="Times New Roman" w:eastAsia="Times New Roman" w:hAnsi="Times New Roman"/>
          <w:b w:val="false"/>
          <w:bCs w:val="false"/>
          <w:i w:val="false"/>
          <w:iCs w:val="false"/>
          <w:sz w:val="24"/>
          <w:szCs w:val="24"/>
        </w:rPr>
        <w:t xml:space="preserve">Alt ciltte değer öğretiminin ölçeği millî sınırları aşarak insanlığa açılır. Barış, kalkınma, hakkaniyet, adalet, demokrasi ve özgürlük “bütün insanlığın ortak değerleri” olarak sunulur; bu değerleri yüceltenin ve “insanlığın ilerleme akımına öncülük edenin” Çin olduğu belirtilir (Jiaoyubu, 2018, s. 24). Evrensel ahlakın en açık biçimde temellendirildiği pasajda ise ölçüt hayatın değeridir: Hayata özen göstermek ve hayatın değerine saygı duymak, insanın yalnızca kendisine iyi davranmasını değil, ilgisini dünyaya yöneltmesini de sağlar (Jiaoyubu, 2018, s. 25). Bununla birlikte alt ciltte sorumluluk, barışseverlik ve içtenlik gibi erdemler çoğu zaman bireyden çok kolektif bir aktör olarak Çin devletine yüklenir; Çin’in “kadim bir medeniyet ülkesinin bilgeliği ve yükselen bir büyük ülkenin sorumluluğuyla” günümüz dünyasının barış ve kalkınmasında giderek daha önemli bir rol oynadığı anlatılır (Jiaoyubu, 2018, s. 28). Öğrenci çoğu etkinlikte bu erdemlerin taşıyıcısı olmaktan çok devletin tutumunu açıklayan ve gerekçelendiren, kimi etkinliklerde de bunu yabancılara anlatan bir konumda kurgulanmaktadır (Jiaoyubu, 2018, s. 30).</w:t>
      </w:r>
    </w:p>
    <w:p>
      <w:pPr>
        <w:spacing w:after="0" w:before="40" w:line="276"/>
        <w:ind w:left="567"/>
        <w:jc w:val="both"/>
      </w:pPr>
      <w:r>
        <w:rPr>
          <w:rFonts w:ascii="Times New Roman" w:cs="Times New Roman" w:eastAsia="Times New Roman" w:hAnsi="Times New Roman"/>
          <w:i/>
          <w:iCs/>
          <w:color w:val="404040"/>
          <w:sz w:val="20"/>
          <w:szCs w:val="20"/>
        </w:rPr>
        <w:t xml:space="preserve">“中国积极开展中国特色大国外交，推动建设新型国际关系，推动构建人类命运共同体，弘扬和平、发展、公平、正义、民主、自由的全人类共同价值，引领人类进步潮流”</w:t>
      </w:r>
    </w:p>
    <w:p>
      <w:pPr>
        <w:spacing w:after="80" w:before="0" w:line="276"/>
        <w:ind w:left="567"/>
      </w:pPr>
      <w:r>
        <w:rPr>
          <w:rFonts w:ascii="Times New Roman" w:cs="Times New Roman" w:eastAsia="Times New Roman" w:hAnsi="Times New Roman"/>
          <w:color w:val="7F7F7F"/>
          <w:sz w:val="18"/>
          <w:szCs w:val="18"/>
        </w:rPr>
        <w:t xml:space="preserve">[Kontrol: DED_ÇİN VE YUNAN DERS KİTAPLARI_TARİH_DİN/9. sınıf_2. kitap_alt cilt ikinci dönem kitabı.pdf; PDF s. 29; basılı s. 24; birebir eşleşme: TAM]</w:t>
      </w:r>
    </w:p>
    <w:p>
      <w:pPr>
        <w:spacing w:after="0" w:before="40" w:line="276"/>
        <w:ind w:left="567"/>
        <w:jc w:val="both"/>
      </w:pPr>
      <w:r>
        <w:rPr>
          <w:rFonts w:ascii="Times New Roman" w:cs="Times New Roman" w:eastAsia="Times New Roman" w:hAnsi="Times New Roman"/>
          <w:i/>
          <w:iCs/>
          <w:color w:val="404040"/>
          <w:sz w:val="20"/>
          <w:szCs w:val="20"/>
        </w:rPr>
        <w:t xml:space="preserve">“关怀生命、尊重生命的价值，能够让我们不仅善待自己，而且把关切的目光投向世界”</w:t>
      </w:r>
    </w:p>
    <w:p>
      <w:pPr>
        <w:spacing w:after="80" w:before="0" w:line="276"/>
        <w:ind w:left="567"/>
      </w:pPr>
      <w:r>
        <w:rPr>
          <w:rFonts w:ascii="Times New Roman" w:cs="Times New Roman" w:eastAsia="Times New Roman" w:hAnsi="Times New Roman"/>
          <w:color w:val="7F7F7F"/>
          <w:sz w:val="18"/>
          <w:szCs w:val="18"/>
        </w:rPr>
        <w:t xml:space="preserve">[Kontrol: DED_ÇİN VE YUNAN DERS KİTAPLARI_TARİH_DİN/9. sınıf_2. kitap_alt cilt ikinci dönem kitabı.pdf; PDF s. 30; basılı s. 25; birebir eşleşme: TAM]</w:t>
      </w:r>
    </w:p>
    <w:p>
      <w:pPr>
        <w:spacing w:after="0" w:before="40" w:line="276"/>
        <w:ind w:left="567"/>
        <w:jc w:val="both"/>
      </w:pPr>
      <w:r>
        <w:rPr>
          <w:rFonts w:ascii="Times New Roman" w:cs="Times New Roman" w:eastAsia="Times New Roman" w:hAnsi="Times New Roman"/>
          <w:i/>
          <w:iCs/>
          <w:color w:val="404040"/>
          <w:sz w:val="20"/>
          <w:szCs w:val="20"/>
        </w:rPr>
        <w:t xml:space="preserve">“中国正在以文明古国的智慧和新兴大国的责任”</w:t>
      </w:r>
    </w:p>
    <w:p>
      <w:pPr>
        <w:spacing w:after="80" w:before="0" w:line="276"/>
        <w:ind w:left="567"/>
      </w:pPr>
      <w:r>
        <w:rPr>
          <w:rFonts w:ascii="Times New Roman" w:cs="Times New Roman" w:eastAsia="Times New Roman" w:hAnsi="Times New Roman"/>
          <w:color w:val="7F7F7F"/>
          <w:sz w:val="18"/>
          <w:szCs w:val="18"/>
        </w:rPr>
        <w:t xml:space="preserve">[Kontrol: DED_ÇİN VE YUNAN DERS KİTAPLARI_TARİH_DİN/9. sınıf_2. kitap_alt cilt ikinci dönem kitabı.pdf; PDF s. 33; basılı s. 28; birebir eşleşme: TAM]</w:t>
      </w:r>
    </w:p>
    <w:p>
      <w:pPr>
        <w:spacing w:after="0" w:before="40" w:line="276"/>
        <w:ind w:left="567"/>
        <w:jc w:val="both"/>
      </w:pPr>
      <w:r>
        <w:rPr>
          <w:rFonts w:ascii="Times New Roman" w:cs="Times New Roman" w:eastAsia="Times New Roman" w:hAnsi="Times New Roman"/>
          <w:i/>
          <w:iCs/>
          <w:color w:val="404040"/>
          <w:sz w:val="20"/>
          <w:szCs w:val="20"/>
        </w:rPr>
        <w:t xml:space="preserve">“给国外的友人介绍中国减贫的成绩和经验”</w:t>
      </w:r>
    </w:p>
    <w:p>
      <w:pPr>
        <w:spacing w:after="80" w:before="0" w:line="276"/>
        <w:ind w:left="567"/>
      </w:pPr>
      <w:r>
        <w:rPr>
          <w:rFonts w:ascii="Times New Roman" w:cs="Times New Roman" w:eastAsia="Times New Roman" w:hAnsi="Times New Roman"/>
          <w:color w:val="7F7F7F"/>
          <w:sz w:val="18"/>
          <w:szCs w:val="18"/>
        </w:rPr>
        <w:t xml:space="preserve">[Kontrol: DED_ÇİN VE YUNAN DERS KİTAPLARI_TARİH_DİN/9. sınıf_2. kitap_alt cilt ikinci dönem kitabı.pdf; PDF s. 35; basılı s. 30; birebir eşleşme: TAM]</w:t>
      </w:r>
    </w:p>
    <w:p>
      <w:pPr>
        <w:spacing w:after="120" w:before="120" w:line="360"/>
        <w:jc w:val="left"/>
      </w:pPr>
      <w:r>
        <w:rPr>
          <w:rFonts w:ascii="Times New Roman" w:cs="Times New Roman" w:eastAsia="Times New Roman" w:hAnsi="Times New Roman"/>
          <w:b/>
          <w:bCs/>
          <w:i w:val="false"/>
          <w:iCs w:val="false"/>
          <w:sz w:val="24"/>
          <w:szCs w:val="24"/>
        </w:rPr>
        <w:t xml:space="preserve">Hukuk ve Yurttaşlık</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Kitabın ikinci ünitesi demokrasi ve hukuk devletine ayrılmıştır. fazhi kavramı üst cildin gövde metninde 141 kez geçmekte, bunların 134’ü bu ünitede yer almaktadır (Tablo 3). Hukukun üstünlüğü “insan toplumunun modern medeniyete girişinin önemli işareti” sayılır (Jiaoyubu, 2021, s. 44) ve insan yönetimi düşüncesiyle karşılaştırılır: “İnsan yönetimi düşüncesi bireyin iradesini en yüksek otorite sayar; hukuk yönetimi düşüncesi yasayı en yüksek otorite sayar” (Jiaoyubu, 2021, s. 46). Demokrasinin kökü ise geleneğe bağlanır; “demokrasi” sözcüğünün ilk kez Shangshu’da geçtiği ve geleneksel kültürdeki halk merkezli düşüncenin Çin’in demokrasi arayışının önemli bir kaynağı olduğu belirtilir (Jiaoyubu, 2021, s. 30).</w:t>
      </w:r>
    </w:p>
    <w:p>
      <w:pPr>
        <w:spacing w:after="0" w:before="40" w:line="276"/>
        <w:ind w:left="567"/>
        <w:jc w:val="both"/>
      </w:pPr>
      <w:r>
        <w:rPr>
          <w:rFonts w:ascii="Times New Roman" w:cs="Times New Roman" w:eastAsia="Times New Roman" w:hAnsi="Times New Roman"/>
          <w:i/>
          <w:iCs/>
          <w:color w:val="404040"/>
          <w:sz w:val="20"/>
          <w:szCs w:val="20"/>
        </w:rPr>
        <w:t xml:space="preserve">“法治是人类社会进入现代文明的重要标志”</w:t>
      </w:r>
    </w:p>
    <w:p>
      <w:pPr>
        <w:spacing w:after="80" w:before="0" w:line="276"/>
        <w:ind w:left="567"/>
      </w:pPr>
      <w:r>
        <w:rPr>
          <w:rFonts w:ascii="Times New Roman" w:cs="Times New Roman" w:eastAsia="Times New Roman" w:hAnsi="Times New Roman"/>
          <w:color w:val="7F7F7F"/>
          <w:sz w:val="18"/>
          <w:szCs w:val="18"/>
        </w:rPr>
        <w:t xml:space="preserve">[Kontrol: DED_ÇİN VE YUNAN DERS KİTAPLARI_TARİH_DİN/9. sınıf_1. kitap_üst cilt_birinci dönem kitabı.pdf; PDF s. 49; basılı s. 44; birebir eşleşme: TAM]</w:t>
      </w:r>
    </w:p>
    <w:p>
      <w:pPr>
        <w:spacing w:after="0" w:before="40" w:line="276"/>
        <w:ind w:left="567"/>
        <w:jc w:val="both"/>
      </w:pPr>
      <w:r>
        <w:rPr>
          <w:rFonts w:ascii="Times New Roman" w:cs="Times New Roman" w:eastAsia="Times New Roman" w:hAnsi="Times New Roman"/>
          <w:i/>
          <w:iCs/>
          <w:color w:val="404040"/>
          <w:sz w:val="20"/>
          <w:szCs w:val="20"/>
        </w:rPr>
        <w:t xml:space="preserve">“人治思维奉个人的意志为最高权威；法治思维以法律为最高权威”</w:t>
      </w:r>
    </w:p>
    <w:p>
      <w:pPr>
        <w:spacing w:after="80" w:before="0" w:line="276"/>
        <w:ind w:left="567"/>
      </w:pPr>
      <w:r>
        <w:rPr>
          <w:rFonts w:ascii="Times New Roman" w:cs="Times New Roman" w:eastAsia="Times New Roman" w:hAnsi="Times New Roman"/>
          <w:color w:val="7F7F7F"/>
          <w:sz w:val="18"/>
          <w:szCs w:val="18"/>
        </w:rPr>
        <w:t xml:space="preserve">[Kontrol: DED_ÇİN VE YUNAN DERS KİTAPLARI_TARİH_DİN/9. sınıf_1. kitap_üst cilt_birinci dönem kitabı.pdf; PDF s. 51; basılı s. 46; birebir eşleşme: TAM]</w:t>
      </w:r>
    </w:p>
    <w:p>
      <w:pPr>
        <w:spacing w:after="0" w:before="40" w:line="276"/>
        <w:ind w:left="567"/>
        <w:jc w:val="both"/>
      </w:pPr>
      <w:r>
        <w:rPr>
          <w:rFonts w:ascii="Times New Roman" w:cs="Times New Roman" w:eastAsia="Times New Roman" w:hAnsi="Times New Roman"/>
          <w:i/>
          <w:iCs/>
          <w:color w:val="404040"/>
          <w:sz w:val="20"/>
          <w:szCs w:val="20"/>
        </w:rPr>
        <w:t xml:space="preserve">“在中国，“民主”一词最早出自《尚书》”</w:t>
      </w:r>
    </w:p>
    <w:p>
      <w:pPr>
        <w:spacing w:after="80" w:before="0" w:line="276"/>
        <w:ind w:left="567"/>
      </w:pPr>
      <w:r>
        <w:rPr>
          <w:rFonts w:ascii="Times New Roman" w:cs="Times New Roman" w:eastAsia="Times New Roman" w:hAnsi="Times New Roman"/>
          <w:color w:val="7F7F7F"/>
          <w:sz w:val="18"/>
          <w:szCs w:val="18"/>
        </w:rPr>
        <w:t xml:space="preserve">[Kontrol: DED_ÇİN VE YUNAN DERS KİTAPLARI_TARİH_DİN/9. sınıf_1. kitap_üst cilt_birinci dönem kitabı.pdf; PDF s. 35; basılı s. 30; birebir eşleşme: TAM]</w:t>
      </w:r>
    </w:p>
    <w:p>
      <w:pPr>
        <w:spacing w:after="120" w:before="120" w:line="360"/>
        <w:ind w:firstLine="284"/>
        <w:jc w:val="both"/>
      </w:pPr>
      <w:r>
        <w:rPr>
          <w:rFonts w:ascii="Times New Roman" w:cs="Times New Roman" w:eastAsia="Times New Roman" w:hAnsi="Times New Roman"/>
          <w:b w:val="false"/>
          <w:bCs w:val="false"/>
          <w:i w:val="false"/>
          <w:iCs w:val="false"/>
          <w:sz w:val="24"/>
          <w:szCs w:val="24"/>
        </w:rPr>
        <w:t xml:space="preserve">Din eğitimi bakımından ünitenin en dikkat çekici cümlesi, kaynağı gösterilmeyen klasik bir vecizedir: “Yasa ne gökten iner ne yerden çıkar; insanlar arasında doğar ve yalnızca insan gönlüne uyar” (Jiaoyubu, 2021, s. 55). Bu cümle hukukun kaynağını açıkça içkin bir alana yerleştirmekte, ilahî veya kozmik bir menşe ihtimalini kapatmaktadır. Hukuk ile ahlak arasındaki ilişki de içkin bir döngü olarak kurulur: Hukuk ahlaki anlayışı taşır, ahlak hukuk ruhunu besler; “hukuk ile ahlak birbirini tamamlar, hukukla yönetim ile erdemle yönetim birbirini güçlendirir” (Jiaoyubu, 2021, s. 55). Konfüçyüsçü kökenli “erdemle yönetim” (dezhi) kavramı böylece hukuk devleti söylemine mezcedilmektedir.</w:t>
      </w:r>
    </w:p>
    <w:p>
      <w:pPr>
        <w:spacing w:after="0" w:before="40" w:line="276"/>
        <w:ind w:left="567"/>
        <w:jc w:val="both"/>
      </w:pPr>
      <w:r>
        <w:rPr>
          <w:rFonts w:ascii="Times New Roman" w:cs="Times New Roman" w:eastAsia="Times New Roman" w:hAnsi="Times New Roman"/>
          <w:i/>
          <w:iCs/>
          <w:color w:val="404040"/>
          <w:sz w:val="20"/>
          <w:szCs w:val="20"/>
        </w:rPr>
        <w:t xml:space="preserve">“法，非从天下，非从地出，发于人间，合乎人心而已”</w:t>
      </w:r>
    </w:p>
    <w:p>
      <w:pPr>
        <w:spacing w:after="80" w:before="0" w:line="276"/>
        <w:ind w:left="567"/>
      </w:pPr>
      <w:r>
        <w:rPr>
          <w:rFonts w:ascii="Times New Roman" w:cs="Times New Roman" w:eastAsia="Times New Roman" w:hAnsi="Times New Roman"/>
          <w:color w:val="7F7F7F"/>
          <w:sz w:val="18"/>
          <w:szCs w:val="18"/>
        </w:rPr>
        <w:t xml:space="preserve">[Kontrol: DED_ÇİN VE YUNAN DERS KİTAPLARI_TARİH_DİN/9. sınıf_1. kitap_üst cilt_birinci dönem kitabı.pdf; PDF s. 60; basılı s. 55; birebir eşleşme: TAM]</w:t>
      </w:r>
    </w:p>
    <w:p>
      <w:pPr>
        <w:spacing w:after="120" w:before="120" w:line="360"/>
        <w:ind w:firstLine="284"/>
        <w:jc w:val="both"/>
      </w:pPr>
      <w:r>
        <w:rPr>
          <w:rFonts w:ascii="Times New Roman" w:cs="Times New Roman" w:eastAsia="Times New Roman" w:hAnsi="Times New Roman"/>
          <w:b w:val="false"/>
          <w:bCs w:val="false"/>
          <w:i w:val="false"/>
          <w:iCs w:val="false"/>
          <w:sz w:val="24"/>
          <w:szCs w:val="24"/>
        </w:rPr>
        <w:t xml:space="preserve">Yurttaşın hukuka bağlılığı ise dinî bağlılığı çağrıştıran bir sözcük dağarıyla anlatılır. Demokrasi düşüncesinin ve hukuk ruhunun yurttaşın “bilinçli inancı” (zijue xinyang) hâline gelmesi istenir (Jiaoyubu, 2021, s. 42); her yurttaşın hukukun “sadık yücelticisi, bilinçli riayet edeni ve kararlı savunucusu” olması hedeflenir (Jiaoyubu, 2021, s. 49); ünite de hukukun üstünlüğünün “yüce bir toplumsal ideal” olduğu cümlesiyle kapanır (Jiaoyubu, 2021, s. 56). İnanç, sadakat ve yücelik bildiren bu kelimeler aşkın bir varlığa değil, hukuk düzenine yöneltilmektedir. Alt ciltte ise hukuk içeriği belirgin biçimde azalır; fazhi gövde metninde yalnızca iki kez geçer ve anayasaya hiç atıf yapılmaz (Tablo 3).</w:t>
      </w:r>
    </w:p>
    <w:p>
      <w:pPr>
        <w:spacing w:after="0" w:before="40" w:line="276"/>
        <w:ind w:left="567"/>
        <w:jc w:val="both"/>
      </w:pPr>
      <w:r>
        <w:rPr>
          <w:rFonts w:ascii="Times New Roman" w:cs="Times New Roman" w:eastAsia="Times New Roman" w:hAnsi="Times New Roman"/>
          <w:i/>
          <w:iCs/>
          <w:color w:val="404040"/>
          <w:sz w:val="20"/>
          <w:szCs w:val="20"/>
        </w:rPr>
        <w:t xml:space="preserve">“使民主思想和法治精神成为公民的自觉信仰”</w:t>
      </w:r>
    </w:p>
    <w:p>
      <w:pPr>
        <w:spacing w:after="80" w:before="0" w:line="276"/>
        <w:ind w:left="567"/>
      </w:pPr>
      <w:r>
        <w:rPr>
          <w:rFonts w:ascii="Times New Roman" w:cs="Times New Roman" w:eastAsia="Times New Roman" w:hAnsi="Times New Roman"/>
          <w:color w:val="7F7F7F"/>
          <w:sz w:val="18"/>
          <w:szCs w:val="18"/>
        </w:rPr>
        <w:t xml:space="preserve">[Kontrol: DED_ÇİN VE YUNAN DERS KİTAPLARI_TARİH_DİN/9. sınıf_1. kitap_üst cilt_birinci dönem kitabı.pdf; PDF s. 47; basılı s. 42; birebir eşleşme: TAM]</w:t>
      </w:r>
    </w:p>
    <w:p>
      <w:pPr>
        <w:spacing w:after="0" w:before="40" w:line="276"/>
        <w:ind w:left="567"/>
        <w:jc w:val="both"/>
      </w:pPr>
      <w:r>
        <w:rPr>
          <w:rFonts w:ascii="Times New Roman" w:cs="Times New Roman" w:eastAsia="Times New Roman" w:hAnsi="Times New Roman"/>
          <w:i/>
          <w:iCs/>
          <w:color w:val="404040"/>
          <w:sz w:val="20"/>
          <w:szCs w:val="20"/>
        </w:rPr>
        <w:t xml:space="preserve">“使每一位公民都成为法治的忠实崇尚者、自觉遵守者和坚定捍卫者”</w:t>
      </w:r>
    </w:p>
    <w:p>
      <w:pPr>
        <w:spacing w:after="80" w:before="0" w:line="276"/>
        <w:ind w:left="567"/>
      </w:pPr>
      <w:r>
        <w:rPr>
          <w:rFonts w:ascii="Times New Roman" w:cs="Times New Roman" w:eastAsia="Times New Roman" w:hAnsi="Times New Roman"/>
          <w:color w:val="7F7F7F"/>
          <w:sz w:val="18"/>
          <w:szCs w:val="18"/>
        </w:rPr>
        <w:t xml:space="preserve">[Kontrol: DED_ÇİN VE YUNAN DERS KİTAPLARI_TARİH_DİN/9. sınıf_1. kitap_üst cilt_birinci dönem kitabı.pdf; PDF s. 54; basılı s. 49; birebir eşleşme: TAM]</w:t>
      </w:r>
    </w:p>
    <w:p>
      <w:pPr>
        <w:spacing w:after="0" w:before="40" w:line="276"/>
        <w:ind w:left="567"/>
        <w:jc w:val="both"/>
      </w:pPr>
      <w:r>
        <w:rPr>
          <w:rFonts w:ascii="Times New Roman" w:cs="Times New Roman" w:eastAsia="Times New Roman" w:hAnsi="Times New Roman"/>
          <w:i/>
          <w:iCs/>
          <w:color w:val="404040"/>
          <w:sz w:val="20"/>
          <w:szCs w:val="20"/>
        </w:rPr>
        <w:t xml:space="preserve">“法治既是崇高的社会理想”</w:t>
      </w:r>
    </w:p>
    <w:p>
      <w:pPr>
        <w:spacing w:after="80" w:before="0" w:line="276"/>
        <w:ind w:left="567"/>
      </w:pPr>
      <w:r>
        <w:rPr>
          <w:rFonts w:ascii="Times New Roman" w:cs="Times New Roman" w:eastAsia="Times New Roman" w:hAnsi="Times New Roman"/>
          <w:color w:val="7F7F7F"/>
          <w:sz w:val="18"/>
          <w:szCs w:val="18"/>
        </w:rPr>
        <w:t xml:space="preserve">[Kontrol: DED_ÇİN VE YUNAN DERS KİTAPLARI_TARİH_DİN/9. sınıf_1. kitap_üst cilt_birinci dönem kitabı.pdf; PDF s. 61; basılı s. 56; birebir eşleşme: TAM]</w:t>
      </w:r>
    </w:p>
    <w:p>
      <w:pPr>
        <w:spacing w:after="120" w:before="120" w:line="360"/>
        <w:jc w:val="left"/>
      </w:pPr>
      <w:r>
        <w:rPr>
          <w:rFonts w:ascii="Times New Roman" w:cs="Times New Roman" w:eastAsia="Times New Roman" w:hAnsi="Times New Roman"/>
          <w:b/>
          <w:bCs/>
          <w:i w:val="false"/>
          <w:iCs w:val="false"/>
          <w:sz w:val="24"/>
          <w:szCs w:val="24"/>
        </w:rPr>
        <w:t xml:space="preserve">İdeolojik Çerçeve</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Tablo 3’teki sıklıklar ideolojik yoğunluğun üst ciltte toplandığını göstermektedir: Çin Komünist Partisi adı 31, Xi Jinping adı 18, “Çin Rüyası” kavramı 25 kez geçmektedir.</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1600"/>
        <w:gridCol w:w="1600"/>
      </w:tblGrid>
      <w:tr>
        <w:tc>
          <w:tcPr>
            <w:tcW w:type="dxa" w:w="8800"/>
            <w:gridSpan w:val="4"/>
            <w:tcBorders>
              <w:top w:val="single" w:color="000000" w:sz="4"/>
              <w:left w:val="none" w:color="FFFFFF" w:sz="0"/>
              <w:bottom w:val="single" w:color="000000" w:sz="4"/>
              <w:right w:val="none" w:color="FFFFFF" w:sz="0"/>
            </w:tcBorders>
          </w:tcPr>
          <w:p>
            <w:pPr>
              <w:spacing w:after="40" w:before="40" w:line="240"/>
            </w:pPr>
            <w:r>
              <w:rPr>
                <w:rFonts w:ascii="Times New Roman" w:cs="Times New Roman" w:eastAsia="Times New Roman" w:hAnsi="Times New Roman"/>
                <w:sz w:val="20"/>
                <w:szCs w:val="20"/>
              </w:rPr>
              <w:t xml:space="preserve">Tablo 3. Seçilmiş Kavramların Gövde Metnindeki Geçiş Sıklığı</w:t>
            </w:r>
          </w:p>
        </w:tc>
      </w:tr>
      <w:tr>
        <w:trPr>
          <w:tblHeader/>
        </w:trPr>
        <w:tc>
          <w:tcPr>
            <w:tcW w:type="dxa" w:w="2400"/>
            <w:tcBorders>
              <w:top w:val="single" w:color="000000" w:sz="4"/>
              <w:left w:val="none" w:color="FFFFFF" w:sz="0"/>
              <w:bottom w:val="single" w:color="000000" w:sz="4"/>
              <w:right w:val="none" w:color="FFFFFF" w:sz="0"/>
            </w:tcBorders>
          </w:tcPr>
          <w:p>
            <w:pPr>
              <w:spacing w:after="20" w:before="20" w:line="240"/>
              <w:jc w:val="left"/>
            </w:pPr>
            <w:r>
              <w:rPr>
                <w:rFonts w:ascii="Times New Roman" w:cs="Times New Roman" w:eastAsia="Times New Roman" w:hAnsi="Times New Roman"/>
                <w:b/>
                <w:bCs/>
                <w:sz w:val="20"/>
                <w:szCs w:val="20"/>
              </w:rPr>
              <w:t xml:space="preserve">Kavram (pinyin)</w:t>
            </w:r>
          </w:p>
        </w:tc>
        <w:tc>
          <w:tcPr>
            <w:tcW w:type="dxa" w:w="3200"/>
            <w:tcBorders>
              <w:top w:val="single" w:color="000000" w:sz="4"/>
              <w:left w:val="none" w:color="FFFFFF" w:sz="0"/>
              <w:bottom w:val="single" w:color="000000" w:sz="4"/>
              <w:right w:val="none" w:color="FFFFFF" w:sz="0"/>
            </w:tcBorders>
          </w:tcPr>
          <w:p>
            <w:pPr>
              <w:spacing w:after="20" w:before="20" w:line="240"/>
              <w:jc w:val="left"/>
            </w:pPr>
            <w:r>
              <w:rPr>
                <w:rFonts w:ascii="Times New Roman" w:cs="Times New Roman" w:eastAsia="Times New Roman" w:hAnsi="Times New Roman"/>
                <w:b/>
                <w:bCs/>
                <w:sz w:val="20"/>
                <w:szCs w:val="20"/>
              </w:rPr>
              <w:t xml:space="preserve">Türkçe Karşılığı</w:t>
            </w:r>
          </w:p>
        </w:tc>
        <w:tc>
          <w:tcPr>
            <w:tcW w:type="dxa" w:w="1600"/>
            <w:tcBorders>
              <w:top w:val="single" w:color="000000" w:sz="4"/>
              <w:left w:val="none" w:color="FFFFFF" w:sz="0"/>
              <w:bottom w:val="single" w:color="000000" w:sz="4"/>
              <w:right w:val="none" w:color="FFFFFF" w:sz="0"/>
            </w:tcBorders>
          </w:tcPr>
          <w:p>
            <w:pPr>
              <w:spacing w:after="20" w:before="20" w:line="240"/>
              <w:jc w:val="left"/>
            </w:pPr>
            <w:r>
              <w:rPr>
                <w:rFonts w:ascii="Times New Roman" w:cs="Times New Roman" w:eastAsia="Times New Roman" w:hAnsi="Times New Roman"/>
                <w:b/>
                <w:bCs/>
                <w:sz w:val="20"/>
                <w:szCs w:val="20"/>
              </w:rPr>
              <w:t xml:space="preserve">Üst Cilt</w:t>
            </w:r>
          </w:p>
        </w:tc>
        <w:tc>
          <w:tcPr>
            <w:tcW w:type="dxa" w:w="1600"/>
            <w:tcBorders>
              <w:top w:val="single" w:color="000000" w:sz="4"/>
              <w:left w:val="none" w:color="FFFFFF" w:sz="0"/>
              <w:bottom w:val="single" w:color="000000" w:sz="4"/>
              <w:right w:val="none" w:color="FFFFFF" w:sz="0"/>
            </w:tcBorders>
          </w:tcPr>
          <w:p>
            <w:pPr>
              <w:spacing w:after="20" w:before="20" w:line="240"/>
              <w:jc w:val="left"/>
            </w:pPr>
            <w:r>
              <w:rPr>
                <w:rFonts w:ascii="Times New Roman" w:cs="Times New Roman" w:eastAsia="Times New Roman" w:hAnsi="Times New Roman"/>
                <w:b/>
                <w:bCs/>
                <w:sz w:val="20"/>
                <w:szCs w:val="20"/>
              </w:rPr>
              <w:t xml:space="preserve">Alt Cilt</w:t>
            </w:r>
          </w:p>
        </w:tc>
      </w:tr>
      <w:tr>
        <w:tc>
          <w:tcPr>
            <w:tcW w:type="dxa" w:w="24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zongjiao</w:t>
            </w:r>
          </w:p>
        </w:tc>
        <w:tc>
          <w:tcPr>
            <w:tcW w:type="dxa" w:w="32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din</w:t>
            </w:r>
          </w:p>
        </w:tc>
        <w:tc>
          <w:tcPr>
            <w:tcW w:type="dxa" w:w="16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2</w:t>
            </w:r>
          </w:p>
        </w:tc>
        <w:tc>
          <w:tcPr>
            <w:tcW w:type="dxa" w:w="16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1</w:t>
            </w:r>
          </w:p>
        </w:tc>
      </w:tr>
      <w:tr>
        <w:tc>
          <w:tcPr>
            <w:tcW w:type="dxa" w:w="24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xinyang</w:t>
            </w:r>
          </w:p>
        </w:tc>
        <w:tc>
          <w:tcPr>
            <w:tcW w:type="dxa" w:w="32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inanç</w:t>
            </w:r>
          </w:p>
        </w:tc>
        <w:tc>
          <w:tcPr>
            <w:tcW w:type="dxa" w:w="16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4</w:t>
            </w:r>
          </w:p>
        </w:tc>
        <w:tc>
          <w:tcPr>
            <w:tcW w:type="dxa" w:w="16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0</w:t>
            </w:r>
          </w:p>
        </w:tc>
      </w:tr>
      <w:tr>
        <w:tc>
          <w:tcPr>
            <w:tcW w:type="dxa" w:w="24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rujia / Kongzi / Mengzi</w:t>
            </w:r>
          </w:p>
        </w:tc>
        <w:tc>
          <w:tcPr>
            <w:tcW w:type="dxa" w:w="32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Konfüçyüsçü okul / Konfüçyüs / Mencius</w:t>
            </w:r>
          </w:p>
        </w:tc>
        <w:tc>
          <w:tcPr>
            <w:tcW w:type="dxa" w:w="16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2 / 0 / 4</w:t>
            </w:r>
          </w:p>
        </w:tc>
        <w:tc>
          <w:tcPr>
            <w:tcW w:type="dxa" w:w="16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1 / 3 / 0</w:t>
            </w:r>
          </w:p>
        </w:tc>
      </w:tr>
      <w:tr>
        <w:tc>
          <w:tcPr>
            <w:tcW w:type="dxa" w:w="24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Lunyu / Liji</w:t>
            </w:r>
          </w:p>
        </w:tc>
        <w:tc>
          <w:tcPr>
            <w:tcW w:type="dxa" w:w="32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Konuşmalar / Törenler Kitabı</w:t>
            </w:r>
          </w:p>
        </w:tc>
        <w:tc>
          <w:tcPr>
            <w:tcW w:type="dxa" w:w="16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1 / 1</w:t>
            </w:r>
          </w:p>
        </w:tc>
        <w:tc>
          <w:tcPr>
            <w:tcW w:type="dxa" w:w="16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0 / 1</w:t>
            </w:r>
          </w:p>
        </w:tc>
      </w:tr>
      <w:tr>
        <w:tc>
          <w:tcPr>
            <w:tcW w:type="dxa" w:w="24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chuantong meide</w:t>
            </w:r>
          </w:p>
        </w:tc>
        <w:tc>
          <w:tcPr>
            <w:tcW w:type="dxa" w:w="32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geleneksel erdemler</w:t>
            </w:r>
          </w:p>
        </w:tc>
        <w:tc>
          <w:tcPr>
            <w:tcW w:type="dxa" w:w="16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5</w:t>
            </w:r>
          </w:p>
        </w:tc>
        <w:tc>
          <w:tcPr>
            <w:tcW w:type="dxa" w:w="16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0</w:t>
            </w:r>
          </w:p>
        </w:tc>
      </w:tr>
      <w:tr>
        <w:tc>
          <w:tcPr>
            <w:tcW w:type="dxa" w:w="24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Zhonghua youxiu chuantong wenhua</w:t>
            </w:r>
          </w:p>
        </w:tc>
        <w:tc>
          <w:tcPr>
            <w:tcW w:type="dxa" w:w="32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Çin’in üstün geleneksel kültürü</w:t>
            </w:r>
          </w:p>
        </w:tc>
        <w:tc>
          <w:tcPr>
            <w:tcW w:type="dxa" w:w="16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7</w:t>
            </w:r>
          </w:p>
        </w:tc>
        <w:tc>
          <w:tcPr>
            <w:tcW w:type="dxa" w:w="16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1</w:t>
            </w:r>
          </w:p>
        </w:tc>
      </w:tr>
      <w:tr>
        <w:tc>
          <w:tcPr>
            <w:tcW w:type="dxa" w:w="24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shehuizhuyi hexin jiazhiguan</w:t>
            </w:r>
          </w:p>
        </w:tc>
        <w:tc>
          <w:tcPr>
            <w:tcW w:type="dxa" w:w="32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sosyalist çekirdek değerler</w:t>
            </w:r>
          </w:p>
        </w:tc>
        <w:tc>
          <w:tcPr>
            <w:tcW w:type="dxa" w:w="16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14</w:t>
            </w:r>
          </w:p>
        </w:tc>
        <w:tc>
          <w:tcPr>
            <w:tcW w:type="dxa" w:w="16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2</w:t>
            </w:r>
          </w:p>
        </w:tc>
      </w:tr>
      <w:tr>
        <w:tc>
          <w:tcPr>
            <w:tcW w:type="dxa" w:w="24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minzu jingshen</w:t>
            </w:r>
          </w:p>
        </w:tc>
        <w:tc>
          <w:tcPr>
            <w:tcW w:type="dxa" w:w="32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millî ruh</w:t>
            </w:r>
          </w:p>
        </w:tc>
        <w:tc>
          <w:tcPr>
            <w:tcW w:type="dxa" w:w="16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18</w:t>
            </w:r>
          </w:p>
        </w:tc>
        <w:tc>
          <w:tcPr>
            <w:tcW w:type="dxa" w:w="16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2</w:t>
            </w:r>
          </w:p>
        </w:tc>
      </w:tr>
      <w:tr>
        <w:tc>
          <w:tcPr>
            <w:tcW w:type="dxa" w:w="24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Zhongguo Gongchandang</w:t>
            </w:r>
          </w:p>
        </w:tc>
        <w:tc>
          <w:tcPr>
            <w:tcW w:type="dxa" w:w="32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Çin Komünist Partisi</w:t>
            </w:r>
          </w:p>
        </w:tc>
        <w:tc>
          <w:tcPr>
            <w:tcW w:type="dxa" w:w="16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31</w:t>
            </w:r>
          </w:p>
        </w:tc>
        <w:tc>
          <w:tcPr>
            <w:tcW w:type="dxa" w:w="16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3</w:t>
            </w:r>
          </w:p>
        </w:tc>
      </w:tr>
      <w:tr>
        <w:tc>
          <w:tcPr>
            <w:tcW w:type="dxa" w:w="24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Xi Jinping</w:t>
            </w:r>
          </w:p>
        </w:tc>
        <w:tc>
          <w:tcPr>
            <w:tcW w:type="dxa" w:w="32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Xi Jinping</w:t>
            </w:r>
          </w:p>
        </w:tc>
        <w:tc>
          <w:tcPr>
            <w:tcW w:type="dxa" w:w="16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18</w:t>
            </w:r>
          </w:p>
        </w:tc>
        <w:tc>
          <w:tcPr>
            <w:tcW w:type="dxa" w:w="16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6</w:t>
            </w:r>
          </w:p>
        </w:tc>
      </w:tr>
      <w:tr>
        <w:tc>
          <w:tcPr>
            <w:tcW w:type="dxa" w:w="24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Zhongguo meng</w:t>
            </w:r>
          </w:p>
        </w:tc>
        <w:tc>
          <w:tcPr>
            <w:tcW w:type="dxa" w:w="32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Çin Rüyası</w:t>
            </w:r>
          </w:p>
        </w:tc>
        <w:tc>
          <w:tcPr>
            <w:tcW w:type="dxa" w:w="16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25</w:t>
            </w:r>
          </w:p>
        </w:tc>
        <w:tc>
          <w:tcPr>
            <w:tcW w:type="dxa" w:w="16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6</w:t>
            </w:r>
          </w:p>
        </w:tc>
      </w:tr>
      <w:tr>
        <w:tc>
          <w:tcPr>
            <w:tcW w:type="dxa" w:w="24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fazhi</w:t>
            </w:r>
          </w:p>
        </w:tc>
        <w:tc>
          <w:tcPr>
            <w:tcW w:type="dxa" w:w="32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hukuk devleti / hukukun üstünlüğü</w:t>
            </w:r>
          </w:p>
        </w:tc>
        <w:tc>
          <w:tcPr>
            <w:tcW w:type="dxa" w:w="16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141</w:t>
            </w:r>
          </w:p>
        </w:tc>
        <w:tc>
          <w:tcPr>
            <w:tcW w:type="dxa" w:w="16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2</w:t>
            </w:r>
          </w:p>
        </w:tc>
      </w:tr>
      <w:tr>
        <w:tc>
          <w:tcPr>
            <w:tcW w:type="dxa" w:w="24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xianfa</w:t>
            </w:r>
          </w:p>
        </w:tc>
        <w:tc>
          <w:tcPr>
            <w:tcW w:type="dxa" w:w="32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anayasa</w:t>
            </w:r>
          </w:p>
        </w:tc>
        <w:tc>
          <w:tcPr>
            <w:tcW w:type="dxa" w:w="16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27</w:t>
            </w:r>
          </w:p>
        </w:tc>
        <w:tc>
          <w:tcPr>
            <w:tcW w:type="dxa" w:w="16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0</w:t>
            </w:r>
          </w:p>
        </w:tc>
      </w:tr>
      <w:tr>
        <w:tc>
          <w:tcPr>
            <w:tcW w:type="dxa" w:w="24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minzu tuanjie</w:t>
            </w:r>
          </w:p>
        </w:tc>
        <w:tc>
          <w:tcPr>
            <w:tcW w:type="dxa" w:w="32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etnik gruplar (milletler) arası birlik</w:t>
            </w:r>
          </w:p>
        </w:tc>
        <w:tc>
          <w:tcPr>
            <w:tcW w:type="dxa" w:w="16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22</w:t>
            </w:r>
          </w:p>
        </w:tc>
        <w:tc>
          <w:tcPr>
            <w:tcW w:type="dxa" w:w="16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0</w:t>
            </w:r>
          </w:p>
        </w:tc>
      </w:tr>
      <w:tr>
        <w:tc>
          <w:tcPr>
            <w:tcW w:type="dxa" w:w="24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renlei mingyun gongtongti</w:t>
            </w:r>
          </w:p>
        </w:tc>
        <w:tc>
          <w:tcPr>
            <w:tcW w:type="dxa" w:w="32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insanlığın kader ortaklığı</w:t>
            </w:r>
          </w:p>
        </w:tc>
        <w:tc>
          <w:tcPr>
            <w:tcW w:type="dxa" w:w="16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0</w:t>
            </w:r>
          </w:p>
        </w:tc>
        <w:tc>
          <w:tcPr>
            <w:tcW w:type="dxa" w:w="16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10</w:t>
            </w:r>
          </w:p>
        </w:tc>
      </w:tr>
      <w:tr>
        <w:tc>
          <w:tcPr>
            <w:tcW w:type="dxa" w:w="2400"/>
            <w:tcBorders>
              <w:top w:val="none" w:color="FFFFFF" w:sz="0"/>
              <w:left w:val="none" w:color="FFFFFF" w:sz="0"/>
              <w:bottom w:val="single" w:color="000000" w:sz="4"/>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mingyun</w:t>
            </w:r>
          </w:p>
        </w:tc>
        <w:tc>
          <w:tcPr>
            <w:tcW w:type="dxa" w:w="3200"/>
            <w:tcBorders>
              <w:top w:val="none" w:color="FFFFFF" w:sz="0"/>
              <w:left w:val="none" w:color="FFFFFF" w:sz="0"/>
              <w:bottom w:val="single" w:color="000000" w:sz="4"/>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kader</w:t>
            </w:r>
          </w:p>
        </w:tc>
        <w:tc>
          <w:tcPr>
            <w:tcW w:type="dxa" w:w="1600"/>
            <w:tcBorders>
              <w:top w:val="none" w:color="FFFFFF" w:sz="0"/>
              <w:left w:val="none" w:color="FFFFFF" w:sz="0"/>
              <w:bottom w:val="single" w:color="000000" w:sz="4"/>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13</w:t>
            </w:r>
          </w:p>
        </w:tc>
        <w:tc>
          <w:tcPr>
            <w:tcW w:type="dxa" w:w="1600"/>
            <w:tcBorders>
              <w:top w:val="none" w:color="FFFFFF" w:sz="0"/>
              <w:left w:val="none" w:color="FFFFFF" w:sz="0"/>
              <w:bottom w:val="single" w:color="000000" w:sz="4"/>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28</w:t>
            </w:r>
          </w:p>
        </w:tc>
      </w:tr>
    </w:tbl>
    <w:p>
      <w:pPr>
        <w:spacing w:after="120" w:before="60" w:line="240"/>
      </w:pPr>
      <w:r>
        <w:rPr>
          <w:rFonts w:ascii="Times New Roman" w:cs="Times New Roman" w:eastAsia="Times New Roman" w:hAnsi="Times New Roman"/>
          <w:sz w:val="20"/>
          <w:szCs w:val="20"/>
        </w:rPr>
        <w:t xml:space="preserve">Not. Sayımlarda sayfa altlıklarındaki ünite ve ders adları ile Daode yu Fazhi ve Minzhu yu Fazhi adlarındaki fazhi geçişleri dışarıda bırakılmıştır. Üst ciltteki 141 fazhi geçişinin 134’ü ikinci ünitededir. Alt ciltteki renlei mingyun gongtongti sayısına 2. dersin başlığındaki bir geçiş dâhildir; akan metinde kavram dokuz kez geçer. mingyun sayısı renlei mingyun gongtongti geçişlerini de içerir.</w:t>
      </w:r>
    </w:p>
    <w:p>
      <w:pPr>
        <w:spacing w:after="120" w:before="120" w:line="360"/>
        <w:ind w:firstLine="284"/>
        <w:jc w:val="both"/>
      </w:pPr>
      <w:r>
        <w:rPr>
          <w:rFonts w:ascii="Times New Roman" w:cs="Times New Roman" w:eastAsia="Times New Roman" w:hAnsi="Times New Roman"/>
          <w:b w:val="false"/>
          <w:bCs w:val="false"/>
          <w:i w:val="false"/>
          <w:iCs w:val="false"/>
          <w:sz w:val="24"/>
          <w:szCs w:val="24"/>
        </w:rPr>
        <w:t xml:space="preserve">Üst cildin son dersi (Zhongguoren Zhongguomeng) bu yoğunluğun doruğudur. Dersin ilk bölümünde, xiaokang kavramının kökenini açıklayan bir “İlgili Bağlantı” kutusunda gelecek toplum tasavvuru Liji’nin Liyun bölümündeki “büyük yol hüküm sürdüğünde dünya herkesindir” pasajıyla verilir (Jiaoyubu, 2021, s. 105); ana metin ise bu kadim idealin gerçekleşmesini Parti’nin önderliğindeki millî diriliş mücadelesine bağlar. Öğrenciden Çin’e özgü sosyalizm yolunun “insan dünyasının doğru yolu” (renjian zhengdao) olduğuna kesinlikle inanması beklenir (Jiaoyubu, 2021, s. 116); dersin kapanış bölümünde bugünün dünyasında özgüven duymaya en çok hakkı olanların Çin Komünist Partisi, Çin Halk Cumhuriyeti ve Çin milleti olduğu söylenir (Jiaoyubu, 2021, s. 118) ve ders gençlere yeni çağın Çinlisinin özgüvenini sergileme çağrısıyla sona erer. Alt ciltte ise ideolojik dil doktriner olmaktan çok diplomatik bir hüviyet kazanır: “Sosyalist çekirdek değerler” yalnızca iki kez anılırken “insanlığın kader ortaklığı” (renlei mingyun gongtongti) kavramı akan metinde dokuz kez geçer, ayrıca bir dersin adını oluşturur (Tablo 3). İnsanlığın kaderlerinin birbirine bağlı olduğu vurgulanır (Jiaoyubu, 2018, s. 16); Xi Jinping’in 2014’te dört Latin Amerika ülkesinin basınına verdiği ortak bir röportajdan aktarılan “dünyanın kaderi bütün ülkelerin halklarınca birlikte tayin edilmelidir” sözü ise (Jiaoyubu, 2018, s. 11), çok kutupluluk ve uluslararası ilişkilerin demokratikleşmesi talebiyle birlikte, Çin’in dünya sahnesindeki rolünü diplomatik ve ahlaki bir dil içinde sunar.</w:t>
      </w:r>
    </w:p>
    <w:p>
      <w:pPr>
        <w:spacing w:after="0" w:before="40" w:line="276"/>
        <w:ind w:left="567"/>
        <w:jc w:val="both"/>
      </w:pPr>
      <w:r>
        <w:rPr>
          <w:rFonts w:ascii="Times New Roman" w:cs="Times New Roman" w:eastAsia="Times New Roman" w:hAnsi="Times New Roman"/>
          <w:i/>
          <w:iCs/>
          <w:color w:val="404040"/>
          <w:sz w:val="20"/>
          <w:szCs w:val="20"/>
        </w:rPr>
        <w:t xml:space="preserve">“《礼记·礼运》描绘了关于未来社会的美好愿景”</w:t>
      </w:r>
    </w:p>
    <w:p>
      <w:pPr>
        <w:spacing w:after="80" w:before="0" w:line="276"/>
        <w:ind w:left="567"/>
      </w:pPr>
      <w:r>
        <w:rPr>
          <w:rFonts w:ascii="Times New Roman" w:cs="Times New Roman" w:eastAsia="Times New Roman" w:hAnsi="Times New Roman"/>
          <w:color w:val="7F7F7F"/>
          <w:sz w:val="18"/>
          <w:szCs w:val="18"/>
        </w:rPr>
        <w:t xml:space="preserve">[Kontrol: DED_ÇİN VE YUNAN DERS KİTAPLARI_TARİH_DİN/9. sınıf_1. kitap_üst cilt_birinci dönem kitabı.pdf; PDF s. 110; basılı s. 105; birebir eşleşme: TAM]</w:t>
      </w:r>
    </w:p>
    <w:p>
      <w:pPr>
        <w:spacing w:after="0" w:before="40" w:line="276"/>
        <w:ind w:left="567"/>
        <w:jc w:val="both"/>
      </w:pPr>
      <w:r>
        <w:rPr>
          <w:rFonts w:ascii="Times New Roman" w:cs="Times New Roman" w:eastAsia="Times New Roman" w:hAnsi="Times New Roman"/>
          <w:i/>
          <w:iCs/>
          <w:color w:val="404040"/>
          <w:sz w:val="20"/>
          <w:szCs w:val="20"/>
        </w:rPr>
        <w:t xml:space="preserve">“坚信中国特色社会主义道路就是人间正道”</w:t>
      </w:r>
    </w:p>
    <w:p>
      <w:pPr>
        <w:spacing w:after="80" w:before="0" w:line="276"/>
        <w:ind w:left="567"/>
      </w:pPr>
      <w:r>
        <w:rPr>
          <w:rFonts w:ascii="Times New Roman" w:cs="Times New Roman" w:eastAsia="Times New Roman" w:hAnsi="Times New Roman"/>
          <w:color w:val="7F7F7F"/>
          <w:sz w:val="18"/>
          <w:szCs w:val="18"/>
        </w:rPr>
        <w:t xml:space="preserve">[Kontrol: DED_ÇİN VE YUNAN DERS KİTAPLARI_TARİH_DİN/9. sınıf_1. kitap_üst cilt_birinci dönem kitabı.pdf; PDF s. 121; basılı s. 116; birebir eşleşme: TAM]</w:t>
      </w:r>
    </w:p>
    <w:p>
      <w:pPr>
        <w:spacing w:after="0" w:before="40" w:line="276"/>
        <w:ind w:left="567"/>
        <w:jc w:val="both"/>
      </w:pPr>
      <w:r>
        <w:rPr>
          <w:rFonts w:ascii="Times New Roman" w:cs="Times New Roman" w:eastAsia="Times New Roman" w:hAnsi="Times New Roman"/>
          <w:i/>
          <w:iCs/>
          <w:color w:val="404040"/>
          <w:sz w:val="20"/>
          <w:szCs w:val="20"/>
        </w:rPr>
        <w:t xml:space="preserve">“那中国共产党、中华人民共和国、中华民族是最有理由自信的”</w:t>
      </w:r>
    </w:p>
    <w:p>
      <w:pPr>
        <w:spacing w:after="80" w:before="0" w:line="276"/>
        <w:ind w:left="567"/>
      </w:pPr>
      <w:r>
        <w:rPr>
          <w:rFonts w:ascii="Times New Roman" w:cs="Times New Roman" w:eastAsia="Times New Roman" w:hAnsi="Times New Roman"/>
          <w:color w:val="7F7F7F"/>
          <w:sz w:val="18"/>
          <w:szCs w:val="18"/>
        </w:rPr>
        <w:t xml:space="preserve">[Kontrol: DED_ÇİN VE YUNAN DERS KİTAPLARI_TARİH_DİN/9. sınıf_1. kitap_üst cilt_birinci dönem kitabı.pdf; PDF s. 123; basılı s. 118; birebir eşleşme: TAM]</w:t>
      </w:r>
    </w:p>
    <w:p>
      <w:pPr>
        <w:spacing w:after="0" w:before="40" w:line="276"/>
        <w:ind w:left="567"/>
        <w:jc w:val="both"/>
      </w:pPr>
      <w:r>
        <w:rPr>
          <w:rFonts w:ascii="Times New Roman" w:cs="Times New Roman" w:eastAsia="Times New Roman" w:hAnsi="Times New Roman"/>
          <w:i/>
          <w:iCs/>
          <w:color w:val="404040"/>
          <w:sz w:val="20"/>
          <w:szCs w:val="20"/>
        </w:rPr>
        <w:t xml:space="preserve">“人类的命运彼此相依”</w:t>
      </w:r>
    </w:p>
    <w:p>
      <w:pPr>
        <w:spacing w:after="80" w:before="0" w:line="276"/>
        <w:ind w:left="567"/>
      </w:pPr>
      <w:r>
        <w:rPr>
          <w:rFonts w:ascii="Times New Roman" w:cs="Times New Roman" w:eastAsia="Times New Roman" w:hAnsi="Times New Roman"/>
          <w:color w:val="7F7F7F"/>
          <w:sz w:val="18"/>
          <w:szCs w:val="18"/>
        </w:rPr>
        <w:t xml:space="preserve">[Kontrol: DED_ÇİN VE YUNAN DERS KİTAPLARI_TARİH_DİN/9. sınıf_2. kitap_alt cilt ikinci dönem kitabı.pdf; PDF s. 21; basılı s. 16; birebir eşleşme: TAM]</w:t>
      </w:r>
    </w:p>
    <w:p>
      <w:pPr>
        <w:spacing w:after="0" w:before="40" w:line="276"/>
        <w:ind w:left="567"/>
        <w:jc w:val="both"/>
      </w:pPr>
      <w:r>
        <w:rPr>
          <w:rFonts w:ascii="Times New Roman" w:cs="Times New Roman" w:eastAsia="Times New Roman" w:hAnsi="Times New Roman"/>
          <w:i/>
          <w:iCs/>
          <w:color w:val="404040"/>
          <w:sz w:val="20"/>
          <w:szCs w:val="20"/>
        </w:rPr>
        <w:t xml:space="preserve">“我们主张世界的命运必须由各国人民共同掌握”</w:t>
      </w:r>
    </w:p>
    <w:p>
      <w:pPr>
        <w:spacing w:after="80" w:before="0" w:line="276"/>
        <w:ind w:left="567"/>
      </w:pPr>
      <w:r>
        <w:rPr>
          <w:rFonts w:ascii="Times New Roman" w:cs="Times New Roman" w:eastAsia="Times New Roman" w:hAnsi="Times New Roman"/>
          <w:color w:val="7F7F7F"/>
          <w:sz w:val="18"/>
          <w:szCs w:val="18"/>
        </w:rPr>
        <w:t xml:space="preserve">[Kontrol: DED_ÇİN VE YUNAN DERS KİTAPLARI_TARİH_DİN/9. sınıf_2. kitap_alt cilt ikinci dönem kitabı.pdf; PDF s. 16; basılı s. 11; birebir eşleşme: TAM]</w:t>
      </w:r>
    </w:p>
    <w:p>
      <w:pPr>
        <w:spacing w:after="120" w:before="120" w:line="360"/>
        <w:jc w:val="left"/>
      </w:pPr>
      <w:r>
        <w:rPr>
          <w:rFonts w:ascii="Times New Roman" w:cs="Times New Roman" w:eastAsia="Times New Roman" w:hAnsi="Times New Roman"/>
          <w:b/>
          <w:bCs/>
          <w:i w:val="false"/>
          <w:iCs w:val="false"/>
          <w:sz w:val="24"/>
          <w:szCs w:val="24"/>
        </w:rPr>
        <w:t xml:space="preserve">Din, İnanç ve Gelenek</w:t>
      </w:r>
    </w:p>
    <w:p>
      <w:pPr>
        <w:spacing w:after="120" w:before="120" w:line="360"/>
        <w:ind w:firstLine="284"/>
        <w:jc w:val="both"/>
      </w:pPr>
      <w:r>
        <w:rPr>
          <w:rFonts w:ascii="Times New Roman" w:cs="Times New Roman" w:eastAsia="Times New Roman" w:hAnsi="Times New Roman"/>
          <w:b/>
          <w:bCs/>
          <w:i/>
          <w:iCs/>
          <w:sz w:val="24"/>
          <w:szCs w:val="24"/>
        </w:rPr>
        <w:t xml:space="preserve">Dinin doğrudan anılışı. </w:t>
      </w:r>
      <w:r>
        <w:rPr>
          <w:rFonts w:ascii="Times New Roman" w:cs="Times New Roman" w:eastAsia="Times New Roman" w:hAnsi="Times New Roman"/>
          <w:b w:val="false"/>
          <w:bCs w:val="false"/>
          <w:i w:val="false"/>
          <w:iCs w:val="false"/>
          <w:sz w:val="24"/>
          <w:szCs w:val="24"/>
        </w:rPr>
        <w:t xml:space="preserve">İki ciltte zongjiao (din) kelimesi gövde metninde toplam üç kez geçmektedir (Tablo 3). Birincisinde din, etnik çeşitliliğin bir unsuru olarak nötr biçimde anılır: Ülkedeki her milletin, örf ve âdetleri ve dinî inançları ne kadar farklı olursa olsun, sosyalist büyük ailenin eşit bir üyesi olduğu belirtilir (Jiaoyubu, 2021, s. 91). İkincisinde din bir güvenlik meselesi olarak görünür; bölücülüğe karşı çıkmanın “özellikle millet ve din adına yürütülen şiddet ve terör faaliyetlerine kararlılıkla karşı çıkmak” anlamına geldiği vurgulanır (Jiaoyubu, 2021, s. 98). Üçüncüsü alt ciltte, barışı tehdit eden etkenler arasında hegemonyacılık, etnik sorunlar ve terörizmle birlikte sayılan “dinî çatışmalar”dır (Jiaoyubu, 2018, s. 18). Kitapta herhangi bir dinin inanç esaslarına ya da ahlak öğretisine yer verilmez. İbadet ve ayin ise yalnızca aşağıda ele alınan Mazu pasajında ve 2010 Yushu depreminde her milletten insanın afet bölgesindeki halk için çeşitli yollarla “bereket dilediği” (qifu) bilgisinde, içeriği açıklanmadan görünür (Jiaoyubu, 2021, s. 93). Budist bir keşiş olan Jianzhen’in Japonya yolculuğu bile, keşişin kimliğine değinilmeden, tarihteki büyük yolculuklar tablosunda yalnızca bir satır olarak geçer (Jiaoyubu, 2018, s. 12).</w:t>
      </w:r>
    </w:p>
    <w:p>
      <w:pPr>
        <w:spacing w:after="0" w:before="40" w:line="276"/>
        <w:ind w:left="567"/>
        <w:jc w:val="both"/>
      </w:pPr>
      <w:r>
        <w:rPr>
          <w:rFonts w:ascii="Times New Roman" w:cs="Times New Roman" w:eastAsia="Times New Roman" w:hAnsi="Times New Roman"/>
          <w:i/>
          <w:iCs/>
          <w:color w:val="404040"/>
          <w:sz w:val="20"/>
          <w:szCs w:val="20"/>
        </w:rPr>
        <w:t xml:space="preserve">“风俗习惯和宗教信仰有多大差异”</w:t>
      </w:r>
    </w:p>
    <w:p>
      <w:pPr>
        <w:spacing w:after="80" w:before="0" w:line="276"/>
        <w:ind w:left="567"/>
      </w:pPr>
      <w:r>
        <w:rPr>
          <w:rFonts w:ascii="Times New Roman" w:cs="Times New Roman" w:eastAsia="Times New Roman" w:hAnsi="Times New Roman"/>
          <w:color w:val="7F7F7F"/>
          <w:sz w:val="18"/>
          <w:szCs w:val="18"/>
        </w:rPr>
        <w:t xml:space="preserve">[Kontrol: DED_ÇİN VE YUNAN DERS KİTAPLARI_TARİH_DİN/9. sınıf_1. kitap_üst cilt_birinci dönem kitabı.pdf; PDF s. 96; basılı s. 91; birebir eşleşme: TAM]</w:t>
      </w:r>
    </w:p>
    <w:p>
      <w:pPr>
        <w:spacing w:after="0" w:before="40" w:line="276"/>
        <w:ind w:left="567"/>
        <w:jc w:val="both"/>
      </w:pPr>
      <w:r>
        <w:rPr>
          <w:rFonts w:ascii="Times New Roman" w:cs="Times New Roman" w:eastAsia="Times New Roman" w:hAnsi="Times New Roman"/>
          <w:i/>
          <w:iCs/>
          <w:color w:val="404040"/>
          <w:sz w:val="20"/>
          <w:szCs w:val="20"/>
        </w:rPr>
        <w:t xml:space="preserve">“尤其要坚决反对借民族和宗教之名搞暴力恐怖活动”</w:t>
      </w:r>
    </w:p>
    <w:p>
      <w:pPr>
        <w:spacing w:after="80" w:before="0" w:line="276"/>
        <w:ind w:left="567"/>
      </w:pPr>
      <w:r>
        <w:rPr>
          <w:rFonts w:ascii="Times New Roman" w:cs="Times New Roman" w:eastAsia="Times New Roman" w:hAnsi="Times New Roman"/>
          <w:color w:val="7F7F7F"/>
          <w:sz w:val="18"/>
          <w:szCs w:val="18"/>
        </w:rPr>
        <w:t xml:space="preserve">[Kontrol: DED_ÇİN VE YUNAN DERS KİTAPLARI_TARİH_DİN/9. sınıf_1. kitap_üst cilt_birinci dönem kitabı.pdf; PDF s. 103; basılı s. 98; birebir eşleşme: TAM]</w:t>
      </w:r>
    </w:p>
    <w:p>
      <w:pPr>
        <w:spacing w:after="0" w:before="40" w:line="276"/>
        <w:ind w:left="567"/>
        <w:jc w:val="both"/>
      </w:pPr>
      <w:r>
        <w:rPr>
          <w:rFonts w:ascii="Times New Roman" w:cs="Times New Roman" w:eastAsia="Times New Roman" w:hAnsi="Times New Roman"/>
          <w:i/>
          <w:iCs/>
          <w:color w:val="404040"/>
          <w:sz w:val="20"/>
          <w:szCs w:val="20"/>
        </w:rPr>
        <w:t xml:space="preserve">“霸权主义、强权政治、民族问题、宗教冲突、领土争端和恐怖主义”</w:t>
      </w:r>
    </w:p>
    <w:p>
      <w:pPr>
        <w:spacing w:after="80" w:before="0" w:line="276"/>
        <w:ind w:left="567"/>
      </w:pPr>
      <w:r>
        <w:rPr>
          <w:rFonts w:ascii="Times New Roman" w:cs="Times New Roman" w:eastAsia="Times New Roman" w:hAnsi="Times New Roman"/>
          <w:color w:val="7F7F7F"/>
          <w:sz w:val="18"/>
          <w:szCs w:val="18"/>
        </w:rPr>
        <w:t xml:space="preserve">[Kontrol: DED_ÇİN VE YUNAN DERS KİTAPLARI_TARİH_DİN/9. sınıf_2. kitap_alt cilt ikinci dönem kitabı.pdf; PDF s. 23; basılı s. 18; birebir eşleşme: TAM]</w:t>
      </w:r>
    </w:p>
    <w:p>
      <w:pPr>
        <w:spacing w:after="0" w:before="40" w:line="276"/>
        <w:ind w:left="567"/>
        <w:jc w:val="both"/>
      </w:pPr>
      <w:r>
        <w:rPr>
          <w:rFonts w:ascii="Times New Roman" w:cs="Times New Roman" w:eastAsia="Times New Roman" w:hAnsi="Times New Roman"/>
          <w:i/>
          <w:iCs/>
          <w:color w:val="404040"/>
          <w:sz w:val="20"/>
          <w:szCs w:val="20"/>
        </w:rPr>
        <w:t xml:space="preserve">“各族群众以各种方式为灾区人民祈福”</w:t>
      </w:r>
    </w:p>
    <w:p>
      <w:pPr>
        <w:spacing w:after="80" w:before="0" w:line="276"/>
        <w:ind w:left="567"/>
      </w:pPr>
      <w:r>
        <w:rPr>
          <w:rFonts w:ascii="Times New Roman" w:cs="Times New Roman" w:eastAsia="Times New Roman" w:hAnsi="Times New Roman"/>
          <w:color w:val="7F7F7F"/>
          <w:sz w:val="18"/>
          <w:szCs w:val="18"/>
        </w:rPr>
        <w:t xml:space="preserve">[Kontrol: DED_ÇİN VE YUNAN DERS KİTAPLARI_TARİH_DİN/9. sınıf_1. kitap_üst cilt_birinci dönem kitabı.pdf; PDF s. 98; basılı s. 93; birebir eşleşme: TAM]</w:t>
      </w:r>
    </w:p>
    <w:p>
      <w:pPr>
        <w:spacing w:after="0" w:before="40" w:line="276"/>
        <w:ind w:left="567"/>
        <w:jc w:val="both"/>
      </w:pPr>
      <w:r>
        <w:rPr>
          <w:rFonts w:ascii="Times New Roman" w:cs="Times New Roman" w:eastAsia="Times New Roman" w:hAnsi="Times New Roman"/>
          <w:i/>
          <w:iCs/>
          <w:color w:val="404040"/>
          <w:sz w:val="20"/>
          <w:szCs w:val="20"/>
        </w:rPr>
        <w:t xml:space="preserve">“鉴真东渡日本”</w:t>
      </w:r>
    </w:p>
    <w:p>
      <w:pPr>
        <w:spacing w:after="80" w:before="0" w:line="276"/>
        <w:ind w:left="567"/>
      </w:pPr>
      <w:r>
        <w:rPr>
          <w:rFonts w:ascii="Times New Roman" w:cs="Times New Roman" w:eastAsia="Times New Roman" w:hAnsi="Times New Roman"/>
          <w:color w:val="7F7F7F"/>
          <w:sz w:val="18"/>
          <w:szCs w:val="18"/>
        </w:rPr>
        <w:t xml:space="preserve">[Kontrol: DED_ÇİN VE YUNAN DERS KİTAPLARI_TARİH_DİN/9. sınıf_2. kitap_alt cilt ikinci dönem kitabı.pdf; PDF s. 17; basılı s. 12; birebir eşleşme: TAM]</w:t>
      </w:r>
    </w:p>
    <w:p>
      <w:pPr>
        <w:spacing w:after="120" w:before="120" w:line="360"/>
        <w:ind w:firstLine="284"/>
        <w:jc w:val="both"/>
      </w:pPr>
      <w:r>
        <w:rPr>
          <w:rFonts w:ascii="Times New Roman" w:cs="Times New Roman" w:eastAsia="Times New Roman" w:hAnsi="Times New Roman"/>
          <w:b/>
          <w:bCs/>
          <w:i/>
          <w:iCs/>
          <w:sz w:val="24"/>
          <w:szCs w:val="24"/>
        </w:rPr>
        <w:t xml:space="preserve">Halk inancının kültüre dönüştürülmesi. </w:t>
      </w:r>
      <w:r>
        <w:rPr>
          <w:rFonts w:ascii="Times New Roman" w:cs="Times New Roman" w:eastAsia="Times New Roman" w:hAnsi="Times New Roman"/>
          <w:b w:val="false"/>
          <w:bCs w:val="false"/>
          <w:i w:val="false"/>
          <w:iCs w:val="false"/>
          <w:sz w:val="24"/>
          <w:szCs w:val="24"/>
        </w:rPr>
        <w:t xml:space="preserve">Kitapta bir inanç geleneğinin ayrıntılı biçimde anlatıldığı tek yer, Tayvan bahsinin sonundaki Mazu pasajıdır. Rivayete göre Song döneminde yaşamış, hayatını darda kalana yardım ederek geçirmiş olan Lin Mo, ölümünden sonra “Mazu” olarak yüceltilmiş, onu anmak için Meizhou adasında tapınak kurularak kurban sunulmuştur (Jiaoyubu, 2021, s. 103). Metin Mazu inancının yayıldığını, dünyada beş binden fazla Mazu tapınağı ve iki yüz milyonu aşkın inananı bulunduğunu ve “Mazu inanç âdetlerinin” insanlığın somut olmayan kültürel mirası listesine alındığını aktarır; ardından Mazu kültürünü yurt içindeki ve dışındaki Çinlileri birleştiren “önemli bir mânevî bağ” olarak tanımlar (Jiaoyubu, 2021, s. 103). Öğrenciye yöneltilen soru, bu kültürün “vatanın birleşmesi için ne tür bir ilham” verdiğidir (Jiaoyubu, 2021, s. 103). Din burada hakikat iddiası ve ibadet boyutu üzerinden değil, toplumu bir arada tutan işlevi üzerinden öğretilmekte; inanç önce “kültür” ve “miras” kategorisine taşınmakta, sonra millî birliğin hizmetine sunulmaktadır.</w:t>
      </w:r>
    </w:p>
    <w:p>
      <w:pPr>
        <w:spacing w:after="0" w:before="40" w:line="276"/>
        <w:ind w:left="567"/>
        <w:jc w:val="both"/>
      </w:pPr>
      <w:r>
        <w:rPr>
          <w:rFonts w:ascii="Times New Roman" w:cs="Times New Roman" w:eastAsia="Times New Roman" w:hAnsi="Times New Roman"/>
          <w:i/>
          <w:iCs/>
          <w:color w:val="404040"/>
          <w:sz w:val="20"/>
          <w:szCs w:val="20"/>
        </w:rPr>
        <w:t xml:space="preserve">“为了纪念她，人们在湄洲岛建庙祭祀”</w:t>
      </w:r>
    </w:p>
    <w:p>
      <w:pPr>
        <w:spacing w:after="80" w:before="0" w:line="276"/>
        <w:ind w:left="567"/>
      </w:pPr>
      <w:r>
        <w:rPr>
          <w:rFonts w:ascii="Times New Roman" w:cs="Times New Roman" w:eastAsia="Times New Roman" w:hAnsi="Times New Roman"/>
          <w:color w:val="7F7F7F"/>
          <w:sz w:val="18"/>
          <w:szCs w:val="18"/>
        </w:rPr>
        <w:t xml:space="preserve">[Kontrol: DED_ÇİN VE YUNAN DERS KİTAPLARI_TARİH_DİN/9. sınıf_1. kitap_üst cilt_birinci dönem kitabı.pdf; PDF s. 108; basılı s. 103; birebir eşleşme: TAM]</w:t>
      </w:r>
    </w:p>
    <w:p>
      <w:pPr>
        <w:spacing w:after="120" w:before="120" w:line="360"/>
        <w:ind w:firstLine="284"/>
        <w:jc w:val="both"/>
      </w:pPr>
      <w:r>
        <w:rPr>
          <w:rFonts w:ascii="Times New Roman" w:cs="Times New Roman" w:eastAsia="Times New Roman" w:hAnsi="Times New Roman"/>
          <w:b/>
          <w:bCs/>
          <w:i/>
          <w:iCs/>
          <w:sz w:val="24"/>
          <w:szCs w:val="24"/>
        </w:rPr>
        <w:t xml:space="preserve">Konfüçyüsçü klasiklerin seçici kullanımı. </w:t>
      </w:r>
      <w:r>
        <w:rPr>
          <w:rFonts w:ascii="Times New Roman" w:cs="Times New Roman" w:eastAsia="Times New Roman" w:hAnsi="Times New Roman"/>
          <w:b w:val="false"/>
          <w:bCs w:val="false"/>
          <w:i w:val="false"/>
          <w:iCs w:val="false"/>
          <w:sz w:val="24"/>
          <w:szCs w:val="24"/>
        </w:rPr>
        <w:t xml:space="preserve">Üst cildin “Mânevî Yurda Sahip Çıkmak” dersi, klasik kaynaklara en geniş yer veren derstir. Mengzi’den ve Fan Zhongyan’dan halkın sevinci ve kaygısını paylaşmaya dair iki metin okutulur, Zhuzi Jiaxun’dan tutumluluk ve aile ahlakına ilişkin öğütler aktarılır; “erdem klasikleri” okuma listesinin ilk sırasına konan Lunyu için “Konfüçyüsçü etik-ahlak düşüncesinin temsilci eseri” denir (Jiaoyubu, 2021, s. 65). Aynı listenin dördüncü sırasında ise “komünist savaşçı” Lei Feng’in günlüğü yer alır (Jiaoyubu, 2021, s. 66); klasik kanon ile devrimci şahsiyetlerin metinleri aynı düzlemde buluşturulmaktadır. Geleneğin nasıl devralınacağı da bir usule bağlanır: Eskiyi bugüne, yabancıyı Çin’e hizmet ettirmek, olumsuz unsurları atıp olumlu düşünceleri devralmak (Jiaoyubu, 2021, s. 61). Alt ciltte de Liji’den “on bin şey birlikte yetişir de birbirine zarar vermez, yollar yan yana yürür de birbirine aykırı düşmez” sözü (Jiaoyubu, 2018, s. 52) ile Konfüçyüs’ün “öğrenip zaman zaman tekrarlamak ne hoştur” sözü (Jiaoyubu, 2018, s. 73) alıntılanır. Bu alıntılarda Gök (tian), Yol (dao) ve ritüel (li) kavramlarının kozmik ve dinî içerikleri açıklanmaz; klasikler ahlaki ve siyasi vecize kaynağı olarak kullanılır. Ana metne serpiştirilen klasik özdeyişler ise çoğunlukla kaynak belirtilmeden verilir, kaynağı gösterilenler genellikle ek okuma kutularında yer alır; örneğin yukarıda anılan “yasa ne gökten iner ne yerden çıkar” cümlesinin hangi eserden alındığı kitapta yazmaz.</w:t>
      </w:r>
    </w:p>
    <w:p>
      <w:pPr>
        <w:spacing w:after="0" w:before="40" w:line="276"/>
        <w:ind w:left="567"/>
        <w:jc w:val="both"/>
      </w:pPr>
      <w:r>
        <w:rPr>
          <w:rFonts w:ascii="Times New Roman" w:cs="Times New Roman" w:eastAsia="Times New Roman" w:hAnsi="Times New Roman"/>
          <w:i/>
          <w:iCs/>
          <w:color w:val="404040"/>
          <w:sz w:val="20"/>
          <w:szCs w:val="20"/>
        </w:rPr>
        <w:t xml:space="preserve">“这是一部儒家伦理道德思想的代表作”</w:t>
      </w:r>
    </w:p>
    <w:p>
      <w:pPr>
        <w:spacing w:after="80" w:before="0" w:line="276"/>
        <w:ind w:left="567"/>
      </w:pPr>
      <w:r>
        <w:rPr>
          <w:rFonts w:ascii="Times New Roman" w:cs="Times New Roman" w:eastAsia="Times New Roman" w:hAnsi="Times New Roman"/>
          <w:color w:val="7F7F7F"/>
          <w:sz w:val="18"/>
          <w:szCs w:val="18"/>
        </w:rPr>
        <w:t xml:space="preserve">[Kontrol: DED_ÇİN VE YUNAN DERS KİTAPLARI_TARİH_DİN/9. sınıf_1. kitap_üst cilt_birinci dönem kitabı.pdf; PDF s. 70; basılı s. 65; birebir eşleşme: TAM]</w:t>
      </w:r>
    </w:p>
    <w:p>
      <w:pPr>
        <w:spacing w:after="0" w:before="40" w:line="276"/>
        <w:ind w:left="567"/>
        <w:jc w:val="both"/>
      </w:pPr>
      <w:r>
        <w:rPr>
          <w:rFonts w:ascii="Times New Roman" w:cs="Times New Roman" w:eastAsia="Times New Roman" w:hAnsi="Times New Roman"/>
          <w:i/>
          <w:iCs/>
          <w:color w:val="404040"/>
          <w:sz w:val="20"/>
          <w:szCs w:val="20"/>
        </w:rPr>
        <w:t xml:space="preserve">“推荐四：《雷锋日记》”</w:t>
      </w:r>
    </w:p>
    <w:p>
      <w:pPr>
        <w:spacing w:after="80" w:before="0" w:line="276"/>
        <w:ind w:left="567"/>
      </w:pPr>
      <w:r>
        <w:rPr>
          <w:rFonts w:ascii="Times New Roman" w:cs="Times New Roman" w:eastAsia="Times New Roman" w:hAnsi="Times New Roman"/>
          <w:color w:val="7F7F7F"/>
          <w:sz w:val="18"/>
          <w:szCs w:val="18"/>
        </w:rPr>
        <w:t xml:space="preserve">[Kontrol: DED_ÇİN VE YUNAN DERS KİTAPLARI_TARİH_DİN/9. sınıf_1. kitap_üst cilt_birinci dönem kitabı.pdf; PDF s. 71; basılı s. 66; birebir eşleşme: TAM]</w:t>
      </w:r>
    </w:p>
    <w:p>
      <w:pPr>
        <w:spacing w:after="0" w:before="40" w:line="276"/>
        <w:ind w:left="567"/>
        <w:jc w:val="both"/>
      </w:pPr>
      <w:r>
        <w:rPr>
          <w:rFonts w:ascii="Times New Roman" w:cs="Times New Roman" w:eastAsia="Times New Roman" w:hAnsi="Times New Roman"/>
          <w:i/>
          <w:iCs/>
          <w:color w:val="404040"/>
          <w:sz w:val="20"/>
          <w:szCs w:val="20"/>
        </w:rPr>
        <w:t xml:space="preserve">“古为今用、洋为中用，辩证取舍、推陈出新，摒弃消极因素，继承积极思想”</w:t>
      </w:r>
    </w:p>
    <w:p>
      <w:pPr>
        <w:spacing w:after="80" w:before="0" w:line="276"/>
        <w:ind w:left="567"/>
      </w:pPr>
      <w:r>
        <w:rPr>
          <w:rFonts w:ascii="Times New Roman" w:cs="Times New Roman" w:eastAsia="Times New Roman" w:hAnsi="Times New Roman"/>
          <w:color w:val="7F7F7F"/>
          <w:sz w:val="18"/>
          <w:szCs w:val="18"/>
        </w:rPr>
        <w:t xml:space="preserve">[Kontrol: DED_ÇİN VE YUNAN DERS KİTAPLARI_TARİH_DİN/9. sınıf_1. kitap_üst cilt_birinci dönem kitabı.pdf; PDF s. 66; basılı s. 61; birebir eşleşme: TAM]</w:t>
      </w:r>
    </w:p>
    <w:p>
      <w:pPr>
        <w:spacing w:after="0" w:before="40" w:line="276"/>
        <w:ind w:left="567"/>
        <w:jc w:val="both"/>
      </w:pPr>
      <w:r>
        <w:rPr>
          <w:rFonts w:ascii="Times New Roman" w:cs="Times New Roman" w:eastAsia="Times New Roman" w:hAnsi="Times New Roman"/>
          <w:i/>
          <w:iCs/>
          <w:color w:val="404040"/>
          <w:sz w:val="20"/>
          <w:szCs w:val="20"/>
        </w:rPr>
        <w:t xml:space="preserve">“万物并育而不相害，道并行而不相悖”</w:t>
      </w:r>
    </w:p>
    <w:p>
      <w:pPr>
        <w:spacing w:after="80" w:before="0" w:line="276"/>
        <w:ind w:left="567"/>
      </w:pPr>
      <w:r>
        <w:rPr>
          <w:rFonts w:ascii="Times New Roman" w:cs="Times New Roman" w:eastAsia="Times New Roman" w:hAnsi="Times New Roman"/>
          <w:color w:val="7F7F7F"/>
          <w:sz w:val="18"/>
          <w:szCs w:val="18"/>
        </w:rPr>
        <w:t xml:space="preserve">[Kontrol: DED_ÇİN VE YUNAN DERS KİTAPLARI_TARİH_DİN/9. sınıf_2. kitap_alt cilt ikinci dönem kitabı.pdf; PDF s. 57; basılı s. 52; birebir eşleşme: TAM]</w:t>
      </w:r>
    </w:p>
    <w:p>
      <w:pPr>
        <w:spacing w:after="0" w:before="40" w:line="276"/>
        <w:ind w:left="567"/>
        <w:jc w:val="both"/>
      </w:pPr>
      <w:r>
        <w:rPr>
          <w:rFonts w:ascii="Times New Roman" w:cs="Times New Roman" w:eastAsia="Times New Roman" w:hAnsi="Times New Roman"/>
          <w:i/>
          <w:iCs/>
          <w:color w:val="404040"/>
          <w:sz w:val="20"/>
          <w:szCs w:val="20"/>
        </w:rPr>
        <w:t xml:space="preserve">“孔子说：“学而时习之，不亦说乎？””</w:t>
      </w:r>
    </w:p>
    <w:p>
      <w:pPr>
        <w:spacing w:after="80" w:before="0" w:line="276"/>
        <w:ind w:left="567"/>
      </w:pPr>
      <w:r>
        <w:rPr>
          <w:rFonts w:ascii="Times New Roman" w:cs="Times New Roman" w:eastAsia="Times New Roman" w:hAnsi="Times New Roman"/>
          <w:color w:val="7F7F7F"/>
          <w:sz w:val="18"/>
          <w:szCs w:val="18"/>
        </w:rPr>
        <w:t xml:space="preserve">[Kontrol: DED_ÇİN VE YUNAN DERS KİTAPLARI_TARİH_DİN/9. sınıf_2. kitap_alt cilt ikinci dönem kitabı.pdf; PDF s. 78; basılı s. 73; birebir eşleşme: TAM]</w:t>
      </w:r>
    </w:p>
    <w:p>
      <w:pPr>
        <w:spacing w:after="120" w:before="120" w:line="360"/>
        <w:ind w:firstLine="284"/>
        <w:jc w:val="both"/>
      </w:pPr>
      <w:r>
        <w:rPr>
          <w:rFonts w:ascii="Times New Roman" w:cs="Times New Roman" w:eastAsia="Times New Roman" w:hAnsi="Times New Roman"/>
          <w:b/>
          <w:bCs/>
          <w:i/>
          <w:iCs/>
          <w:sz w:val="24"/>
          <w:szCs w:val="24"/>
        </w:rPr>
        <w:t xml:space="preserve">Dinî kelime dağarcığının sekülerleşmesi. </w:t>
      </w:r>
      <w:r>
        <w:rPr>
          <w:rFonts w:ascii="Times New Roman" w:cs="Times New Roman" w:eastAsia="Times New Roman" w:hAnsi="Times New Roman"/>
          <w:b w:val="false"/>
          <w:bCs w:val="false"/>
          <w:i w:val="false"/>
          <w:iCs w:val="false"/>
          <w:sz w:val="24"/>
          <w:szCs w:val="24"/>
        </w:rPr>
        <w:t xml:space="preserve">Kitapta dinî dilin kalıpları korunmakta, içerikleri millî ve siyasi bir anlamla doldurulmaktadır. Kültür “bir ülkenin, bir milletin ruhu (linghun)” olarak tanımlanır (Jiaoyubu, 2021, s. 60); yenilikçilik de “bir milletin ilerlemesinin ruhu”dur (Jiaoyubu, 2021, s. 14). Etnik gruplar (milletler) arasındaki birliği korumak ve geliştirmek her yurttaşın “kutsal görevi ve şerefli ödevi” sayılır (Jiaoyubu, 2021, s. 96); Tayvan, anayasaya göre Çin Halk Cumhuriyeti’nin “kutsal topraklarının” bir parçasıdır (Jiaoyubu, 2021, s. 102). Son derste “halkın inancı olursa devletin gücü, milletin umudu olur” denir (Jiaoyubu, 2021, s. 114); bu inancın muhtevası tanımlanmaz. Çin Rüyası ile ilgili okuma parçası Zhonghua Shijitan Xu ise “toprak ve tahıl sunakları (yani devlet) bin güz, atalar yüz kuşak” (Jiaoyubu, 2021, s. 106) ve “medeniyetin kutsal ateşi” (Jiaoyubu, 2021, s. 106) gibi geleneksel kült imgelerini millî diriliş anlatısının hizmetine sunar. Kader (mingyun) kavramı da metafizik bir takdir olarak değil, siyasi kararların ve insan iradesinin belirlediği tarihî bir yazgı olarak işlenir; reform ve dışa açılma “Çin’in kaderini belirleyen” hamle, insanlığın kader ortaklığı ise kurulması gereken bir projedir.</w:t>
      </w:r>
    </w:p>
    <w:p>
      <w:pPr>
        <w:spacing w:after="0" w:before="40" w:line="276"/>
        <w:ind w:left="567"/>
        <w:jc w:val="both"/>
      </w:pPr>
      <w:r>
        <w:rPr>
          <w:rFonts w:ascii="Times New Roman" w:cs="Times New Roman" w:eastAsia="Times New Roman" w:hAnsi="Times New Roman"/>
          <w:i/>
          <w:iCs/>
          <w:color w:val="404040"/>
          <w:sz w:val="20"/>
          <w:szCs w:val="20"/>
        </w:rPr>
        <w:t xml:space="preserve">“文化是一个国家、一个民族的灵魂”</w:t>
      </w:r>
    </w:p>
    <w:p>
      <w:pPr>
        <w:spacing w:after="80" w:before="0" w:line="276"/>
        <w:ind w:left="567"/>
      </w:pPr>
      <w:r>
        <w:rPr>
          <w:rFonts w:ascii="Times New Roman" w:cs="Times New Roman" w:eastAsia="Times New Roman" w:hAnsi="Times New Roman"/>
          <w:color w:val="7F7F7F"/>
          <w:sz w:val="18"/>
          <w:szCs w:val="18"/>
        </w:rPr>
        <w:t xml:space="preserve">[Kontrol: DED_ÇİN VE YUNAN DERS KİTAPLARI_TARİH_DİN/9. sınıf_1. kitap_üst cilt_birinci dönem kitabı.pdf; PDF s. 65; basılı s. 60; birebir eşleşme: TAM]</w:t>
      </w:r>
    </w:p>
    <w:p>
      <w:pPr>
        <w:spacing w:after="0" w:before="40" w:line="276"/>
        <w:ind w:left="567"/>
        <w:jc w:val="both"/>
      </w:pPr>
      <w:r>
        <w:rPr>
          <w:rFonts w:ascii="Times New Roman" w:cs="Times New Roman" w:eastAsia="Times New Roman" w:hAnsi="Times New Roman"/>
          <w:i/>
          <w:iCs/>
          <w:color w:val="404040"/>
          <w:sz w:val="20"/>
          <w:szCs w:val="20"/>
        </w:rPr>
        <w:t xml:space="preserve">“创新是一个民族进步的灵魂”</w:t>
      </w:r>
    </w:p>
    <w:p>
      <w:pPr>
        <w:spacing w:after="80" w:before="0" w:line="276"/>
        <w:ind w:left="567"/>
      </w:pPr>
      <w:r>
        <w:rPr>
          <w:rFonts w:ascii="Times New Roman" w:cs="Times New Roman" w:eastAsia="Times New Roman" w:hAnsi="Times New Roman"/>
          <w:color w:val="7F7F7F"/>
          <w:sz w:val="18"/>
          <w:szCs w:val="18"/>
        </w:rPr>
        <w:t xml:space="preserve">[Kontrol: DED_ÇİN VE YUNAN DERS KİTAPLARI_TARİH_DİN/9. sınıf_1. kitap_üst cilt_birinci dönem kitabı.pdf; PDF s. 19; basılı s. 14; birebir eşleşme: TAM]</w:t>
      </w:r>
    </w:p>
    <w:p>
      <w:pPr>
        <w:spacing w:after="0" w:before="40" w:line="276"/>
        <w:ind w:left="567"/>
        <w:jc w:val="both"/>
      </w:pPr>
      <w:r>
        <w:rPr>
          <w:rFonts w:ascii="Times New Roman" w:cs="Times New Roman" w:eastAsia="Times New Roman" w:hAnsi="Times New Roman"/>
          <w:i/>
          <w:iCs/>
          <w:color w:val="404040"/>
          <w:sz w:val="20"/>
          <w:szCs w:val="20"/>
        </w:rPr>
        <w:t xml:space="preserve">“维护和促进民族团结，是每个公民的神圣职责和光荣义务”</w:t>
      </w:r>
    </w:p>
    <w:p>
      <w:pPr>
        <w:spacing w:after="80" w:before="0" w:line="276"/>
        <w:ind w:left="567"/>
      </w:pPr>
      <w:r>
        <w:rPr>
          <w:rFonts w:ascii="Times New Roman" w:cs="Times New Roman" w:eastAsia="Times New Roman" w:hAnsi="Times New Roman"/>
          <w:color w:val="7F7F7F"/>
          <w:sz w:val="18"/>
          <w:szCs w:val="18"/>
        </w:rPr>
        <w:t xml:space="preserve">[Kontrol: DED_ÇİN VE YUNAN DERS KİTAPLARI_TARİH_DİN/9. sınıf_1. kitap_üst cilt_birinci dönem kitabı.pdf; PDF s. 101; basılı s. 96; birebir eşleşme: TAM]</w:t>
      </w:r>
    </w:p>
    <w:p>
      <w:pPr>
        <w:spacing w:after="0" w:before="40" w:line="276"/>
        <w:ind w:left="567"/>
        <w:jc w:val="both"/>
      </w:pPr>
      <w:r>
        <w:rPr>
          <w:rFonts w:ascii="Times New Roman" w:cs="Times New Roman" w:eastAsia="Times New Roman" w:hAnsi="Times New Roman"/>
          <w:i/>
          <w:iCs/>
          <w:color w:val="404040"/>
          <w:sz w:val="20"/>
          <w:szCs w:val="20"/>
        </w:rPr>
        <w:t xml:space="preserve">“我国宪法规定，台湾是中华人民共和国的神圣领土的一部分”</w:t>
      </w:r>
    </w:p>
    <w:p>
      <w:pPr>
        <w:spacing w:after="80" w:before="0" w:line="276"/>
        <w:ind w:left="567"/>
      </w:pPr>
      <w:r>
        <w:rPr>
          <w:rFonts w:ascii="Times New Roman" w:cs="Times New Roman" w:eastAsia="Times New Roman" w:hAnsi="Times New Roman"/>
          <w:color w:val="7F7F7F"/>
          <w:sz w:val="18"/>
          <w:szCs w:val="18"/>
        </w:rPr>
        <w:t xml:space="preserve">[Kontrol: DED_ÇİN VE YUNAN DERS KİTAPLARI_TARİH_DİN/9. sınıf_1. kitap_üst cilt_birinci dönem kitabı.pdf; PDF s. 107; basılı s. 102; birebir eşleşme: TAM]</w:t>
      </w:r>
    </w:p>
    <w:p>
      <w:pPr>
        <w:spacing w:after="0" w:before="40" w:line="276"/>
        <w:ind w:left="567"/>
        <w:jc w:val="both"/>
      </w:pPr>
      <w:r>
        <w:rPr>
          <w:rFonts w:ascii="Times New Roman" w:cs="Times New Roman" w:eastAsia="Times New Roman" w:hAnsi="Times New Roman"/>
          <w:i/>
          <w:iCs/>
          <w:color w:val="404040"/>
          <w:sz w:val="20"/>
          <w:szCs w:val="20"/>
        </w:rPr>
        <w:t xml:space="preserve">“人民有信仰，国家有力量，民族有希望”</w:t>
      </w:r>
    </w:p>
    <w:p>
      <w:pPr>
        <w:spacing w:after="80" w:before="0" w:line="276"/>
        <w:ind w:left="567"/>
      </w:pPr>
      <w:r>
        <w:rPr>
          <w:rFonts w:ascii="Times New Roman" w:cs="Times New Roman" w:eastAsia="Times New Roman" w:hAnsi="Times New Roman"/>
          <w:color w:val="7F7F7F"/>
          <w:sz w:val="18"/>
          <w:szCs w:val="18"/>
        </w:rPr>
        <w:t xml:space="preserve">[Kontrol: DED_ÇİN VE YUNAN DERS KİTAPLARI_TARİH_DİN/9. sınıf_1. kitap_üst cilt_birinci dönem kitabı.pdf; PDF s. 119; basılı s. 114; birebir eşleşme: TAM]</w:t>
      </w:r>
    </w:p>
    <w:p>
      <w:pPr>
        <w:spacing w:after="0" w:before="40" w:line="276"/>
        <w:ind w:left="567"/>
        <w:jc w:val="both"/>
      </w:pPr>
      <w:r>
        <w:rPr>
          <w:rFonts w:ascii="Times New Roman" w:cs="Times New Roman" w:eastAsia="Times New Roman" w:hAnsi="Times New Roman"/>
          <w:i/>
          <w:iCs/>
          <w:color w:val="404040"/>
          <w:sz w:val="20"/>
          <w:szCs w:val="20"/>
        </w:rPr>
        <w:t xml:space="preserve">“社稷千秋，祖宗百世”</w:t>
      </w:r>
    </w:p>
    <w:p>
      <w:pPr>
        <w:spacing w:after="80" w:before="0" w:line="276"/>
        <w:ind w:left="567"/>
      </w:pPr>
      <w:r>
        <w:rPr>
          <w:rFonts w:ascii="Times New Roman" w:cs="Times New Roman" w:eastAsia="Times New Roman" w:hAnsi="Times New Roman"/>
          <w:color w:val="7F7F7F"/>
          <w:sz w:val="18"/>
          <w:szCs w:val="18"/>
        </w:rPr>
        <w:t xml:space="preserve">[Kontrol: DED_ÇİN VE YUNAN DERS KİTAPLARI_TARİH_DİN/9. sınıf_1. kitap_üst cilt_birinci dönem kitabı.pdf; PDF s. 111; basılı s. 106; birebir eşleşme: TAM]</w:t>
      </w:r>
    </w:p>
    <w:p>
      <w:pPr>
        <w:spacing w:after="120" w:before="120" w:line="360"/>
        <w:jc w:val="left"/>
      </w:pPr>
      <w:r>
        <w:rPr>
          <w:rFonts w:ascii="Times New Roman" w:cs="Times New Roman" w:eastAsia="Times New Roman" w:hAnsi="Times New Roman"/>
          <w:b/>
          <w:bCs/>
          <w:i w:val="false"/>
          <w:iCs w:val="false"/>
          <w:sz w:val="24"/>
          <w:szCs w:val="24"/>
        </w:rPr>
        <w:t xml:space="preserve">Gençlik, İdeal ve Hayatın Anlamı</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Alt cildin son ünitesi, mezuniyet eşiğindeki öğrenciye hayatının anlamını ve yönünü sorar ve bu sorulara verilen cevaplar kitabın ahlak tasavvurunu bir kez daha görünür kılar. Ünitenin ilk dersi (Shaonian de dandang), “gençlik güçlü olursa ülke güçlü olur” cümlesiyle açılır ve kuşaklar boyu gençlerin ülkenin ve toplumun gelişmesine, Çin milletinin büyük dirilişine katkısını anar (Jiaoyubu, 2018, s. 54). Bireyin kaderi ülkenin kaderine, bireyin geleceği milletin geleceğine sıkı sıkıya bağlı olarak tanımlanır (Jiaoyubu, 2018, s. 60). Öğrenciden “ideal ve inancında sarsılmaz olması” ve Çin Rüyası’nı gerçekleştirme yolunda başarı kazanması beklenir (Jiaoyubu, 2018, s. 62); ünitede xinnian (inanç) kelimesinin geçtiği tek yer burasıdır ve inancın nesnesi vatanın inşasıdır.</w:t>
      </w:r>
    </w:p>
    <w:p>
      <w:pPr>
        <w:spacing w:after="0" w:before="40" w:line="276"/>
        <w:ind w:left="567"/>
        <w:jc w:val="both"/>
      </w:pPr>
      <w:r>
        <w:rPr>
          <w:rFonts w:ascii="Times New Roman" w:cs="Times New Roman" w:eastAsia="Times New Roman" w:hAnsi="Times New Roman"/>
          <w:i/>
          <w:iCs/>
          <w:color w:val="404040"/>
          <w:sz w:val="20"/>
          <w:szCs w:val="20"/>
        </w:rPr>
        <w:t xml:space="preserve">“少年强则国强。多少年来”</w:t>
      </w:r>
    </w:p>
    <w:p>
      <w:pPr>
        <w:spacing w:after="80" w:before="0" w:line="276"/>
        <w:ind w:left="567"/>
      </w:pPr>
      <w:r>
        <w:rPr>
          <w:rFonts w:ascii="Times New Roman" w:cs="Times New Roman" w:eastAsia="Times New Roman" w:hAnsi="Times New Roman"/>
          <w:color w:val="7F7F7F"/>
          <w:sz w:val="18"/>
          <w:szCs w:val="18"/>
        </w:rPr>
        <w:t xml:space="preserve">[Kontrol: DED_ÇİN VE YUNAN DERS KİTAPLARI_TARİH_DİN/9. sınıf_2. kitap_alt cilt ikinci dönem kitabı.pdf; PDF s. 59; basılı s. 54; birebir eşleşme: TAM]</w:t>
      </w:r>
    </w:p>
    <w:p>
      <w:pPr>
        <w:spacing w:after="0" w:before="40" w:line="276"/>
        <w:ind w:left="567"/>
        <w:jc w:val="both"/>
      </w:pPr>
      <w:r>
        <w:rPr>
          <w:rFonts w:ascii="Times New Roman" w:cs="Times New Roman" w:eastAsia="Times New Roman" w:hAnsi="Times New Roman"/>
          <w:i/>
          <w:iCs/>
          <w:color w:val="404040"/>
          <w:sz w:val="20"/>
          <w:szCs w:val="20"/>
        </w:rPr>
        <w:t xml:space="preserve">“个人的命运与国家的命运息息相关，个人的未来与民族的未来紧密相连”</w:t>
      </w:r>
    </w:p>
    <w:p>
      <w:pPr>
        <w:spacing w:after="80" w:before="0" w:line="276"/>
        <w:ind w:left="567"/>
      </w:pPr>
      <w:r>
        <w:rPr>
          <w:rFonts w:ascii="Times New Roman" w:cs="Times New Roman" w:eastAsia="Times New Roman" w:hAnsi="Times New Roman"/>
          <w:color w:val="7F7F7F"/>
          <w:sz w:val="18"/>
          <w:szCs w:val="18"/>
        </w:rPr>
        <w:t xml:space="preserve">[Kontrol: DED_ÇİN VE YUNAN DERS KİTAPLARI_TARİH_DİN/9. sınıf_2. kitap_alt cilt ikinci dönem kitabı.pdf; PDF s. 65; basılı s. 60; birebir eşleşme: TAM]</w:t>
      </w:r>
    </w:p>
    <w:p>
      <w:pPr>
        <w:spacing w:after="0" w:before="40" w:line="276"/>
        <w:ind w:left="567"/>
        <w:jc w:val="both"/>
      </w:pPr>
      <w:r>
        <w:rPr>
          <w:rFonts w:ascii="Times New Roman" w:cs="Times New Roman" w:eastAsia="Times New Roman" w:hAnsi="Times New Roman"/>
          <w:i/>
          <w:iCs/>
          <w:color w:val="404040"/>
          <w:sz w:val="20"/>
          <w:szCs w:val="20"/>
        </w:rPr>
        <w:t xml:space="preserve">“我们要坚定理想信念，志存高远”</w:t>
      </w:r>
    </w:p>
    <w:p>
      <w:pPr>
        <w:spacing w:after="80" w:before="0" w:line="276"/>
        <w:ind w:left="567"/>
      </w:pPr>
      <w:r>
        <w:rPr>
          <w:rFonts w:ascii="Times New Roman" w:cs="Times New Roman" w:eastAsia="Times New Roman" w:hAnsi="Times New Roman"/>
          <w:color w:val="7F7F7F"/>
          <w:sz w:val="18"/>
          <w:szCs w:val="18"/>
        </w:rPr>
        <w:t xml:space="preserve">[Kontrol: DED_ÇİN VE YUNAN DERS KİTAPLARI_TARİH_DİN/9. sınıf_2. kitap_alt cilt ikinci dönem kitabı.pdf; PDF s. 67; basılı s. 62; birebir eşleşme: TAM]</w:t>
      </w:r>
    </w:p>
    <w:p>
      <w:pPr>
        <w:spacing w:after="120" w:before="120" w:line="360"/>
        <w:ind w:firstLine="284"/>
        <w:jc w:val="both"/>
      </w:pPr>
      <w:r>
        <w:rPr>
          <w:rFonts w:ascii="Times New Roman" w:cs="Times New Roman" w:eastAsia="Times New Roman" w:hAnsi="Times New Roman"/>
          <w:b w:val="false"/>
          <w:bCs w:val="false"/>
          <w:i w:val="false"/>
          <w:iCs w:val="false"/>
          <w:sz w:val="24"/>
          <w:szCs w:val="24"/>
        </w:rPr>
        <w:t xml:space="preserve">Hayatın anlamı emek ve hizmetle tarif edilir. Meslek, toplumsal iş bölümünün gereği olduğu kadar bireyin topluma katkıda bulunmasının ve “hayatının değerini gerçekleştirmesinin temel yolu”dur (Jiaoyubu, 2018, s. 74); “emek bütün mutluluğun kaynağıdır” (Jiaoyubu, 2018, s. 78). Uçak imalatçısı bir ustanın öğretmeninden duyduğu “Uçak yapmayı öğrenmek ikinci sırada, insan olmayı öğrenmek birinci sıradadır; iş yaparken vicdanına göre davranmalı” sözü (Jiaoyubu, 2018, s. 80) liangxin (vicdan) kelimesinin iki ciltte geçtiği tek yerdir; vicdan da burada bir meslek ahlakı çerçevesinde kalır. Geleneksel öz terbiye anlayışı da korunur ve Konfüçyüsçü okulun “kendini terbiye etmek, aileyi düzene koymak, devleti yönetmek, dünyaya barış getirmek” sıralaması anılır (Jiaoyubu, 2018, s. 63). Zhou Enlai’ye ait ve çoğu çalışma ve yaşam düzenine ilişkin maddelerden oluşan “öz terbiye kuralları” (xiuyang yaoze) listesinde ise “kendimin ve başkalarının her türlü yanlış düşünce ve bilincine karşı ilke düzeyinde kararlı bir mücadele vermek” gibi siyasi bir öz denetim maddesine de yer verilir (Jiaoyubu, 2018, s. 69).</w:t>
      </w:r>
    </w:p>
    <w:p>
      <w:pPr>
        <w:spacing w:after="0" w:before="40" w:line="276"/>
        <w:ind w:left="567"/>
        <w:jc w:val="both"/>
      </w:pPr>
      <w:r>
        <w:rPr>
          <w:rFonts w:ascii="Times New Roman" w:cs="Times New Roman" w:eastAsia="Times New Roman" w:hAnsi="Times New Roman"/>
          <w:i/>
          <w:iCs/>
          <w:color w:val="404040"/>
          <w:sz w:val="20"/>
          <w:szCs w:val="20"/>
        </w:rPr>
        <w:t xml:space="preserve">“也是个人为社会作贡献、实现人生价值的基本路径”</w:t>
      </w:r>
    </w:p>
    <w:p>
      <w:pPr>
        <w:spacing w:after="80" w:before="0" w:line="276"/>
        <w:ind w:left="567"/>
      </w:pPr>
      <w:r>
        <w:rPr>
          <w:rFonts w:ascii="Times New Roman" w:cs="Times New Roman" w:eastAsia="Times New Roman" w:hAnsi="Times New Roman"/>
          <w:color w:val="7F7F7F"/>
          <w:sz w:val="18"/>
          <w:szCs w:val="18"/>
        </w:rPr>
        <w:t xml:space="preserve">[Kontrol: DED_ÇİN VE YUNAN DERS KİTAPLARI_TARİH_DİN/9. sınıf_2. kitap_alt cilt ikinci dönem kitabı.pdf; PDF s. 79; basılı s. 74; birebir eşleşme: TAM]</w:t>
      </w:r>
    </w:p>
    <w:p>
      <w:pPr>
        <w:spacing w:after="0" w:before="40" w:line="276"/>
        <w:ind w:left="567"/>
        <w:jc w:val="both"/>
      </w:pPr>
      <w:r>
        <w:rPr>
          <w:rFonts w:ascii="Times New Roman" w:cs="Times New Roman" w:eastAsia="Times New Roman" w:hAnsi="Times New Roman"/>
          <w:i/>
          <w:iCs/>
          <w:color w:val="404040"/>
          <w:sz w:val="20"/>
          <w:szCs w:val="20"/>
        </w:rPr>
        <w:t xml:space="preserve">“劳动是一切幸福的源泉”</w:t>
      </w:r>
    </w:p>
    <w:p>
      <w:pPr>
        <w:spacing w:after="80" w:before="0" w:line="276"/>
        <w:ind w:left="567"/>
      </w:pPr>
      <w:r>
        <w:rPr>
          <w:rFonts w:ascii="Times New Roman" w:cs="Times New Roman" w:eastAsia="Times New Roman" w:hAnsi="Times New Roman"/>
          <w:color w:val="7F7F7F"/>
          <w:sz w:val="18"/>
          <w:szCs w:val="18"/>
        </w:rPr>
        <w:t xml:space="preserve">[Kontrol: DED_ÇİN VE YUNAN DERS KİTAPLARI_TARİH_DİN/9. sınıf_2. kitap_alt cilt ikinci dönem kitabı.pdf; PDF s. 83; basılı s. 78; birebir eşleşme: TAM]</w:t>
      </w:r>
    </w:p>
    <w:p>
      <w:pPr>
        <w:spacing w:after="0" w:before="40" w:line="276"/>
        <w:ind w:left="567"/>
        <w:jc w:val="both"/>
      </w:pPr>
      <w:r>
        <w:rPr>
          <w:rFonts w:ascii="Times New Roman" w:cs="Times New Roman" w:eastAsia="Times New Roman" w:hAnsi="Times New Roman"/>
          <w:i/>
          <w:iCs/>
          <w:color w:val="404040"/>
          <w:sz w:val="20"/>
          <w:szCs w:val="20"/>
        </w:rPr>
        <w:t xml:space="preserve">“学飞机制造技术是次位，学做人是首位。干活儿，要凭良心”</w:t>
      </w:r>
    </w:p>
    <w:p>
      <w:pPr>
        <w:spacing w:after="80" w:before="0" w:line="276"/>
        <w:ind w:left="567"/>
      </w:pPr>
      <w:r>
        <w:rPr>
          <w:rFonts w:ascii="Times New Roman" w:cs="Times New Roman" w:eastAsia="Times New Roman" w:hAnsi="Times New Roman"/>
          <w:color w:val="7F7F7F"/>
          <w:sz w:val="18"/>
          <w:szCs w:val="18"/>
        </w:rPr>
        <w:t xml:space="preserve">[Kontrol: DED_ÇİN VE YUNAN DERS KİTAPLARI_TARİH_DİN/9. sınıf_2. kitap_alt cilt ikinci dönem kitabı.pdf; PDF s. 85; basılı s. 80; birebir eşleşme: TAM]</w:t>
      </w:r>
    </w:p>
    <w:p>
      <w:pPr>
        <w:spacing w:after="0" w:before="40" w:line="276"/>
        <w:ind w:left="567"/>
        <w:jc w:val="both"/>
      </w:pPr>
      <w:r>
        <w:rPr>
          <w:rFonts w:ascii="Times New Roman" w:cs="Times New Roman" w:eastAsia="Times New Roman" w:hAnsi="Times New Roman"/>
          <w:i/>
          <w:iCs/>
          <w:color w:val="404040"/>
          <w:sz w:val="20"/>
          <w:szCs w:val="20"/>
        </w:rPr>
        <w:t xml:space="preserve">“修身齐家治国平天下”</w:t>
      </w:r>
    </w:p>
    <w:p>
      <w:pPr>
        <w:spacing w:after="80" w:before="0" w:line="276"/>
        <w:ind w:left="567"/>
      </w:pPr>
      <w:r>
        <w:rPr>
          <w:rFonts w:ascii="Times New Roman" w:cs="Times New Roman" w:eastAsia="Times New Roman" w:hAnsi="Times New Roman"/>
          <w:color w:val="7F7F7F"/>
          <w:sz w:val="18"/>
          <w:szCs w:val="18"/>
        </w:rPr>
        <w:t xml:space="preserve">[Kontrol: DED_ÇİN VE YUNAN DERS KİTAPLARI_TARİH_DİN/9. sınıf_2. kitap_alt cilt ikinci dönem kitabı.pdf; PDF s. 68; basılı s. 63; birebir eşleşme: TAM]</w:t>
      </w:r>
    </w:p>
    <w:p>
      <w:pPr>
        <w:spacing w:after="0" w:before="40" w:line="276"/>
        <w:ind w:left="567"/>
        <w:jc w:val="both"/>
      </w:pPr>
      <w:r>
        <w:rPr>
          <w:rFonts w:ascii="Times New Roman" w:cs="Times New Roman" w:eastAsia="Times New Roman" w:hAnsi="Times New Roman"/>
          <w:i/>
          <w:iCs/>
          <w:color w:val="404040"/>
          <w:sz w:val="20"/>
          <w:szCs w:val="20"/>
        </w:rPr>
        <w:t xml:space="preserve">“要与自己的他人的一切不正确的思想意识作原则上坚决的斗争”</w:t>
      </w:r>
    </w:p>
    <w:p>
      <w:pPr>
        <w:spacing w:after="80" w:before="0" w:line="276"/>
        <w:ind w:left="567"/>
      </w:pPr>
      <w:r>
        <w:rPr>
          <w:rFonts w:ascii="Times New Roman" w:cs="Times New Roman" w:eastAsia="Times New Roman" w:hAnsi="Times New Roman"/>
          <w:color w:val="7F7F7F"/>
          <w:sz w:val="18"/>
          <w:szCs w:val="18"/>
        </w:rPr>
        <w:t xml:space="preserve">[Kontrol: DED_ÇİN VE YUNAN DERS KİTAPLARI_TARİH_DİN/9. sınıf_2. kitap_alt cilt ikinci dönem kitabı.pdf; PDF s. 74; basılı s. 69; birebir eşleşme: TAM]</w:t>
      </w:r>
    </w:p>
    <w:p>
      <w:pPr>
        <w:spacing w:after="120" w:before="120" w:line="360"/>
        <w:ind w:firstLine="284"/>
        <w:jc w:val="both"/>
      </w:pPr>
      <w:r>
        <w:rPr>
          <w:rFonts w:ascii="Times New Roman" w:cs="Times New Roman" w:eastAsia="Times New Roman" w:hAnsi="Times New Roman"/>
          <w:b w:val="false"/>
          <w:bCs w:val="false"/>
          <w:i w:val="false"/>
          <w:iCs w:val="false"/>
          <w:sz w:val="24"/>
          <w:szCs w:val="24"/>
        </w:rPr>
        <w:t xml:space="preserve">Kitabın son sayfası, Liang Qichao’nun Shaonian Zhongguo Shuo metninden alınan bir parçayla biter ve bu parça “Ne güzel, benim genç Çin’im, gökle birlikte yaşlanmaz! Ne yüce, benim Çinli gençliğim, vatanla birlikte sınırsızdır!” cümlesiyle sona erer (Jiaoyubu, 2018, s. 91). Öğrenciden bu metni yüksek sesle okuyup Çin Rüyası için ondan hangi gücü alabileceğini düşünmesi istenir. Ünitenin hedefi ise öğrencinin “ahlak, akıl, beden, estetik ve emek yönünden çok yönlü gelişmiş sosyalizmin inşacısı ve vârisi” olmasıdır (Jiaoyubu, 2018, s. 90). Ölüm ve fedakârlık bu ünitede de yalnızca millet ve dava uğruna anlam kazanır; ölümsüzlük bireye değil, gökle birlikte yaşlanmayan “genç Çin”e atfedilir. Hayatın anlamı, mutluluk ve ideal gibi din eğitiminin merkezindeki sorular kitapta sorulmakta, fakat cevapları dünyevi bir ufukta ve bireysel gelişimi de içermekle birlikte ağırlıkla millî ve kolektif hedeflere bağlanarak verilmektedir (Jiaoyubu, 2018, s. 88).</w:t>
      </w:r>
    </w:p>
    <w:p>
      <w:pPr>
        <w:spacing w:after="0" w:before="40" w:line="276"/>
        <w:ind w:left="567"/>
        <w:jc w:val="both"/>
      </w:pPr>
      <w:r>
        <w:rPr>
          <w:rFonts w:ascii="Times New Roman" w:cs="Times New Roman" w:eastAsia="Times New Roman" w:hAnsi="Times New Roman"/>
          <w:i/>
          <w:iCs/>
          <w:color w:val="404040"/>
          <w:sz w:val="20"/>
          <w:szCs w:val="20"/>
        </w:rPr>
        <w:t xml:space="preserve">“美哉，我少年中国，与天不老！壮哉，我中国少年，与国无疆！”</w:t>
      </w:r>
    </w:p>
    <w:p>
      <w:pPr>
        <w:spacing w:after="80" w:before="0" w:line="276"/>
        <w:ind w:left="567"/>
      </w:pPr>
      <w:r>
        <w:rPr>
          <w:rFonts w:ascii="Times New Roman" w:cs="Times New Roman" w:eastAsia="Times New Roman" w:hAnsi="Times New Roman"/>
          <w:color w:val="7F7F7F"/>
          <w:sz w:val="18"/>
          <w:szCs w:val="18"/>
        </w:rPr>
        <w:t xml:space="preserve">[Kontrol: DED_ÇİN VE YUNAN DERS KİTAPLARI_TARİH_DİN/9. sınıf_2. kitap_alt cilt ikinci dönem kitabı.pdf; PDF s. 96; basılı s. 91; birebir eşleşme: TAM]</w:t>
      </w:r>
    </w:p>
    <w:p>
      <w:pPr>
        <w:spacing w:after="0" w:before="40" w:line="276"/>
        <w:ind w:left="567"/>
        <w:jc w:val="both"/>
      </w:pPr>
      <w:r>
        <w:rPr>
          <w:rFonts w:ascii="Times New Roman" w:cs="Times New Roman" w:eastAsia="Times New Roman" w:hAnsi="Times New Roman"/>
          <w:i/>
          <w:iCs/>
          <w:color w:val="404040"/>
          <w:sz w:val="20"/>
          <w:szCs w:val="20"/>
        </w:rPr>
        <w:t xml:space="preserve">“努力成为德智体美劳全面发展的社会主义建设者和接班人”</w:t>
      </w:r>
    </w:p>
    <w:p>
      <w:pPr>
        <w:spacing w:after="80" w:before="0" w:line="276"/>
        <w:ind w:left="567"/>
      </w:pPr>
      <w:r>
        <w:rPr>
          <w:rFonts w:ascii="Times New Roman" w:cs="Times New Roman" w:eastAsia="Times New Roman" w:hAnsi="Times New Roman"/>
          <w:color w:val="7F7F7F"/>
          <w:sz w:val="18"/>
          <w:szCs w:val="18"/>
        </w:rPr>
        <w:t xml:space="preserve">[Kontrol: DED_ÇİN VE YUNAN DERS KİTAPLARI_TARİH_DİN/9. sınıf_2. kitap_alt cilt ikinci dönem kitabı.pdf; PDF s. 95; basılı s. 90; birebir eşleşme: TAM]</w:t>
      </w:r>
    </w:p>
    <w:p>
      <w:pPr>
        <w:spacing w:after="0" w:before="40" w:line="276"/>
        <w:ind w:left="567"/>
        <w:jc w:val="both"/>
      </w:pPr>
      <w:r>
        <w:rPr>
          <w:rFonts w:ascii="Times New Roman" w:cs="Times New Roman" w:eastAsia="Times New Roman" w:hAnsi="Times New Roman"/>
          <w:i/>
          <w:iCs/>
          <w:color w:val="404040"/>
          <w:sz w:val="20"/>
          <w:szCs w:val="20"/>
        </w:rPr>
        <w:t xml:space="preserve">“畅想未来是为了丰富自己的生命”</w:t>
      </w:r>
    </w:p>
    <w:p>
      <w:pPr>
        <w:spacing w:after="80" w:before="0" w:line="276"/>
        <w:ind w:left="567"/>
      </w:pPr>
      <w:r>
        <w:rPr>
          <w:rFonts w:ascii="Times New Roman" w:cs="Times New Roman" w:eastAsia="Times New Roman" w:hAnsi="Times New Roman"/>
          <w:color w:val="7F7F7F"/>
          <w:sz w:val="18"/>
          <w:szCs w:val="18"/>
        </w:rPr>
        <w:t xml:space="preserve">[Kontrol: DED_ÇİN VE YUNAN DERS KİTAPLARI_TARİH_DİN/9. sınıf_2. kitap_alt cilt ikinci dönem kitabı.pdf; PDF s. 93; basılı s. 88; birebir eşleşme: TAM]</w:t>
      </w:r>
    </w:p>
    <w:p>
      <w:pPr>
        <w:spacing w:after="120" w:before="240" w:line="360"/>
        <w:jc w:val="center"/>
      </w:pPr>
      <w:r>
        <w:rPr>
          <w:rFonts w:ascii="Times New Roman" w:cs="Times New Roman" w:eastAsia="Times New Roman" w:hAnsi="Times New Roman"/>
          <w:b/>
          <w:bCs/>
          <w:i w:val="false"/>
          <w:iCs w:val="false"/>
          <w:sz w:val="24"/>
          <w:szCs w:val="24"/>
        </w:rPr>
        <w:t xml:space="preserve">Tartışma</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Bulgular, 9. sınıf Ahlak ve Hukuk kitabında ahlakın tümüyle içkin bir zemine dayandırıldığını göstermektedir. Ahlaki yükümlülüğün kaynakları tarih, millet, Parti, anayasa ve seçilerek devralınmış gelenektir; değerlerin ölçütü anayasada yer alan sosyalist çekirdek değerlerdir. Bu tablo, Çin eğitim sisteminin yasal çerçevesine dair Türkçe literatürdeki tespitlerle örtüşmektedir: Eğitimin sosyalist amaçlara hizmet etmesi ve dinden ayrılması kanunla belirlenmiştir (Coşkun &amp; Çelikten, 2020, s. 2987, 3004). Ne var ki kitap, ideolojiyi kuru bir doktrin olarak değil, gelenek, aile, kahramanlık ve mutluluk anlatılarıyla örülmüş bir ahlak dili içinde sunmaktadır. Hsu (2024, s. 154) tarih ders kitaplarını hâkim ideolojilerin taşıyıcısı olarak nitelendirir; bu tespiti özellikle ders kitaplarının toplumun baskın görüşlerini yansıttığı demokratik ülkeler için yapsa da, söz konusu nitelendirme farklı bir siyasal bağlamda ve farklı bir derste bu kitap için de geçerli görünmektedir. Bununla birlikte ideolojinin burada ahlakî bir terbiye dilinin içine yerleştirildiği dikkati çekmektedir.</w:t>
      </w:r>
    </w:p>
    <w:p>
      <w:pPr>
        <w:spacing w:after="0" w:before="40" w:line="276"/>
        <w:ind w:left="567"/>
        <w:jc w:val="both"/>
      </w:pPr>
      <w:r>
        <w:rPr>
          <w:rFonts w:ascii="Times New Roman" w:cs="Times New Roman" w:eastAsia="Times New Roman" w:hAnsi="Times New Roman"/>
          <w:i/>
          <w:iCs/>
          <w:color w:val="404040"/>
          <w:sz w:val="20"/>
          <w:szCs w:val="20"/>
        </w:rPr>
        <w:t xml:space="preserve">“Hem Çin Anayasa’sında hem de 1995 Eğitim Kanunu’nda yoğun bir biçimde sosyalist amaçlara hizmet etme vurgusu olduğu görülmektedir. Eğitimin sosyalist amaçlara hizmet etmesi gerektiği ile ilgili maddeler şunlardır: Sosyalist eğitimi geliştirmek için, devlet Marksizm-Leninizm, Mao Zedong Düşüncesi ve sosyalizmin Çin karakteriyle inşası teorilerini yol gösterici olarak korur ve Anayasa’nın temel ilkelerine uyar (madde 3).”</w:t>
      </w:r>
    </w:p>
    <w:p>
      <w:pPr>
        <w:spacing w:after="80" w:before="0" w:line="276"/>
        <w:ind w:left="567"/>
      </w:pPr>
      <w:r>
        <w:rPr>
          <w:rFonts w:ascii="Times New Roman" w:cs="Times New Roman" w:eastAsia="Times New Roman" w:hAnsi="Times New Roman"/>
          <w:color w:val="7F7F7F"/>
          <w:sz w:val="18"/>
          <w:szCs w:val="18"/>
        </w:rPr>
        <w:t xml:space="preserve">[Kontrol: KAYNAKÇA ESERLER/in Halk Cumhuriyeti Eğitim Sistemi.pdf; PDF s. 6; basılı s. 2987; birebir eşleşme: TAM]</w:t>
      </w:r>
    </w:p>
    <w:p>
      <w:pPr>
        <w:spacing w:after="0" w:before="40" w:line="276"/>
        <w:ind w:left="567"/>
        <w:jc w:val="both"/>
      </w:pPr>
      <w:r>
        <w:rPr>
          <w:rFonts w:ascii="Times New Roman" w:cs="Times New Roman" w:eastAsia="Times New Roman" w:hAnsi="Times New Roman"/>
          <w:i/>
          <w:iCs/>
          <w:color w:val="404040"/>
          <w:sz w:val="20"/>
          <w:szCs w:val="20"/>
        </w:rPr>
        <w:t xml:space="preserve">“Sosyalizmin yanısıra eğitimde laiklik vurgulanmaktadır. Eğitim Kanunu (1995) 8. maddeye göre, devlet eğitimi dinden ayırır. Herhangi bir kurum ya da kişi dini, devletin eğitim sistemini engelleyecek biçimde kullanamaz.”</w:t>
      </w:r>
    </w:p>
    <w:p>
      <w:pPr>
        <w:spacing w:after="80" w:before="0" w:line="276"/>
        <w:ind w:left="567"/>
      </w:pPr>
      <w:r>
        <w:rPr>
          <w:rFonts w:ascii="Times New Roman" w:cs="Times New Roman" w:eastAsia="Times New Roman" w:hAnsi="Times New Roman"/>
          <w:color w:val="7F7F7F"/>
          <w:sz w:val="18"/>
          <w:szCs w:val="18"/>
        </w:rPr>
        <w:t xml:space="preserve">[Kontrol: KAYNAKÇA ESERLER/in Halk Cumhuriyeti Eğitim Sistemi.pdf; PDF s. 23; basılı s. 3004; birebir eşleşme: TAM]</w:t>
      </w:r>
    </w:p>
    <w:p>
      <w:pPr>
        <w:spacing w:after="0" w:before="40" w:line="276"/>
        <w:ind w:left="567"/>
        <w:jc w:val="both"/>
      </w:pPr>
      <w:r>
        <w:rPr>
          <w:rFonts w:ascii="Times New Roman" w:cs="Times New Roman" w:eastAsia="Times New Roman" w:hAnsi="Times New Roman"/>
          <w:i/>
          <w:iCs/>
          <w:color w:val="404040"/>
          <w:sz w:val="20"/>
          <w:szCs w:val="20"/>
        </w:rPr>
        <w:t xml:space="preserve">“History textbooks serve as conduits for prevailing ideologies, particularly evident in democratic nations, where they often reflect the dominant views of the population. Taiwan’s de-Chinseslization textbooks exemplify a bottom-up approach to constructing a distinct Taiwanese historical perspective, breaking from past authority and emphasizing orthodox legitimacy. The education reform has significantly shaped post-martial law generations’ national identity.”</w:t>
      </w:r>
    </w:p>
    <w:p>
      <w:pPr>
        <w:spacing w:after="80" w:before="0" w:line="276"/>
        <w:ind w:left="567"/>
      </w:pPr>
      <w:r>
        <w:rPr>
          <w:rFonts w:ascii="Times New Roman" w:cs="Times New Roman" w:eastAsia="Times New Roman" w:hAnsi="Times New Roman"/>
          <w:color w:val="7F7F7F"/>
          <w:sz w:val="18"/>
          <w:szCs w:val="18"/>
        </w:rPr>
        <w:t xml:space="preserve">[Kontrol: KAYNAKÇA ESERLER/__DOKTORA TEZİ_Tayvan'da Çin kimliğinden uzaklaşma ile Türkiye'de Müslüman kimliğinden uzaklaşma.pdf; PDF s. 168; basılı s. 154; birebir eşleşme: TAM]</w:t>
      </w:r>
      <w:r>
        <w:rPr>
          <w:rFonts w:ascii="Times New Roman" w:cs="Times New Roman" w:eastAsia="Times New Roman" w:hAnsi="Times New Roman"/>
          <w:color w:val="7F7F7F"/>
          <w:sz w:val="18"/>
          <w:szCs w:val="18"/>
        </w:rPr>
        <w:t xml:space="preserve">  Yardımcı Türkçe karşılık (yapay zekâ çevirisi; yazarca denetlenmeli): Tarih ders kitapları hâkim ideolojilerin taşıyıcısı işlevi görür; bu özellikle, ders kitaplarının çoğu zaman nüfusun baskın görüşlerini yansıttığı demokratik ülkelerde belirgindir. Tayvan'ın Çinlilikten arındırma ders kitapları, geçmiş otoriteden kopan ve ortodoks meşruiyeti vurgulayan, kendine özgü bir Tayvan tarih perspektifi kurmaya yönelik aşağıdan yukarı bir yaklaşımın örneğidir. Eğitim reformu, sıkıyönetim sonrası kuşakların ulusal kimliğini önemli ölçüde biçimlendirmiştir. [Claude çevirisi]</w:t>
      </w:r>
    </w:p>
    <w:p>
      <w:pPr>
        <w:spacing w:after="120" w:before="120" w:line="360"/>
        <w:ind w:firstLine="284"/>
        <w:jc w:val="both"/>
      </w:pPr>
      <w:r>
        <w:rPr>
          <w:rFonts w:ascii="Times New Roman" w:cs="Times New Roman" w:eastAsia="Times New Roman" w:hAnsi="Times New Roman"/>
          <w:b w:val="false"/>
          <w:bCs w:val="false"/>
          <w:i w:val="false"/>
          <w:iCs w:val="false"/>
          <w:sz w:val="24"/>
          <w:szCs w:val="24"/>
        </w:rPr>
        <w:t xml:space="preserve">Konfüçyüsçü mirasın kitaptaki yeri, literatürdeki “seçici canlanma” tespitini doğrulamaktadır. Şevik’e (2022, s. 64) göre Konfüçyüsçü öğreti, uygulamada yarar sağlayacak ve komünist doktrinle çelişmeyecek kısımları vurgulanarak yeniden yorumlanmış bir hâlde halka sunulmaktadır. Kitapta Lunyu’nun okuma listesinin başına konması ile Lei Feng’in günlüğünün aynı listede yer alması, geleneğin “olumsuzu atıp olumluyu devralma” usulüyle süzülmesi ve Konfüçyüsçü dezhi kavramının hukuk devletiyle eşleştirilmesi bu seçici yeniden yorumun ders kitabı düzeyindeki somut görünümleridir. Klasikler böylece kendi başına bir hakikat kaynağı olarak değil, ders kitabının belirlediği ahlaki hedefe hizmet eden bir malzeme olarak konumlandırılmaktadır. Ancak geleneğin dinî ve kozmolojik boyutu kitapta sessizlikle geçiştirilmektedir: Gök, Yol ve ritüel kavramları ahlaki vecizelere indirgenmiş, ata ve Gök saygısı gibi ritüel ödevler erdem kataloğuna alınmamıştır. Ametbek’in (2023, s. 95) Çin medeniyetinin belki de en önemli yönünün dışarıdan gelen değerleri Çinlileştirmesi olduğu, bunun en iyi örneğinin Çin Komünist Partisi olduğu ve Partinin kendi yönetim tarzını meşrulaştırmak için Çin tarihine, kültürüne ve medeniyetine atıfta bulunduğu yorumu, kitaptaki gelenek kullanımının işlevini açıklamak bakımından anlamlıdır.</w:t>
      </w:r>
    </w:p>
    <w:p>
      <w:pPr>
        <w:spacing w:after="0" w:before="40" w:line="276"/>
        <w:ind w:left="567"/>
        <w:jc w:val="both"/>
      </w:pPr>
      <w:r>
        <w:rPr>
          <w:rFonts w:ascii="Times New Roman" w:cs="Times New Roman" w:eastAsia="Times New Roman" w:hAnsi="Times New Roman"/>
          <w:i/>
          <w:iCs/>
          <w:color w:val="404040"/>
          <w:sz w:val="20"/>
          <w:szCs w:val="20"/>
        </w:rPr>
        <w:t xml:space="preserve">“Mevcut haliyle Konfüçyüsçü öğreti uygulamada yarar sağlayacak ve kominist doktrinle çelişmeyecek kısımları vurgulanarak yeniden yorumlanarak halka sunulan bir öğreti halindedir ki bu durumun ne kadar sürdürülebileceği ya da toplumun kominist değerler ve konfüçyüsçü ahlak ilkeleri zemininde uzlaşmasının sağlanıp sağlanamayacağı ise ayrı bir tartışma konusu olarak belirsizliğini korumaktadır.”</w:t>
      </w:r>
    </w:p>
    <w:p>
      <w:pPr>
        <w:spacing w:after="80" w:before="0" w:line="276"/>
        <w:ind w:left="567"/>
      </w:pPr>
      <w:r>
        <w:rPr>
          <w:rFonts w:ascii="Times New Roman" w:cs="Times New Roman" w:eastAsia="Times New Roman" w:hAnsi="Times New Roman"/>
          <w:color w:val="7F7F7F"/>
          <w:sz w:val="18"/>
          <w:szCs w:val="18"/>
        </w:rPr>
        <w:t xml:space="preserve">[Kontrol: KAYNAKÇA ESERLER/Çin toplumu ve Konfüçyüsün ruhu.pdf; PDF s. 74; basılı s. 64; birebir eşleşme: TAM]</w:t>
      </w:r>
    </w:p>
    <w:p>
      <w:pPr>
        <w:spacing w:after="0" w:before="40" w:line="276"/>
        <w:ind w:left="567"/>
        <w:jc w:val="both"/>
      </w:pPr>
      <w:r>
        <w:rPr>
          <w:rFonts w:ascii="Times New Roman" w:cs="Times New Roman" w:eastAsia="Times New Roman" w:hAnsi="Times New Roman"/>
          <w:i/>
          <w:iCs/>
          <w:color w:val="404040"/>
          <w:sz w:val="20"/>
          <w:szCs w:val="20"/>
        </w:rPr>
        <w:t xml:space="preserve">“Yukarıda da bahsettiğimiz gibi, Çin medeniyetinin belki de en önemli yönü, dışarıdan gelen değerleri Çinlileştirmesidir. Bunun en güzel örneği de ÇKP’dir. ÇKP kendi yönetim tarzının meşrulaştırmak için de Çin tarihi, kültürü ve medeniyetine atıfta bulunması önemlidir.”</w:t>
      </w:r>
    </w:p>
    <w:p>
      <w:pPr>
        <w:spacing w:after="80" w:before="0" w:line="276"/>
        <w:ind w:left="567"/>
      </w:pPr>
      <w:r>
        <w:rPr>
          <w:rFonts w:ascii="Times New Roman" w:cs="Times New Roman" w:eastAsia="Times New Roman" w:hAnsi="Times New Roman"/>
          <w:color w:val="7F7F7F"/>
          <w:sz w:val="18"/>
          <w:szCs w:val="18"/>
        </w:rPr>
        <w:t xml:space="preserve">[Kontrol: KAYNAKÇA ESERLER/DOKTORA TEZİ_Çin ulusal kimliği'nin dış politikaya yansımas.pdf; PDF s. 105; basılı s. 95; birebir eşleşme: TAM]</w:t>
      </w:r>
    </w:p>
    <w:p>
      <w:pPr>
        <w:spacing w:after="120" w:before="120" w:line="360"/>
        <w:ind w:firstLine="284"/>
        <w:jc w:val="both"/>
      </w:pPr>
      <w:r>
        <w:rPr>
          <w:rFonts w:ascii="Times New Roman" w:cs="Times New Roman" w:eastAsia="Times New Roman" w:hAnsi="Times New Roman"/>
          <w:b w:val="false"/>
          <w:bCs w:val="false"/>
          <w:i w:val="false"/>
          <w:iCs w:val="false"/>
          <w:sz w:val="24"/>
          <w:szCs w:val="24"/>
        </w:rPr>
        <w:t xml:space="preserve">Devlet okulundaki ahlak eğitiminin toplumda nasıl karşılandığı da ayrıca düşünülmesi gereken bir meseledir. Wang’ın (2023, s. 332) görüştüğü ebeveynler devlet okullarını öğrencilerin ahlaki karakterini geliştiremeyecek kadar araçsal bulmuş, devlet eğitimini “bilgi için eğitim”, Konfüçyüsçü eğitimi “ahlak için eğitim” olarak nitelemiştir. Li ve Li’nin (2022, s. 12), Ahlak ve Hukuk dersinde “ilkokulda değerlendirme yok, ortaokulda yalnızca ezber var” sorununun çözülmesi gereken kilit bir mesele olduğunu belirtmesi, kitabın yönlendirilmiş tartışma etkinliklerinin öğrenci üzerindeki etkisinin ayrıca araştırılması gerektiğini düşündürmektedir.</w:t>
      </w:r>
    </w:p>
    <w:p>
      <w:pPr>
        <w:spacing w:after="0" w:before="40" w:line="276"/>
        <w:ind w:left="567"/>
        <w:jc w:val="both"/>
      </w:pPr>
      <w:r>
        <w:rPr>
          <w:rFonts w:ascii="Times New Roman" w:cs="Times New Roman" w:eastAsia="Times New Roman" w:hAnsi="Times New Roman"/>
          <w:i/>
          <w:iCs/>
          <w:color w:val="404040"/>
          <w:sz w:val="20"/>
          <w:szCs w:val="20"/>
        </w:rPr>
        <w:t xml:space="preserve">“They regarded state schools as too instrumentally oriented to develop students’ moral character and emphasised that the transformative dimension of moral education should take precedence over indoctrinating students with purely instrumental knowledge. They thus described state education as ‘education for knowledge’ and Confucian education as ‘education for morality’. The latter, they argued, is superior, as it prioritises moral cultivation, self-transformation, and the refinement of one’s moral character.”</w:t>
      </w:r>
    </w:p>
    <w:p>
      <w:pPr>
        <w:spacing w:after="80" w:before="0" w:line="276"/>
        <w:ind w:left="567"/>
      </w:pPr>
      <w:r>
        <w:rPr>
          <w:rFonts w:ascii="Times New Roman" w:cs="Times New Roman" w:eastAsia="Times New Roman" w:hAnsi="Times New Roman"/>
          <w:color w:val="7F7F7F"/>
          <w:sz w:val="18"/>
          <w:szCs w:val="18"/>
        </w:rPr>
        <w:t xml:space="preserve">[Kontrol: DED_ÇİN VE YUNAN DERS KİTAPLARI_TARİH_DİN/Resurgence of Confucian education in contemporary China  Parental involvement  moral anxiety  and the pedagogy of memorisation.pdf; PDF s. 9; basılı s. 332; birebir eşleşme: TAM]</w:t>
      </w:r>
      <w:r>
        <w:rPr>
          <w:rFonts w:ascii="Times New Roman" w:cs="Times New Roman" w:eastAsia="Times New Roman" w:hAnsi="Times New Roman"/>
          <w:color w:val="7F7F7F"/>
          <w:sz w:val="18"/>
          <w:szCs w:val="18"/>
        </w:rPr>
        <w:t xml:space="preserve">  Yardımcı Türkçe karşılık (yapay zekâ çevirisi; yazarca denetlenmeli): Devlet okullarını öğrencilerin ahlaki karakterini geliştiremeyecek kadar araçsal odaklı buluyor ve ahlak eğitiminin dönüştürücü boyutunun, öğrencilere salt araçsal bilgi aşılamaktan önce gelmesi gerektiğini vurguluyorlardı. Bu nedenle devlet eğitimini 'bilgi için eğitim', Konfüçyüsçü eğitimi ise 'ahlak için eğitim' olarak tanımladılar. İkincisinin, ahlaki terbiyeye, benliğin dönüşümüne ve kişinin ahlaki karakterinin inceltilmesine öncelik verdiği için üstün olduğunu ileri sürdüler.</w:t>
      </w:r>
    </w:p>
    <w:p>
      <w:pPr>
        <w:spacing w:after="0" w:before="40" w:line="276"/>
        <w:ind w:left="567"/>
        <w:jc w:val="both"/>
      </w:pPr>
      <w:r>
        <w:rPr>
          <w:rFonts w:ascii="Times New Roman" w:cs="Times New Roman" w:eastAsia="Times New Roman" w:hAnsi="Times New Roman"/>
          <w:i/>
          <w:iCs/>
          <w:color w:val="404040"/>
          <w:sz w:val="20"/>
          <w:szCs w:val="20"/>
        </w:rPr>
        <w:t xml:space="preserve">“就道德与法治课程来说，如何解决原来“小学没有评价，初中只是背书”的问题，是当前道德与法治课程迫切需要解决的关键问题。”</w:t>
      </w:r>
    </w:p>
    <w:p>
      <w:pPr>
        <w:spacing w:after="80" w:before="0" w:line="276"/>
        <w:ind w:left="567"/>
      </w:pPr>
      <w:r>
        <w:rPr>
          <w:rFonts w:ascii="Times New Roman" w:cs="Times New Roman" w:eastAsia="Times New Roman" w:hAnsi="Times New Roman"/>
          <w:color w:val="7F7F7F"/>
          <w:sz w:val="18"/>
          <w:szCs w:val="18"/>
        </w:rPr>
        <w:t xml:space="preserve">[Kontrol: ÇİNCE MAKALELER VE KİTAPLAR/20220606093330661619.pdf; PDF s. 7; basılı s. 12; birebir eşleşme: TAM]</w:t>
      </w:r>
      <w:r>
        <w:rPr>
          <w:rFonts w:ascii="Times New Roman" w:cs="Times New Roman" w:eastAsia="Times New Roman" w:hAnsi="Times New Roman"/>
          <w:color w:val="7F7F7F"/>
          <w:sz w:val="18"/>
          <w:szCs w:val="18"/>
        </w:rPr>
        <w:t xml:space="preserve">  Yardımcı Türkçe karşılık (yapay zekâ çevirisi; yazarca denetlenmeli): Ahlak ve Hukuk dersi açısından, eskiden beri süren "ilkokulda değerlendirme yok, ortaokulda yalnızca ezber var" sorununun nasıl çözüleceği, bugün Ahlak ve Hukuk dersinin acilen çözmesi gereken kilit sorundur.</w:t>
      </w:r>
    </w:p>
    <w:p>
      <w:pPr>
        <w:spacing w:after="120" w:before="120" w:line="360"/>
        <w:jc w:val="left"/>
      </w:pPr>
      <w:r>
        <w:rPr>
          <w:rFonts w:ascii="Times New Roman" w:cs="Times New Roman" w:eastAsia="Times New Roman" w:hAnsi="Times New Roman"/>
          <w:b/>
          <w:bCs/>
          <w:i w:val="false"/>
          <w:iCs w:val="false"/>
          <w:sz w:val="24"/>
          <w:szCs w:val="24"/>
        </w:rPr>
        <w:t xml:space="preserve">Seküler Kutsallaştırma ve Örtük Bir İlahiyat İmkânı</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Din eğitimi bakış açısından kitabın belki en dikkat çekici yönü, dinin doğrudan anıldığı yerlerden çok, dinî dilin kalıplarının seküler nesnelere aktarıldığı yerlerdir. İnanç (xinyang) hukuk ruhuna ve halkın mücadelesine, kutsallık (shensheng) millî birliğe ve toprağa, ruh (linghun) kültüre ve yenilikçiliğe, doğru yol (zhengdao) ise Çin’e özgü sosyalizme yöneltilmektedir. Kişi’nin (2021, s. 87) Zhang ve Ong’un çalışmasından hareketle vardığı, Çin halkı için sosyalizmin ilerleyen dönemde bir “manevi değerler bütününe” dönüştüğü yorumu ve milliyetçiliğin toplumlar nezdinde dinin yerini alabildiği yorumu (Kişi, 2021, s. 18) bu bulguyu anlamlandırmaya yardımcı olmaktadır. Peters (2017, s. 1303), Amerikan Rüyası’nda olduğu gibi Çin Rüyası anlatısında da rüyayı bizzat insanlık adına konuşma düzeyine yükselten “seçilmişlik”in aşkın gücüne dikkat çeker ve anlatının hem kendini yaratma aracı hem de egemen ideolojilerin taşıyıcısı olabileceğini hatırlatır. Ergül (2025, s. 124) ise Çin Rüyası’nın toplumsal hayatın kendiliğinden ürettiği bir hayal olmaktan çok liderin yukarıdan aşağıya tasarladığı bir rota olduğunu ileri sürer. Kitapta Çin Rüyası’nın “devletin, milletin ve her Çinlinin rüyası” olarak sunulması, bu tasarlanmış ufkun öğrencinin kişisel hayat tasavvuruna da eklemlenmek istendiğini göstermektedir.</w:t>
      </w:r>
    </w:p>
    <w:p>
      <w:pPr>
        <w:spacing w:after="0" w:before="40" w:line="276"/>
        <w:ind w:left="567"/>
        <w:jc w:val="both"/>
      </w:pPr>
      <w:r>
        <w:rPr>
          <w:rFonts w:ascii="Times New Roman" w:cs="Times New Roman" w:eastAsia="Times New Roman" w:hAnsi="Times New Roman"/>
          <w:i/>
          <w:iCs/>
          <w:color w:val="404040"/>
          <w:sz w:val="20"/>
          <w:szCs w:val="20"/>
        </w:rPr>
        <w:t xml:space="preserve">“Her ne kadar başlangıç aşamasında sosyalist bilinç maddi boyutlar ile oluşturulmaya çalışılsa da ilerleyen dönemde Çin halkı için sosyalizm bir manevi değerler bütününe dönüşmüştür.”</w:t>
      </w:r>
    </w:p>
    <w:p>
      <w:pPr>
        <w:spacing w:after="80" w:before="0" w:line="276"/>
        <w:ind w:left="567"/>
      </w:pPr>
      <w:r>
        <w:rPr>
          <w:rFonts w:ascii="Times New Roman" w:cs="Times New Roman" w:eastAsia="Times New Roman" w:hAnsi="Times New Roman"/>
          <w:color w:val="7F7F7F"/>
          <w:sz w:val="18"/>
          <w:szCs w:val="18"/>
        </w:rPr>
        <w:t xml:space="preserve">[Kontrol: KAYNAKÇA ESERLER/DOKTORA_Çin milliyetçiliğinin sosyalizm ekseninde yükselişi.pdf; PDF s. 98; basılı s. 87; birebir eşleşme: TAM]</w:t>
      </w:r>
    </w:p>
    <w:p>
      <w:pPr>
        <w:spacing w:after="0" w:before="40" w:line="276"/>
        <w:ind w:left="567"/>
        <w:jc w:val="both"/>
      </w:pPr>
      <w:r>
        <w:rPr>
          <w:rFonts w:ascii="Times New Roman" w:cs="Times New Roman" w:eastAsia="Times New Roman" w:hAnsi="Times New Roman"/>
          <w:i/>
          <w:iCs/>
          <w:color w:val="404040"/>
          <w:sz w:val="20"/>
          <w:szCs w:val="20"/>
        </w:rPr>
        <w:t xml:space="preserve">“Atfedilen değer ile milliyetçilik, toplumlar için dinin yerini de alabilmiştir. Bu durumdaki temel neden ise milliyetçiliğin sahip olmuş olduğu öz niteliğin, dine kıyas ile vahiy kaynaklı değil daha dünyevi ve rasyonel olduğu hissini uyandırmasıdır.”</w:t>
      </w:r>
    </w:p>
    <w:p>
      <w:pPr>
        <w:spacing w:after="80" w:before="0" w:line="276"/>
        <w:ind w:left="567"/>
      </w:pPr>
      <w:r>
        <w:rPr>
          <w:rFonts w:ascii="Times New Roman" w:cs="Times New Roman" w:eastAsia="Times New Roman" w:hAnsi="Times New Roman"/>
          <w:color w:val="7F7F7F"/>
          <w:sz w:val="18"/>
          <w:szCs w:val="18"/>
        </w:rPr>
        <w:t xml:space="preserve">[Kontrol: KAYNAKÇA ESERLER/DOKTORA_Çin milliyetçiliğinin sosyalizm ekseninde yükselişi.pdf; PDF s. 29; basılı s. 18; birebir eşleşme: TAM]</w:t>
      </w:r>
    </w:p>
    <w:p>
      <w:pPr>
        <w:spacing w:after="0" w:before="40" w:line="276"/>
        <w:ind w:left="567"/>
        <w:jc w:val="both"/>
      </w:pPr>
      <w:r>
        <w:rPr>
          <w:rFonts w:ascii="Times New Roman" w:cs="Times New Roman" w:eastAsia="Times New Roman" w:hAnsi="Times New Roman"/>
          <w:i/>
          <w:iCs/>
          <w:color w:val="404040"/>
          <w:sz w:val="20"/>
          <w:szCs w:val="20"/>
        </w:rPr>
        <w:t xml:space="preserve">“Like Rorty, and the construction of the American Dream, the accent is on the transcendental force of ‘chosenness’ that elevates the dream to talk in the name of humanity itself. The difference between Xi and Rorty is that where Xi turns to the historical trace of humiliation as a spur to future nation building, Rorty returns to a narrative strategy of ‘national pride’, democracy and pragmatic self-improvement. Both enjoy the resources of ‘rejuvenation’ of past glories.”</w:t>
      </w:r>
    </w:p>
    <w:p>
      <w:pPr>
        <w:spacing w:after="80" w:before="0" w:line="276"/>
        <w:ind w:left="567"/>
      </w:pPr>
      <w:r>
        <w:rPr>
          <w:rFonts w:ascii="Times New Roman" w:cs="Times New Roman" w:eastAsia="Times New Roman" w:hAnsi="Times New Roman"/>
          <w:color w:val="7F7F7F"/>
          <w:sz w:val="18"/>
          <w:szCs w:val="18"/>
        </w:rPr>
        <w:t xml:space="preserve">[Kontrol: DED_ÇİN VE YUNAN DERS KİTAPLARI_TARİH_DİN/The Chinese Dream  Xi Jinping thought on Socialism with.pdf; PDF s. 6; basılı s. 1303; birebir eşleşme: TAM]</w:t>
      </w:r>
      <w:r>
        <w:rPr>
          <w:rFonts w:ascii="Times New Roman" w:cs="Times New Roman" w:eastAsia="Times New Roman" w:hAnsi="Times New Roman"/>
          <w:color w:val="7F7F7F"/>
          <w:sz w:val="18"/>
          <w:szCs w:val="18"/>
        </w:rPr>
        <w:t xml:space="preserve">  Yardımcı Türkçe karşılık (yapay zekâ çevirisi; yazarca denetlenmeli): Rorty’de ve Amerikan Rüyası’nın inşasında olduğu gibi vurgu, rüyayı bizzat insanlık adına konuşma düzeyine yükselten ‘seçilmişlik’in aşkın gücü üzerindedir. Xi ile Rorty arasındaki fark şudur: Xi, aşağılanmanın tarihsel izini gelecekteki ulus inşası için bir dürtü olarak kullanırken, Rorty ‘ulusal gurur’, demokrasi ve pragmatik kendini geliştirme şeklindeki bir anlatı stratejisine döner. Her ikisi de geçmiş ihtişamın ‘yeniden canlandırılması’ kaynaklarından yararlanır.</w:t>
      </w:r>
    </w:p>
    <w:p>
      <w:pPr>
        <w:spacing w:after="0" w:before="40" w:line="276"/>
        <w:ind w:left="567"/>
        <w:jc w:val="both"/>
      </w:pPr>
      <w:r>
        <w:rPr>
          <w:rFonts w:ascii="Times New Roman" w:cs="Times New Roman" w:eastAsia="Times New Roman" w:hAnsi="Times New Roman"/>
          <w:i/>
          <w:iCs/>
          <w:color w:val="404040"/>
          <w:sz w:val="20"/>
          <w:szCs w:val="20"/>
        </w:rPr>
        <w:t xml:space="preserve">“Narratives can create and transmit cultural traditions, and build the values and beliefs that define our cultural identities. While narrative is an instrument of self-creation, at the same time narrative can be a vehicle of dominant ideologies and an instrument of power.”</w:t>
      </w:r>
    </w:p>
    <w:p>
      <w:pPr>
        <w:spacing w:after="80" w:before="0" w:line="276"/>
        <w:ind w:left="567"/>
      </w:pPr>
      <w:r>
        <w:rPr>
          <w:rFonts w:ascii="Times New Roman" w:cs="Times New Roman" w:eastAsia="Times New Roman" w:hAnsi="Times New Roman"/>
          <w:color w:val="7F7F7F"/>
          <w:sz w:val="18"/>
          <w:szCs w:val="18"/>
        </w:rPr>
        <w:t xml:space="preserve">[Kontrol: DED_ÇİN VE YUNAN DERS KİTAPLARI_TARİH_DİN/The Chinese Dream  Xi Jinping thought on Socialism with.pdf; PDF s. 6; basılı s. 1303; birebir eşleşme: TAM]</w:t>
      </w:r>
      <w:r>
        <w:rPr>
          <w:rFonts w:ascii="Times New Roman" w:cs="Times New Roman" w:eastAsia="Times New Roman" w:hAnsi="Times New Roman"/>
          <w:color w:val="7F7F7F"/>
          <w:sz w:val="18"/>
          <w:szCs w:val="18"/>
        </w:rPr>
        <w:t xml:space="preserve">  Yardımcı Türkçe karşılık (yapay zekâ çevirisi; yazarca denetlenmeli): Anlatılar kültürel gelenekleri yaratıp aktarabilir ve kültürel kimliklerimizi tanımlayan değer ve inançları inşa edebilir. Anlatı bir kendini yaratma aracı olmakla birlikte, aynı zamanda egemen ideolojilerin taşıyıcısı ve bir iktidar aracı da olabilir.</w:t>
      </w:r>
    </w:p>
    <w:p>
      <w:pPr>
        <w:spacing w:after="0" w:before="40" w:line="276"/>
        <w:ind w:left="567"/>
        <w:jc w:val="both"/>
      </w:pPr>
      <w:r>
        <w:rPr>
          <w:rFonts w:ascii="Times New Roman" w:cs="Times New Roman" w:eastAsia="Times New Roman" w:hAnsi="Times New Roman"/>
          <w:i/>
          <w:iCs/>
          <w:color w:val="404040"/>
          <w:sz w:val="20"/>
          <w:szCs w:val="20"/>
        </w:rPr>
        <w:t xml:space="preserve">“Xi tarafından sunulan “Çin Rüyası” doğal olarak yaşanan toplumsal hayatın bir parçası olan hayal olmaktan ziyade bir anlamda lider tarafından yukarıdan aşağıya tasarlanan bir rotadır. Genellikle karşılaştırıldığı “Amerikan Rüyası” ise, “Çin Rüyası” gibi devlet yöneticileri ya da parti tarafından pazarlanan bir stratejiden ziyade özellikle göçmenler ve halk tarafından yaşayan bir simgesel anlamı vardır. Xi’nin rüyası daha çok ülkesinin neleri başardığını atıf yapmakta ve bu başarıları bir “rüya” olarak sunarak bir anlamda partinin propagandası olarak tanımlanmaktadır.”</w:t>
      </w:r>
    </w:p>
    <w:p>
      <w:pPr>
        <w:spacing w:after="80" w:before="0" w:line="276"/>
        <w:ind w:left="567"/>
      </w:pPr>
      <w:r>
        <w:rPr>
          <w:rFonts w:ascii="Times New Roman" w:cs="Times New Roman" w:eastAsia="Times New Roman" w:hAnsi="Times New Roman"/>
          <w:color w:val="7F7F7F"/>
          <w:sz w:val="18"/>
          <w:szCs w:val="18"/>
        </w:rPr>
        <w:t xml:space="preserve">[Kontrol: KAYNAKÇA ESERLER/tez çin rüyası.pdf; PDF s. 139; basılı s. 124; birebir eşleşme: TAM]</w:t>
      </w:r>
    </w:p>
    <w:p>
      <w:pPr>
        <w:spacing w:after="120" w:before="120" w:line="360"/>
        <w:ind w:firstLine="284"/>
        <w:jc w:val="both"/>
      </w:pPr>
      <w:r>
        <w:rPr>
          <w:rFonts w:ascii="Times New Roman" w:cs="Times New Roman" w:eastAsia="Times New Roman" w:hAnsi="Times New Roman"/>
          <w:b w:val="false"/>
          <w:bCs w:val="false"/>
          <w:i w:val="false"/>
          <w:iCs w:val="false"/>
          <w:sz w:val="24"/>
          <w:szCs w:val="24"/>
        </w:rPr>
        <w:t xml:space="preserve">Bu içkinlik, Çin düşünce geleneğinin kendisiyle de bağlantılıdır. C. Aydın (2022, s. 100), Çin düşüncesinde ahlakın pratik bir yapıya sahip olduğunu, insan ile evren arasındaki ilişkinin denge ve düzen temeline oturtulduğunu belirtir. Bu açıdan kitabın dünyevi ahlak dili yalnızca modern bir ideolojik tercih değil, Çin düşüncesindeki bu-dünyacı eğilimin seçici bir devamı olarak da okunabilir. Ma’nın (2019, s. 86) belirttiği gibi Çin kültüründe din de dâhil hiçbir otorite imparatorun gücünün üstüne çıkamamış; bu durum Çin halkında dinî inançların güçlü olmamasına ve dine karşı geniş bir açıklığa yol açmış, dinî inanç insan hayatının yalnızca bir kısmı olarak kalmıştır. Bu açıklama bu-dünyacı eğilimden çok din ile siyasi otorite arasındaki tarihî ilişkiye dayanmakla birlikte, kitabın dine ayırdığı dar alanı anlamaya yardım etmektedir.</w:t>
      </w:r>
    </w:p>
    <w:p>
      <w:pPr>
        <w:spacing w:after="0" w:before="40" w:line="276"/>
        <w:ind w:left="567"/>
        <w:jc w:val="both"/>
      </w:pPr>
      <w:r>
        <w:rPr>
          <w:rFonts w:ascii="Times New Roman" w:cs="Times New Roman" w:eastAsia="Times New Roman" w:hAnsi="Times New Roman"/>
          <w:i/>
          <w:iCs/>
          <w:color w:val="404040"/>
          <w:sz w:val="20"/>
          <w:szCs w:val="20"/>
        </w:rPr>
        <w:t xml:space="preserve">“Çin düşüncesinde ahlak, pratik bir yapıya sahiptir. İnsan ile evren arasındaki ilişki, denge ve düzen temeline oturtularak ahlaki, toplumsal ve siyasal konular çerçevesinde şekillendirilmiştir.”</w:t>
      </w:r>
    </w:p>
    <w:p>
      <w:pPr>
        <w:spacing w:after="80" w:before="0" w:line="276"/>
        <w:ind w:left="567"/>
      </w:pPr>
      <w:r>
        <w:rPr>
          <w:rFonts w:ascii="Times New Roman" w:cs="Times New Roman" w:eastAsia="Times New Roman" w:hAnsi="Times New Roman"/>
          <w:color w:val="7F7F7F"/>
          <w:sz w:val="18"/>
          <w:szCs w:val="18"/>
        </w:rPr>
        <w:t xml:space="preserve">[Kontrol: KAYNAKÇA ESERLER/Kadim Çin düşüncesinde ahlak.pdf; PDF s. 117; basılı s. 100; birebir eşleşme: TAM]</w:t>
      </w:r>
    </w:p>
    <w:p>
      <w:pPr>
        <w:spacing w:after="0" w:before="40" w:line="276"/>
        <w:ind w:left="567"/>
        <w:jc w:val="both"/>
      </w:pPr>
      <w:r>
        <w:rPr>
          <w:rFonts w:ascii="Times New Roman" w:cs="Times New Roman" w:eastAsia="Times New Roman" w:hAnsi="Times New Roman"/>
          <w:i/>
          <w:iCs/>
          <w:color w:val="404040"/>
          <w:sz w:val="20"/>
          <w:szCs w:val="20"/>
        </w:rPr>
        <w:t xml:space="preserve">“Dolayısıyla, Çin kültüründe hiçbir otorite imparatorun gücünün üstüne çıkamaz ve bunun içinde tabi ki din de hariç değildir. Bu durum Çin halkında dini inançlarının güçlü olmamasına, din konusunda büyük bir açıklığa sahip olmasına ve farklı dini inançların kabul edilmesine neden olmuştur. Büyük ölçüde Çinlilerin dini inancı konusunda rastgelelik vardır. Yani gerek görülmediğinde terk edilebilir, dini inanç insan hayatının sadece bir kısmıdır.”</w:t>
      </w:r>
    </w:p>
    <w:p>
      <w:pPr>
        <w:spacing w:after="80" w:before="0" w:line="276"/>
        <w:ind w:left="567"/>
      </w:pPr>
      <w:r>
        <w:rPr>
          <w:rFonts w:ascii="Times New Roman" w:cs="Times New Roman" w:eastAsia="Times New Roman" w:hAnsi="Times New Roman"/>
          <w:color w:val="7F7F7F"/>
          <w:sz w:val="18"/>
          <w:szCs w:val="18"/>
        </w:rPr>
        <w:t xml:space="preserve">[Kontrol: KAYNAKÇA ESERLER/Çin'de İslam'ı yeniden canlandırma çabaları.pdf; PDF s. 97; basılı s. 86; birebir eşleşme: TAM]</w:t>
      </w:r>
    </w:p>
    <w:p>
      <w:pPr>
        <w:spacing w:after="120" w:before="120" w:line="360"/>
        <w:ind w:firstLine="284"/>
        <w:jc w:val="both"/>
      </w:pPr>
      <w:r>
        <w:rPr>
          <w:rFonts w:ascii="Times New Roman" w:cs="Times New Roman" w:eastAsia="Times New Roman" w:hAnsi="Times New Roman"/>
          <w:b w:val="false"/>
          <w:bCs w:val="false"/>
          <w:i w:val="false"/>
          <w:iCs w:val="false"/>
          <w:sz w:val="24"/>
          <w:szCs w:val="24"/>
        </w:rPr>
        <w:t xml:space="preserve">Bu bulgular, kitabın derin yapısında bir tür “örtük ilahiyat” barındırdığı şeklinde ihtiyatla yorumlanabilir. Kitap ahlaka aşkın bir dayanak göstermemekte, fakat dinin toplum hayatındaki bazı işlevlerini, yani kutsallık atfetmeyi, sadakat ve adanmışlık talep etmeyi, örnek şahsiyetler sunmayı ve geleceğe dönük bir kurtuluş ufku çizmeyi millet, Parti ve millî diriliş fikrine devretmektedir. Alt ciltte medeniyetler arası alışveriş ve karşılıklı öğrenme yoluyla insan toplumunun gelişmesine “mânevî destek ve gönül tesellisi” sağlanması gerektiğinin söylenmesi (Jiaoyubu, 2018, s. 39), geleneksel olarak dine atfedilen bir işlevin hümanist bir kültür alışverişine yüklenmesi bakımından aynı örüntüye işaret etmektedir. Bununla birlikte bu yorumun sınırları açıktır: Kitap bir ilahiyat iddiası taşımaz, Tanrı, vahiy ve ahiret kavramlarına hiç başvurmaz; “örtük ilahiyat” ifadesi kitabın kendi dili değil, dinin işlevlerini esas alan bir din eğitimcisinin okumasıdır. Bu okumanın sivil din ve işlevsel din tartışmalarıyla ilişkilendirilerek derinleştirilmesi ileri çalışmaların konusu olabilir.</w:t>
      </w:r>
    </w:p>
    <w:p>
      <w:pPr>
        <w:spacing w:after="0" w:before="40" w:line="276"/>
        <w:ind w:left="567"/>
        <w:jc w:val="both"/>
      </w:pPr>
      <w:r>
        <w:rPr>
          <w:rFonts w:ascii="Times New Roman" w:cs="Times New Roman" w:eastAsia="Times New Roman" w:hAnsi="Times New Roman"/>
          <w:i/>
          <w:iCs/>
          <w:color w:val="404040"/>
          <w:sz w:val="20"/>
          <w:szCs w:val="20"/>
        </w:rPr>
        <w:t xml:space="preserve">“通过文明的交流互鉴，为人类社会发展提供精神支撑和心灵慰藉”</w:t>
      </w:r>
    </w:p>
    <w:p>
      <w:pPr>
        <w:spacing w:after="80" w:before="0" w:line="276"/>
        <w:ind w:left="567"/>
      </w:pPr>
      <w:r>
        <w:rPr>
          <w:rFonts w:ascii="Times New Roman" w:cs="Times New Roman" w:eastAsia="Times New Roman" w:hAnsi="Times New Roman"/>
          <w:color w:val="7F7F7F"/>
          <w:sz w:val="18"/>
          <w:szCs w:val="18"/>
        </w:rPr>
        <w:t xml:space="preserve">[Kontrol: DED_ÇİN VE YUNAN DERS KİTAPLARI_TARİH_DİN/9. sınıf_2. kitap_alt cilt ikinci dönem kitabı.pdf; PDF s. 44; basılı s. 39; birebir eşleşme: TAM]</w:t>
      </w:r>
    </w:p>
    <w:p>
      <w:pPr>
        <w:spacing w:after="120" w:before="120" w:line="360"/>
        <w:ind w:firstLine="284"/>
        <w:jc w:val="both"/>
      </w:pPr>
      <w:r>
        <w:rPr>
          <w:rFonts w:ascii="Times New Roman" w:cs="Times New Roman" w:eastAsia="Times New Roman" w:hAnsi="Times New Roman"/>
          <w:b w:val="false"/>
          <w:bCs w:val="false"/>
          <w:i w:val="false"/>
          <w:iCs w:val="false"/>
          <w:sz w:val="24"/>
          <w:szCs w:val="24"/>
        </w:rPr>
        <w:t xml:space="preserve">Dinî azınlıkların sessizliği de bu çerçevede değerlendirilmelidir. Kitapta Tibetliler, Uygurlar ve diğer milletler etnik ve ekonomik aktörler olarak görünür, ancak dinî kimlikleri adlandırılmaz; din yalnızca eşitlik ilkesinin bir unsuru, bir güvenlik tehdidi ya da kültürel mirasın bir parçası olarak yer alır. Dinin kitapta milletler arası eşitlik bahsinde ve etnik çeşitliliğin bir unsuru olarak anılması, kitabın dilinin dini çoğunluğun değil azınlıkların “farklılığı” olarak konumlandırdığını göstermektedir. Literatürdeki bazı çalışmalar bu sessizliğin eğitim politikasındaki karşılıklarına dikkat çekmektedir. Tuncer (2021, s. 2267), Doğu Türkistan’da eğitimin tamamen Çin Komünist Partisi’nin tekelinde yürütüldüğünü ileri sürer ve bölgede eğitim hakkının bir baskı ve asimilasyon aracına dönüştüğü sonucuna varır (Tuncer, 2021, s. 2269). Ma (2019, s. 122) ise cami eğitiminin bugün de Çinli Müslümanların yaşadığı bazı bölgelerde sürdüğünü ve cami eğitimi ile Han kitap hareketinin bugünkü Çinli Müslümanlar üzerindeki en önemli etkisinin, onların hem Çinli hem de dindar Müslüman olmalarını ifade eden çifte kimliği biçimlendirmek olduğunu belirtir. Bu çalışmalar, resmî ders kitabının sessiz kaldığı alanda dinî kimliğin okul dışı kurumlarla yaşatıldığını düşündürmektedir; ancak bu durumun ders kitabıyla ilişkisi bu çalışmanın verileriyle sınanamamaktadır.</w:t>
      </w:r>
    </w:p>
    <w:p>
      <w:pPr>
        <w:spacing w:after="0" w:before="40" w:line="276"/>
        <w:ind w:left="567"/>
        <w:jc w:val="both"/>
      </w:pPr>
      <w:r>
        <w:rPr>
          <w:rFonts w:ascii="Times New Roman" w:cs="Times New Roman" w:eastAsia="Times New Roman" w:hAnsi="Times New Roman"/>
          <w:i/>
          <w:iCs/>
          <w:color w:val="404040"/>
          <w:sz w:val="20"/>
          <w:szCs w:val="20"/>
        </w:rPr>
        <w:t xml:space="preserve">“Doğu Türkistan’da eğitim tamamen Çin Komünist Partisi’nin tekelinde ve onun belirlediği prensipler doğrultusunda yürütülmektedir. Zaman zaman ulusal menfaatler adı altında kişilerin eğitim hakları ile ilgili keyfi uygulamaları hayata geçirmektedir.”</w:t>
      </w:r>
    </w:p>
    <w:p>
      <w:pPr>
        <w:spacing w:after="80" w:before="0" w:line="276"/>
        <w:ind w:left="567"/>
      </w:pPr>
      <w:r>
        <w:rPr>
          <w:rFonts w:ascii="Times New Roman" w:cs="Times New Roman" w:eastAsia="Times New Roman" w:hAnsi="Times New Roman"/>
          <w:color w:val="7F7F7F"/>
          <w:sz w:val="18"/>
          <w:szCs w:val="18"/>
        </w:rPr>
        <w:t xml:space="preserve">[Kontrol: KAYNAKÇA ESERLER/DOĞU TÜRKİSTAN’DA ÇİN MODELİ EĞİTİM SİSTEMİ.pdf; PDF s. 6; basılı s. 2267; birebir eşleşme: TAM]</w:t>
      </w:r>
    </w:p>
    <w:p>
      <w:pPr>
        <w:spacing w:after="0" w:before="40" w:line="276"/>
        <w:ind w:left="567"/>
        <w:jc w:val="both"/>
      </w:pPr>
      <w:r>
        <w:rPr>
          <w:rFonts w:ascii="Times New Roman" w:cs="Times New Roman" w:eastAsia="Times New Roman" w:hAnsi="Times New Roman"/>
          <w:i/>
          <w:iCs/>
          <w:color w:val="404040"/>
          <w:sz w:val="20"/>
          <w:szCs w:val="20"/>
        </w:rPr>
        <w:t xml:space="preserve">“Bir insan hakkı olan eğitim hakkı, Doğu Türkistan’da hak olmaktan öteye geçmiş, bir baskı ve asimilasyon aracı haline gelmiştir. Çözüm ise uluslararası antlaşmalara imza atmış Çin üzerinde kamuoyu baskısının oluşturulması ve yaptırımlar uygulanmasıdır.”</w:t>
      </w:r>
    </w:p>
    <w:p>
      <w:pPr>
        <w:spacing w:after="80" w:before="0" w:line="276"/>
        <w:ind w:left="567"/>
      </w:pPr>
      <w:r>
        <w:rPr>
          <w:rFonts w:ascii="Times New Roman" w:cs="Times New Roman" w:eastAsia="Times New Roman" w:hAnsi="Times New Roman"/>
          <w:color w:val="7F7F7F"/>
          <w:sz w:val="18"/>
          <w:szCs w:val="18"/>
        </w:rPr>
        <w:t xml:space="preserve">[Kontrol: KAYNAKÇA ESERLER/DOĞU TÜRKİSTAN’DA ÇİN MODELİ EĞİTİM SİSTEMİ.pdf; PDF s. 8; basılı s. 2269; birebir eşleşme: TAM]</w:t>
      </w:r>
    </w:p>
    <w:p>
      <w:pPr>
        <w:spacing w:after="0" w:before="40" w:line="276"/>
        <w:ind w:left="567"/>
        <w:jc w:val="both"/>
      </w:pPr>
      <w:r>
        <w:rPr>
          <w:rFonts w:ascii="Times New Roman" w:cs="Times New Roman" w:eastAsia="Times New Roman" w:hAnsi="Times New Roman"/>
          <w:i/>
          <w:iCs/>
          <w:color w:val="404040"/>
          <w:sz w:val="20"/>
          <w:szCs w:val="20"/>
        </w:rPr>
        <w:t xml:space="preserve">“Günümüzde Çinli Müslümanların yaşadığı bazı bölgelerde hala cami eğitimi modeli kullanılmaktadır. Hatta modern İslam eğitimi bile cami eğitimini temel alarak gelişmiştir.”</w:t>
      </w:r>
    </w:p>
    <w:p>
      <w:pPr>
        <w:spacing w:after="80" w:before="0" w:line="276"/>
        <w:ind w:left="567"/>
      </w:pPr>
      <w:r>
        <w:rPr>
          <w:rFonts w:ascii="Times New Roman" w:cs="Times New Roman" w:eastAsia="Times New Roman" w:hAnsi="Times New Roman"/>
          <w:color w:val="7F7F7F"/>
          <w:sz w:val="18"/>
          <w:szCs w:val="18"/>
        </w:rPr>
        <w:t xml:space="preserve">[Kontrol: KAYNAKÇA ESERLER/Çin'de İslam'ı yeniden canlandırma çabaları.pdf; PDF s. 133; basılı s. 122; birebir eşleşme: TAM]</w:t>
      </w:r>
    </w:p>
    <w:p>
      <w:pPr>
        <w:spacing w:after="0" w:before="40" w:line="276"/>
        <w:ind w:left="567"/>
        <w:jc w:val="both"/>
      </w:pPr>
      <w:r>
        <w:rPr>
          <w:rFonts w:ascii="Times New Roman" w:cs="Times New Roman" w:eastAsia="Times New Roman" w:hAnsi="Times New Roman"/>
          <w:i/>
          <w:iCs/>
          <w:color w:val="404040"/>
          <w:sz w:val="20"/>
          <w:szCs w:val="20"/>
        </w:rPr>
        <w:t xml:space="preserve">“Cami eğitimi ve Han kitap hareketinin bugünkü Çinli Müslümanlar üzerindeki en önemli etkisi, Çinli Müslümanların çifte kimliğini ve ikili kültürel kimliklerini biçimlendirmesidir. Başka bir deyişle, bir Çinli Müslüman, hem Çinli hem de dindar bir Müslümandır. O Çin kültürünü kabul ederken İslam kültürünü de kabul etmektedir.”</w:t>
      </w:r>
    </w:p>
    <w:p>
      <w:pPr>
        <w:spacing w:after="80" w:before="0" w:line="276"/>
        <w:ind w:left="567"/>
      </w:pPr>
      <w:r>
        <w:rPr>
          <w:rFonts w:ascii="Times New Roman" w:cs="Times New Roman" w:eastAsia="Times New Roman" w:hAnsi="Times New Roman"/>
          <w:color w:val="7F7F7F"/>
          <w:sz w:val="18"/>
          <w:szCs w:val="18"/>
        </w:rPr>
        <w:t xml:space="preserve">[Kontrol: KAYNAKÇA ESERLER/Çin'de İslam'ı yeniden canlandırma çabaları.pdf; PDF s. 133; basılı s. 122; birebir eşleşme: TAM]</w:t>
      </w:r>
    </w:p>
    <w:p>
      <w:pPr>
        <w:spacing w:after="120" w:before="120" w:line="360"/>
        <w:jc w:val="left"/>
      </w:pPr>
      <w:r>
        <w:rPr>
          <w:rFonts w:ascii="Times New Roman" w:cs="Times New Roman" w:eastAsia="Times New Roman" w:hAnsi="Times New Roman"/>
          <w:b/>
          <w:bCs/>
          <w:i w:val="false"/>
          <w:iCs w:val="false"/>
          <w:sz w:val="24"/>
          <w:szCs w:val="24"/>
        </w:rPr>
        <w:t xml:space="preserve">Türkiye ile Karşılaştırma</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Kitabın bulguları Türkiye’deki din ve ahlak öğretimiyle karşılaştırıldığında en belirgin fark, ahlakın dayanağında ortaya çıkmaktadır. Türkiye’de ahlak öğretimi, dersin adının da gösterdiği gibi, Din Kültürü ve Ahlak Bilgisi dersi içinde din kültürüyle birlikte ve dinî kaynaklarla ilişkilendirilerek yürütülürken Çin kitabında aynı erdemler, yani anne babaya hürmet, büyüklere saygı, yardımlaşma ve dürüstlük, millî gelenek ve sosyalist değerler üzerinden temellendirilmektedir. Bu fark tarihî bir ayrışmanın da izini taşır: Adilijiang’a (2019, s. 67) göre Osmanlı İmparatorluğu sultanın halife sıfatını taşıdığı bir devlet, Qing İmparatorluğu ise laik bir krallık devletiydi ve bu fark iki ülkenin modernleşme yollarını da farklılaştırdı. Terzi (2024, s. 53) ise iki imparatorluğun da devletini güçlendirmek için savunmacı bir modernleşmeye giriştiğini, Çin’de Kendini Güçlendirme Hareketi’nin, Osmanlı’da Tanzimat reformlarının bu çabanın ifadesi olduğunu ve her iki toplumda eski kimlik ve değerlere güçlü bir bağlılığın modernleşmeye direnç doğurduğunu belirtir. Terzi’ye göre iki ülkede de amaç Batı’nın teknolojik ve bilimsel ilerlemelerini benimserken kültürel gelenekleri korumaktı ve Çin’de bu arayış “Çin özü, Batı kullanımı” (zhongti xiyong) söylemine yansımıştı (Terzi, 2024, s. 53). Bu arayışın iki ülkenin bugünkü değerler eğitiminde de farklı biçimlerde sürdüğü düşünülebilir.</w:t>
      </w:r>
    </w:p>
    <w:p>
      <w:pPr>
        <w:spacing w:after="0" w:before="40" w:line="276"/>
        <w:ind w:left="567"/>
        <w:jc w:val="both"/>
      </w:pPr>
      <w:r>
        <w:rPr>
          <w:rFonts w:ascii="Times New Roman" w:cs="Times New Roman" w:eastAsia="Times New Roman" w:hAnsi="Times New Roman"/>
          <w:i/>
          <w:iCs/>
          <w:color w:val="404040"/>
          <w:sz w:val="20"/>
          <w:szCs w:val="20"/>
        </w:rPr>
        <w:t xml:space="preserve">“Buradaki fark da açıktır: Osmanlı İmparatorluğu başta sultanın halife sıfatını taşıdığı bir devlettir. Qing İmparatorluğu ise laik bir krallık devletidir. Bu iki rejimin doğasındaki farklılık kaçınılmaz olarak gelecekteki modernleşmelerinde de farklılıklara yol açmıştır.”</w:t>
      </w:r>
    </w:p>
    <w:p>
      <w:pPr>
        <w:spacing w:after="80" w:before="0" w:line="276"/>
        <w:ind w:left="567"/>
      </w:pPr>
      <w:r>
        <w:rPr>
          <w:rFonts w:ascii="Times New Roman" w:cs="Times New Roman" w:eastAsia="Times New Roman" w:hAnsi="Times New Roman"/>
          <w:color w:val="7F7F7F"/>
          <w:sz w:val="18"/>
          <w:szCs w:val="18"/>
        </w:rPr>
        <w:t xml:space="preserve">[Kontrol: KAYNAKÇA ESERLER/1908 Jön Türk devrimi ile 1911 Çin devriminin karşılıklı analizi.pdf; PDF s. 76; basılı s. 67; birebir eşleşme: TAM]</w:t>
      </w:r>
    </w:p>
    <w:p>
      <w:pPr>
        <w:spacing w:after="0" w:before="40" w:line="276"/>
        <w:ind w:left="567"/>
        <w:jc w:val="both"/>
      </w:pPr>
      <w:r>
        <w:rPr>
          <w:rFonts w:ascii="Times New Roman" w:cs="Times New Roman" w:eastAsia="Times New Roman" w:hAnsi="Times New Roman"/>
          <w:i/>
          <w:iCs/>
          <w:color w:val="404040"/>
          <w:sz w:val="20"/>
          <w:szCs w:val="20"/>
        </w:rPr>
        <w:t xml:space="preserve">“Both empires launched defensive modernization efforts to strengthen their states and preserve their independence. In China, the Self-Strengthening Movement (自强运动) sought to adopt Western technology and military systems. In the Ottoman Empire, the Tanzimat reforms included legal and military modernization efforts. In both societies, there was a strong adherence to old identities and values, which created resistance to modernization efforts.”</w:t>
      </w:r>
    </w:p>
    <w:p>
      <w:pPr>
        <w:spacing w:after="80" w:before="0" w:line="276"/>
        <w:ind w:left="567"/>
      </w:pPr>
      <w:r>
        <w:rPr>
          <w:rFonts w:ascii="Times New Roman" w:cs="Times New Roman" w:eastAsia="Times New Roman" w:hAnsi="Times New Roman"/>
          <w:color w:val="7F7F7F"/>
          <w:sz w:val="18"/>
          <w:szCs w:val="18"/>
        </w:rPr>
        <w:t xml:space="preserve">[Kontrol: KAYNAKÇA ESERLER/Modern eğitim için yurtdışına gönderilen osmanlı ve çin öğrencilerinin karşılaştırılması.pdf; PDF s. 64; basılı s. 53; birebir eşleşme: TAM]</w:t>
      </w:r>
      <w:r>
        <w:rPr>
          <w:rFonts w:ascii="Times New Roman" w:cs="Times New Roman" w:eastAsia="Times New Roman" w:hAnsi="Times New Roman"/>
          <w:color w:val="7F7F7F"/>
          <w:sz w:val="18"/>
          <w:szCs w:val="18"/>
        </w:rPr>
        <w:t xml:space="preserve">  Yardımcı Türkçe karşılık (yapay zekâ çevirisi; yazarca denetlenmeli): Her iki imparatorluk da devletlerini güçlendirmek ve bağımsızlıklarını korumak için savunmacı modernleşme çabaları başlattı. Çin'de Kendini Güçlendirme Hareketi (自强运动) Batı teknolojisini ve askerî sistemlerini benimsemeye çalıştı. Osmanlı İmparatorluğu'nda Tanzimat reformları hukuki ve askerî modernleşme çabalarını içeriyordu. Her iki toplumda da eski kimlik ve değerlere güçlü bir bağlılık vardı ve bu da modernleşme çabalarına karşı direnç doğurdu.</w:t>
      </w:r>
    </w:p>
    <w:p>
      <w:pPr>
        <w:spacing w:after="0" w:before="40" w:line="276"/>
        <w:ind w:left="567"/>
        <w:jc w:val="both"/>
      </w:pPr>
      <w:r>
        <w:rPr>
          <w:rFonts w:ascii="Times New Roman" w:cs="Times New Roman" w:eastAsia="Times New Roman" w:hAnsi="Times New Roman"/>
          <w:i/>
          <w:iCs/>
          <w:color w:val="404040"/>
          <w:sz w:val="20"/>
          <w:szCs w:val="20"/>
        </w:rPr>
        <w:t xml:space="preserve">“In both the Ottoman Empire and China, the aim was to preserve their cultural traditions while embracing Western technological and scientific advances. This was reflected in discourses like “Chinese essence, Western use” (中体西用), which emphasized the integration of Western innovations without compromising Confucian values.”</w:t>
      </w:r>
    </w:p>
    <w:p>
      <w:pPr>
        <w:spacing w:after="80" w:before="0" w:line="276"/>
        <w:ind w:left="567"/>
      </w:pPr>
      <w:r>
        <w:rPr>
          <w:rFonts w:ascii="Times New Roman" w:cs="Times New Roman" w:eastAsia="Times New Roman" w:hAnsi="Times New Roman"/>
          <w:color w:val="7F7F7F"/>
          <w:sz w:val="18"/>
          <w:szCs w:val="18"/>
        </w:rPr>
        <w:t xml:space="preserve">[Kontrol: KAYNAKÇA ESERLER/Modern eğitim için yurtdışına gönderilen osmanlı ve çin öğrencilerinin karşılaştırılması.pdf; PDF s. 64; basılı s. 53; birebir eşleşme: TAM]</w:t>
      </w:r>
      <w:r>
        <w:rPr>
          <w:rFonts w:ascii="Times New Roman" w:cs="Times New Roman" w:eastAsia="Times New Roman" w:hAnsi="Times New Roman"/>
          <w:color w:val="7F7F7F"/>
          <w:sz w:val="18"/>
          <w:szCs w:val="18"/>
        </w:rPr>
        <w:t xml:space="preserve">  Yardımcı Türkçe karşılık (yapay zekâ çevirisi; yazarca denetlenmeli): Hem Osmanlı İmparatorluğu’nda hem Çin’de amaç, Batı’nın teknolojik ve bilimsel ilerlemelerini benimserken kültürel gelenekleri korumaktı. Bu, Batılı yenilikleri Konfüçyüsçü değerlerden ödün vermeden bünyeye katmayı vurgulayan “Çin özü, Batı kullanımı” (中体西用) gibi söylemlere yansımıştı.</w:t>
      </w:r>
    </w:p>
    <w:p>
      <w:pPr>
        <w:spacing w:after="120" w:before="120" w:line="360"/>
        <w:ind w:firstLine="284"/>
        <w:jc w:val="both"/>
      </w:pPr>
      <w:r>
        <w:rPr>
          <w:rFonts w:ascii="Times New Roman" w:cs="Times New Roman" w:eastAsia="Times New Roman" w:hAnsi="Times New Roman"/>
          <w:b w:val="false"/>
          <w:bCs w:val="false"/>
          <w:i w:val="false"/>
          <w:iCs w:val="false"/>
          <w:sz w:val="24"/>
          <w:szCs w:val="24"/>
        </w:rPr>
        <w:t xml:space="preserve">Bununla birlikte iki sistem arasında yapısal benzerlikler de vardır. Kişi (2021, s. 3), Çin’in 20. yüzyılda yaşadığı dönüşümün özü itibarıyla Cumhuriyet Türkiyesi’nin dönüşümüne benzediğini, ancak Çin örneğinde bu sürecin sosyalizm ekseninde ilerlediğini belirtir. Hsu (2024, s. 117) da Türkiye’de modernleşme ve laikleşmeyle iç içe geçen milliyetçiliğin bayrak, marş ve zafer anlatıları gibi sembollerle yeni bir din işlevi görmesinin hedeflendiğini ileri sürer. Klasik özdeyişlerle değer aktarımı, örnek şahsiyet pedagojisi, millî birlik ve vatan sevgisinin ahlaki bir ödev olarak sunulması iki ülkenin değerler eğitiminde ortak temas noktalarıdır. Ne var ki bu temas noktaları, iki ülkenin kültürel ve toplumsal farklılıkları dikkate alınmadan yapılacak doğrudan aktarmalara zemin olarak görülmemelidir.</w:t>
      </w:r>
    </w:p>
    <w:p>
      <w:pPr>
        <w:spacing w:after="0" w:before="40" w:line="276"/>
        <w:ind w:left="567"/>
        <w:jc w:val="both"/>
      </w:pPr>
      <w:r>
        <w:rPr>
          <w:rFonts w:ascii="Times New Roman" w:cs="Times New Roman" w:eastAsia="Times New Roman" w:hAnsi="Times New Roman"/>
          <w:i/>
          <w:iCs/>
          <w:color w:val="404040"/>
          <w:sz w:val="20"/>
          <w:szCs w:val="20"/>
        </w:rPr>
        <w:t xml:space="preserve">“Çin’in 20. yüzyılda yaşamış olduğu dönüşüm özü itibarıyla Cumhuriyet Türkiyesi’nin yaşadığı dönüşüme benzemektedir. Her iki örnekde de uzun bir siyasi geçmişe sahip olan imparatorluklar tasfiye edilerek belli bir bürokratik tabaka eliyle milliyetçilik ideolojisi temelinde modern bir devlete dönüşmek amacıyla, cumhuriyet rejimine giden yolun açıldığı görülmektedir. Fakat Çin örneğinde bu süreç, sosyalizm ekseninde ilerlemiştir.”</w:t>
      </w:r>
    </w:p>
    <w:p>
      <w:pPr>
        <w:spacing w:after="80" w:before="0" w:line="276"/>
        <w:ind w:left="567"/>
      </w:pPr>
      <w:r>
        <w:rPr>
          <w:rFonts w:ascii="Times New Roman" w:cs="Times New Roman" w:eastAsia="Times New Roman" w:hAnsi="Times New Roman"/>
          <w:color w:val="7F7F7F"/>
          <w:sz w:val="18"/>
          <w:szCs w:val="18"/>
        </w:rPr>
        <w:t xml:space="preserve">[Kontrol: KAYNAKÇA ESERLER/DOKTORA_Çin milliyetçiliğinin sosyalizm ekseninde yükselişi.pdf; PDF s. 14; basılı s. 3; birebir eşleşme: TAM]</w:t>
      </w:r>
    </w:p>
    <w:p>
      <w:pPr>
        <w:spacing w:after="0" w:before="40" w:line="276"/>
        <w:ind w:left="567"/>
        <w:jc w:val="both"/>
      </w:pPr>
      <w:r>
        <w:rPr>
          <w:rFonts w:ascii="Times New Roman" w:cs="Times New Roman" w:eastAsia="Times New Roman" w:hAnsi="Times New Roman"/>
          <w:i/>
          <w:iCs/>
          <w:color w:val="404040"/>
          <w:sz w:val="20"/>
          <w:szCs w:val="20"/>
        </w:rPr>
        <w:t xml:space="preserve">“The main objective was to reduce the influence of Islam in both political affairs and societal and cultural realms. As such, Turkish nationalism, interwind with modernization and secularization, would become the new religion with the national flag, anthem, victory war stories, and other symbols, all of which can serve as solidarity and connection between the state and individual belief.”</w:t>
      </w:r>
    </w:p>
    <w:p>
      <w:pPr>
        <w:spacing w:after="80" w:before="0" w:line="276"/>
        <w:ind w:left="567"/>
      </w:pPr>
      <w:r>
        <w:rPr>
          <w:rFonts w:ascii="Times New Roman" w:cs="Times New Roman" w:eastAsia="Times New Roman" w:hAnsi="Times New Roman"/>
          <w:color w:val="7F7F7F"/>
          <w:sz w:val="18"/>
          <w:szCs w:val="18"/>
        </w:rPr>
        <w:t xml:space="preserve">[Kontrol: KAYNAKÇA ESERLER/__DOKTORA TEZİ_Tayvan'da Çin kimliğinden uzaklaşma ile Türkiye'de Müslüman kimliğinden uzaklaşma.pdf; PDF s. 131; basılı s. 117; birebir eşleşme: TAM]</w:t>
      </w:r>
      <w:r>
        <w:rPr>
          <w:rFonts w:ascii="Times New Roman" w:cs="Times New Roman" w:eastAsia="Times New Roman" w:hAnsi="Times New Roman"/>
          <w:color w:val="7F7F7F"/>
          <w:sz w:val="18"/>
          <w:szCs w:val="18"/>
        </w:rPr>
        <w:t xml:space="preserve">  Yardımcı Türkçe karşılık (yapay zekâ çevirisi; yazarca denetlenmeli): Temel amaç, İslam'ın hem siyasi işlerde hem de toplumsal ve kültürel alanlardaki etkisini azaltmaktı. Bu doğrultuda modernleşme ve laikleşmeyle iç içe geçen Türk milliyetçiliği; ulusal bayrak, marş, zafer savaşı hikâyeleri ve diğer sembollerle yeni din hâline gelecekti; bunların hepsi devlet ile bireysel inanç arasında dayanışma ve bağ işlevi görebilirdi. [Claude çevirisi]</w:t>
      </w:r>
    </w:p>
    <w:p>
      <w:pPr>
        <w:spacing w:after="120" w:before="120" w:line="360"/>
        <w:jc w:val="left"/>
      </w:pPr>
      <w:r>
        <w:rPr>
          <w:rFonts w:ascii="Times New Roman" w:cs="Times New Roman" w:eastAsia="Times New Roman" w:hAnsi="Times New Roman"/>
          <w:b/>
          <w:bCs/>
          <w:i w:val="false"/>
          <w:iCs w:val="false"/>
          <w:sz w:val="24"/>
          <w:szCs w:val="24"/>
        </w:rPr>
        <w:t xml:space="preserve">Sonuç ve Öneriler</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Bu çalışma, Çin’de zorunlu eğitimin son yılında okutulan Ahlak ve Hukuk kitabının ahlakı tarih, millet, Parti ve seçilerek devralınmış gelenek üzerine kurduğunu; aşkın bir dayanağa başvurmadığını; dine yalnızca eşitlik, güvenlik ve kültürel miras bağlamlarında yer verdiğini; buna karşılık inanç, kutsallık, ruh ve kader gibi dinî kavramları seküler ve siyasi nesnelere yönelttiğini göstermiştir. Kitapta Konfüçyüsçü özdeyişler, çoğu zaman kaynağı belirtilmeden, ahlaki ve siyasi vecizeler olarak sıkça kullanılmakta, ancak kozmolojik ve ritüel boyutlarından arındırılmaktadır. Hayatın anlamı, mutluluk, ölüm ve ideal gibi din eğitiminin merkezindeki sorular kitapta yer almakta, fakat bu sorulara verilen cevaplar emek, hizmet ve millî diriliş ufkunda kalmaktadır.</w:t>
      </w:r>
    </w:p>
    <w:p>
      <w:pPr>
        <w:spacing w:after="120" w:before="120" w:line="360"/>
        <w:ind w:firstLine="284"/>
        <w:jc w:val="both"/>
      </w:pPr>
      <w:r>
        <w:rPr>
          <w:rFonts w:ascii="Times New Roman" w:cs="Times New Roman" w:eastAsia="Times New Roman" w:hAnsi="Times New Roman"/>
          <w:b w:val="false"/>
          <w:bCs w:val="false"/>
          <w:i w:val="false"/>
          <w:iCs w:val="false"/>
          <w:sz w:val="24"/>
          <w:szCs w:val="24"/>
        </w:rPr>
        <w:t xml:space="preserve">Bu bulgulardan hareketle şu öneriler sunulabilir: (1) Ahlak ve Hukuk serisinin 7. ve 8. sınıf kitaplarının da aynı kategorilerle incelenmesi, serinin bütününde ahlakın temellendirilmesinin nasıl değiştiğini gösterebilir. (2) Kitabın sınıfta nasıl öğretildiği ve öğrencilerin bu ahlak dilini nasıl içselleştirdiği, öğretmen ve öğrencilerle yapılacak saha çalışmalarıyla araştırılmalıdır. (3) Türkiye’deki Din Kültürü ve Ahlak Bilgisi ile Çin’deki Ahlak ve Hukuk kitaplarının aynı değerler üzerinden karşılaştırmalı içerik analizi, seküler ve dinî temellendirme biçimlerinin değerler eğitimine etkisini görünür kılabilir. (4) Çin’deki dinî azınlıkların okul dışı din eğitimi kurumları ile resmî ahlak eğitimi arasındaki ilişki ayrıca incelenmelidir.</w:t>
      </w:r>
    </w:p>
    <w:p>
      <w:r>
        <w:br w:type="page"/>
      </w:r>
    </w:p>
    <w:p>
      <w:pPr>
        <w:spacing w:after="120" w:before="240" w:line="360"/>
        <w:jc w:val="center"/>
      </w:pPr>
      <w:r>
        <w:rPr>
          <w:rFonts w:ascii="Times New Roman" w:cs="Times New Roman" w:eastAsia="Times New Roman" w:hAnsi="Times New Roman"/>
          <w:b/>
          <w:bCs/>
          <w:i w:val="false"/>
          <w:iCs w:val="false"/>
          <w:sz w:val="24"/>
          <w:szCs w:val="24"/>
        </w:rPr>
        <w:t xml:space="preserve">Kaynakça</w:t>
      </w:r>
    </w:p>
    <w:p>
      <w:pPr>
        <w:spacing w:after="120" w:before="120" w:line="360"/>
        <w:ind w:left="720" w:hanging="720"/>
        <w:jc w:val="both"/>
      </w:pPr>
      <w:r>
        <w:rPr>
          <w:rFonts w:ascii="Times New Roman" w:cs="Times New Roman" w:eastAsia="Times New Roman" w:hAnsi="Times New Roman"/>
          <w:i w:val="false"/>
          <w:iCs w:val="false"/>
          <w:sz w:val="24"/>
          <w:szCs w:val="24"/>
        </w:rPr>
        <w:t xml:space="preserve">Adilijiang, A. (2019). </w:t>
      </w:r>
      <w:r>
        <w:rPr>
          <w:rFonts w:ascii="Times New Roman" w:cs="Times New Roman" w:eastAsia="Times New Roman" w:hAnsi="Times New Roman"/>
          <w:i/>
          <w:iCs/>
          <w:sz w:val="24"/>
          <w:szCs w:val="24"/>
        </w:rPr>
        <w:t xml:space="preserve">1908 Jön Türk Devrimi ile 1911 Çin Devriminin karşılıklı analizi</w:t>
      </w:r>
      <w:r>
        <w:rPr>
          <w:rFonts w:ascii="Times New Roman" w:cs="Times New Roman" w:eastAsia="Times New Roman" w:hAnsi="Times New Roman"/>
          <w:i w:val="false"/>
          <w:iCs w:val="false"/>
          <w:sz w:val="24"/>
          <w:szCs w:val="24"/>
        </w:rPr>
        <w:t xml:space="preserve"> [Yayımlanmamış yüksek lisans tezi]. Fatih Sultan Mehmet Vakıf Üniversitesi.</w:t>
      </w:r>
    </w:p>
    <w:p>
      <w:pPr>
        <w:spacing w:after="120" w:before="120" w:line="360"/>
        <w:ind w:left="720" w:hanging="720"/>
        <w:jc w:val="both"/>
      </w:pPr>
      <w:r>
        <w:rPr>
          <w:rFonts w:ascii="Times New Roman" w:cs="Times New Roman" w:eastAsia="Times New Roman" w:hAnsi="Times New Roman"/>
          <w:i w:val="false"/>
          <w:iCs w:val="false"/>
          <w:sz w:val="24"/>
          <w:szCs w:val="24"/>
        </w:rPr>
        <w:t xml:space="preserve">Aimaiti, M. (2023). </w:t>
      </w:r>
      <w:r>
        <w:rPr>
          <w:rFonts w:ascii="Times New Roman" w:cs="Times New Roman" w:eastAsia="Times New Roman" w:hAnsi="Times New Roman"/>
          <w:i/>
          <w:iCs/>
          <w:sz w:val="24"/>
          <w:szCs w:val="24"/>
        </w:rPr>
        <w:t xml:space="preserve">Türkiye, Çin ve Rusya eğitim sistemlerinin karşılaştırmalı olarak incelenmesi</w:t>
      </w:r>
      <w:r>
        <w:rPr>
          <w:rFonts w:ascii="Times New Roman" w:cs="Times New Roman" w:eastAsia="Times New Roman" w:hAnsi="Times New Roman"/>
          <w:i w:val="false"/>
          <w:iCs w:val="false"/>
          <w:sz w:val="24"/>
          <w:szCs w:val="24"/>
        </w:rPr>
        <w:t xml:space="preserve"> [Yayımlanmamış yüksek lisans tezi]. Fatih Sultan Mehmet Vakıf Üniversitesi.</w:t>
      </w:r>
    </w:p>
    <w:p>
      <w:pPr>
        <w:spacing w:after="120" w:before="120" w:line="360"/>
        <w:ind w:left="720" w:hanging="720"/>
        <w:jc w:val="both"/>
      </w:pPr>
      <w:r>
        <w:rPr>
          <w:rFonts w:ascii="Times New Roman" w:cs="Times New Roman" w:eastAsia="Times New Roman" w:hAnsi="Times New Roman"/>
          <w:i w:val="false"/>
          <w:iCs w:val="false"/>
          <w:sz w:val="24"/>
          <w:szCs w:val="24"/>
        </w:rPr>
        <w:t xml:space="preserve">Ametbek, N. (2023). </w:t>
      </w:r>
      <w:r>
        <w:rPr>
          <w:rFonts w:ascii="Times New Roman" w:cs="Times New Roman" w:eastAsia="Times New Roman" w:hAnsi="Times New Roman"/>
          <w:i/>
          <w:iCs/>
          <w:sz w:val="24"/>
          <w:szCs w:val="24"/>
        </w:rPr>
        <w:t xml:space="preserve">Çin ulusal kimliği’nin dış politikaya yansıması: Kuşak-Yol Girişimi örneği</w:t>
      </w:r>
      <w:r>
        <w:rPr>
          <w:rFonts w:ascii="Times New Roman" w:cs="Times New Roman" w:eastAsia="Times New Roman" w:hAnsi="Times New Roman"/>
          <w:i w:val="false"/>
          <w:iCs w:val="false"/>
          <w:sz w:val="24"/>
          <w:szCs w:val="24"/>
        </w:rPr>
        <w:t xml:space="preserve"> [Yayımlanmamış doktora tezi]. Ankara Üniversitesi.</w:t>
      </w:r>
    </w:p>
    <w:p>
      <w:pPr>
        <w:spacing w:after="120" w:before="120" w:line="360"/>
        <w:ind w:left="720" w:hanging="720"/>
        <w:jc w:val="both"/>
      </w:pPr>
      <w:r>
        <w:rPr>
          <w:rFonts w:ascii="Times New Roman" w:cs="Times New Roman" w:eastAsia="Times New Roman" w:hAnsi="Times New Roman"/>
          <w:i w:val="false"/>
          <w:iCs w:val="false"/>
          <w:sz w:val="24"/>
          <w:szCs w:val="24"/>
        </w:rPr>
        <w:t xml:space="preserve">Aydın, A. T. (2024). Çin Halk Cumhuriyeti eğitim sisteminin değerlendirilmesi [Evaluation of the education system of the People’s Republic of China]. </w:t>
      </w:r>
      <w:r>
        <w:rPr>
          <w:rFonts w:ascii="Times New Roman" w:cs="Times New Roman" w:eastAsia="Times New Roman" w:hAnsi="Times New Roman"/>
          <w:i/>
          <w:iCs/>
          <w:sz w:val="24"/>
          <w:szCs w:val="24"/>
        </w:rPr>
        <w:t xml:space="preserve">Mersin Üniversitesi Eğitim Fakültesi Dergisi, 20</w:t>
      </w:r>
      <w:r>
        <w:rPr>
          <w:rFonts w:ascii="Times New Roman" w:cs="Times New Roman" w:eastAsia="Times New Roman" w:hAnsi="Times New Roman"/>
          <w:i w:val="false"/>
          <w:iCs w:val="false"/>
          <w:sz w:val="24"/>
          <w:szCs w:val="24"/>
        </w:rPr>
        <w:t xml:space="preserve">(2), 325–346. https://doi.org/10.17860/mersinefd.1504941</w:t>
      </w:r>
    </w:p>
    <w:p>
      <w:pPr>
        <w:spacing w:after="120" w:before="120" w:line="360"/>
        <w:ind w:left="720" w:hanging="720"/>
        <w:jc w:val="both"/>
      </w:pPr>
      <w:r>
        <w:rPr>
          <w:rFonts w:ascii="Times New Roman" w:cs="Times New Roman" w:eastAsia="Times New Roman" w:hAnsi="Times New Roman"/>
          <w:i w:val="false"/>
          <w:iCs w:val="false"/>
          <w:sz w:val="24"/>
          <w:szCs w:val="24"/>
        </w:rPr>
        <w:t xml:space="preserve">Aydın, C. (2022). </w:t>
      </w:r>
      <w:r>
        <w:rPr>
          <w:rFonts w:ascii="Times New Roman" w:cs="Times New Roman" w:eastAsia="Times New Roman" w:hAnsi="Times New Roman"/>
          <w:i/>
          <w:iCs/>
          <w:sz w:val="24"/>
          <w:szCs w:val="24"/>
        </w:rPr>
        <w:t xml:space="preserve">Kadim Çin düşüncesinde ahlak</w:t>
      </w:r>
      <w:r>
        <w:rPr>
          <w:rFonts w:ascii="Times New Roman" w:cs="Times New Roman" w:eastAsia="Times New Roman" w:hAnsi="Times New Roman"/>
          <w:i w:val="false"/>
          <w:iCs w:val="false"/>
          <w:sz w:val="24"/>
          <w:szCs w:val="24"/>
        </w:rPr>
        <w:t xml:space="preserve"> [Yayımlanmamış yüksek lisans tezi]. Ankara Yıldırım Beyazıt Üniversitesi.</w:t>
      </w:r>
    </w:p>
    <w:p>
      <w:pPr>
        <w:spacing w:after="120" w:before="120" w:line="360"/>
        <w:ind w:left="720" w:hanging="720"/>
        <w:jc w:val="both"/>
      </w:pPr>
      <w:r>
        <w:rPr>
          <w:rFonts w:ascii="Times New Roman" w:cs="Times New Roman" w:eastAsia="Times New Roman" w:hAnsi="Times New Roman"/>
          <w:i w:val="false"/>
          <w:iCs w:val="false"/>
          <w:sz w:val="24"/>
          <w:szCs w:val="24"/>
        </w:rPr>
        <w:t xml:space="preserve">Coşkun, B., &amp; Çelikten, M. (2020). Çin Halk Cumhuriyeti eğitim sistemi. </w:t>
      </w:r>
      <w:r>
        <w:rPr>
          <w:rFonts w:ascii="Times New Roman" w:cs="Times New Roman" w:eastAsia="Times New Roman" w:hAnsi="Times New Roman"/>
          <w:i/>
          <w:iCs/>
          <w:sz w:val="24"/>
          <w:szCs w:val="24"/>
        </w:rPr>
        <w:t xml:space="preserve">OPUS Uluslararası Toplum Araştırmaları Dergisi, 15</w:t>
      </w:r>
      <w:r>
        <w:rPr>
          <w:rFonts w:ascii="Times New Roman" w:cs="Times New Roman" w:eastAsia="Times New Roman" w:hAnsi="Times New Roman"/>
          <w:i w:val="false"/>
          <w:iCs w:val="false"/>
          <w:sz w:val="24"/>
          <w:szCs w:val="24"/>
        </w:rPr>
        <w:t xml:space="preserve">(24), 2982–3011. https://doi.org/10.26466/opus.669104</w:t>
      </w:r>
    </w:p>
    <w:p>
      <w:pPr>
        <w:spacing w:after="120" w:before="120" w:line="360"/>
        <w:ind w:left="720" w:hanging="720"/>
        <w:jc w:val="both"/>
      </w:pPr>
      <w:r>
        <w:rPr>
          <w:rFonts w:ascii="Times New Roman" w:cs="Times New Roman" w:eastAsia="Times New Roman" w:hAnsi="Times New Roman"/>
          <w:i w:val="false"/>
          <w:iCs w:val="false"/>
          <w:sz w:val="24"/>
          <w:szCs w:val="24"/>
        </w:rPr>
        <w:t xml:space="preserve">Ergül, Y. (2025). </w:t>
      </w:r>
      <w:r>
        <w:rPr>
          <w:rFonts w:ascii="Times New Roman" w:cs="Times New Roman" w:eastAsia="Times New Roman" w:hAnsi="Times New Roman"/>
          <w:i/>
          <w:iCs/>
          <w:sz w:val="24"/>
          <w:szCs w:val="24"/>
        </w:rPr>
        <w:t xml:space="preserve">Çin’in küresel güç söylemi: Çin Rüyası</w:t>
      </w:r>
      <w:r>
        <w:rPr>
          <w:rFonts w:ascii="Times New Roman" w:cs="Times New Roman" w:eastAsia="Times New Roman" w:hAnsi="Times New Roman"/>
          <w:i w:val="false"/>
          <w:iCs w:val="false"/>
          <w:sz w:val="24"/>
          <w:szCs w:val="24"/>
        </w:rPr>
        <w:t xml:space="preserve"> [Yayımlanmamış yüksek lisans tezi]. Nevşehir Hacı Bektaş Veli Üniversitesi.</w:t>
      </w:r>
    </w:p>
    <w:p>
      <w:pPr>
        <w:spacing w:after="120" w:before="120" w:line="360"/>
        <w:ind w:left="720" w:hanging="720"/>
        <w:jc w:val="both"/>
      </w:pPr>
      <w:r>
        <w:rPr>
          <w:rFonts w:ascii="Times New Roman" w:cs="Times New Roman" w:eastAsia="Times New Roman" w:hAnsi="Times New Roman"/>
          <w:i w:val="false"/>
          <w:iCs w:val="false"/>
          <w:sz w:val="24"/>
          <w:szCs w:val="24"/>
        </w:rPr>
        <w:t xml:space="preserve">Gökenç Gülez, S. (2023). Modern Çin eğitim sisteminde geleneksel izler: Konfuçyüsçü eğitimin yeniden canlanması. </w:t>
      </w:r>
      <w:r>
        <w:rPr>
          <w:rFonts w:ascii="Times New Roman" w:cs="Times New Roman" w:eastAsia="Times New Roman" w:hAnsi="Times New Roman"/>
          <w:i/>
          <w:iCs/>
          <w:sz w:val="24"/>
          <w:szCs w:val="24"/>
        </w:rPr>
        <w:t xml:space="preserve">Çukurova Üniversitesi Sosyal Bilimler Enstitüsü Dergisi, 32</w:t>
      </w:r>
      <w:r>
        <w:rPr>
          <w:rFonts w:ascii="Times New Roman" w:cs="Times New Roman" w:eastAsia="Times New Roman" w:hAnsi="Times New Roman"/>
          <w:i w:val="false"/>
          <w:iCs w:val="false"/>
          <w:sz w:val="24"/>
          <w:szCs w:val="24"/>
        </w:rPr>
        <w:t xml:space="preserve">(1), 313–327. https://doi.org/10.35379/cusosbil.1259073</w:t>
      </w:r>
    </w:p>
    <w:p>
      <w:pPr>
        <w:spacing w:after="120" w:before="120" w:line="360"/>
        <w:ind w:left="720" w:hanging="720"/>
        <w:jc w:val="both"/>
      </w:pPr>
      <w:r>
        <w:rPr>
          <w:rFonts w:ascii="Times New Roman" w:cs="Times New Roman" w:eastAsia="Times New Roman" w:hAnsi="Times New Roman"/>
          <w:i w:val="false"/>
          <w:iCs w:val="false"/>
          <w:sz w:val="24"/>
          <w:szCs w:val="24"/>
        </w:rPr>
        <w:t xml:space="preserve">Hsu, T.-Y. (2024). </w:t>
      </w:r>
      <w:r>
        <w:rPr>
          <w:rFonts w:ascii="Times New Roman" w:cs="Times New Roman" w:eastAsia="Times New Roman" w:hAnsi="Times New Roman"/>
          <w:i/>
          <w:iCs/>
          <w:sz w:val="24"/>
          <w:szCs w:val="24"/>
        </w:rPr>
        <w:t xml:space="preserve">Identity disassociation from historically embedded culture and identity: A comparison between de-Chineselized Taiwanese identity and de-Islamized Turkish identity</w:t>
      </w:r>
      <w:r>
        <w:rPr>
          <w:rFonts w:ascii="Times New Roman" w:cs="Times New Roman" w:eastAsia="Times New Roman" w:hAnsi="Times New Roman"/>
          <w:i w:val="false"/>
          <w:iCs w:val="false"/>
          <w:sz w:val="24"/>
          <w:szCs w:val="24"/>
        </w:rPr>
        <w:t xml:space="preserve"> [Yayımlanmamış doktora tezi]. Middle East Technical University.</w:t>
      </w:r>
    </w:p>
    <w:p>
      <w:pPr>
        <w:spacing w:after="120" w:before="120" w:line="360"/>
        <w:ind w:left="720" w:hanging="720"/>
        <w:jc w:val="both"/>
      </w:pPr>
      <w:r>
        <w:rPr>
          <w:rFonts w:ascii="Times New Roman" w:cs="Times New Roman" w:eastAsia="Times New Roman" w:hAnsi="Times New Roman"/>
          <w:i w:val="false"/>
          <w:iCs w:val="false"/>
          <w:sz w:val="24"/>
          <w:szCs w:val="24"/>
        </w:rPr>
        <w:t xml:space="preserve">Jiaoyubu [Çin Halk Cumhuriyeti Eğitim Bakanlığı]. (2018). </w:t>
      </w:r>
      <w:r>
        <w:rPr>
          <w:rFonts w:ascii="Times New Roman" w:cs="Times New Roman" w:eastAsia="Times New Roman" w:hAnsi="Times New Roman"/>
          <w:i/>
          <w:iCs/>
          <w:sz w:val="24"/>
          <w:szCs w:val="24"/>
        </w:rPr>
        <w:t xml:space="preserve">Yiwu jiaoyu jiaokeshu: Daode yu fazhi, jiu nianji, xiace</w:t>
      </w:r>
      <w:r>
        <w:rPr>
          <w:rFonts w:ascii="Times New Roman" w:cs="Times New Roman" w:eastAsia="Times New Roman" w:hAnsi="Times New Roman"/>
          <w:i w:val="false"/>
          <w:iCs w:val="false"/>
          <w:sz w:val="24"/>
          <w:szCs w:val="24"/>
        </w:rPr>
        <w:t xml:space="preserve"> [Zorunlu eğitim ders kitabı: Ahlak ve hukuk, 9. sınıf, alt cilt] (Zhu Xiaoman, Genel Ed.; 1. bs., 2022 tarihli 5. basım). Renmin Jiaoyu Chubanshe [Halk Eğitim Yayınevi].</w:t>
      </w:r>
    </w:p>
    <w:p>
      <w:pPr>
        <w:spacing w:after="120" w:before="120" w:line="360"/>
        <w:ind w:left="720" w:hanging="720"/>
        <w:jc w:val="both"/>
      </w:pPr>
      <w:r>
        <w:rPr>
          <w:rFonts w:ascii="Times New Roman" w:cs="Times New Roman" w:eastAsia="Times New Roman" w:hAnsi="Times New Roman"/>
          <w:i w:val="false"/>
          <w:iCs w:val="false"/>
          <w:sz w:val="24"/>
          <w:szCs w:val="24"/>
        </w:rPr>
        <w:t xml:space="preserve">Jiaoyubu [Çin Halk Cumhuriyeti Eğitim Bakanlığı]. (2021). </w:t>
      </w:r>
      <w:r>
        <w:rPr>
          <w:rFonts w:ascii="Times New Roman" w:cs="Times New Roman" w:eastAsia="Times New Roman" w:hAnsi="Times New Roman"/>
          <w:i/>
          <w:iCs/>
          <w:sz w:val="24"/>
          <w:szCs w:val="24"/>
        </w:rPr>
        <w:t xml:space="preserve">Yiwu jiaoyu jiaokeshu: Daode yu fazhi, jiu nianji, shangce</w:t>
      </w:r>
      <w:r>
        <w:rPr>
          <w:rFonts w:ascii="Times New Roman" w:cs="Times New Roman" w:eastAsia="Times New Roman" w:hAnsi="Times New Roman"/>
          <w:i w:val="false"/>
          <w:iCs w:val="false"/>
          <w:sz w:val="24"/>
          <w:szCs w:val="24"/>
        </w:rPr>
        <w:t xml:space="preserve"> [Zorunlu eğitim ders kitabı: Ahlak ve hukuk, 9. sınıf, üst cilt] (Zhu Xiaoman, Genel Ed.; 2. bs.). Renmin Jiaoyu Chubanshe [Halk Eğitim Yayınevi].</w:t>
      </w:r>
    </w:p>
    <w:p>
      <w:pPr>
        <w:spacing w:after="120" w:before="120" w:line="360"/>
        <w:ind w:left="720" w:hanging="720"/>
        <w:jc w:val="both"/>
      </w:pPr>
      <w:r>
        <w:rPr>
          <w:rFonts w:ascii="Times New Roman" w:cs="Times New Roman" w:eastAsia="Times New Roman" w:hAnsi="Times New Roman"/>
          <w:i w:val="false"/>
          <w:iCs w:val="false"/>
          <w:sz w:val="24"/>
          <w:szCs w:val="24"/>
        </w:rPr>
        <w:t xml:space="preserve">Kişi, E. (2021). </w:t>
      </w:r>
      <w:r>
        <w:rPr>
          <w:rFonts w:ascii="Times New Roman" w:cs="Times New Roman" w:eastAsia="Times New Roman" w:hAnsi="Times New Roman"/>
          <w:i/>
          <w:iCs/>
          <w:sz w:val="24"/>
          <w:szCs w:val="24"/>
        </w:rPr>
        <w:t xml:space="preserve">Çin milliyetçiliğinin sosyalizm ekseninde yükselişi</w:t>
      </w:r>
      <w:r>
        <w:rPr>
          <w:rFonts w:ascii="Times New Roman" w:cs="Times New Roman" w:eastAsia="Times New Roman" w:hAnsi="Times New Roman"/>
          <w:i w:val="false"/>
          <w:iCs w:val="false"/>
          <w:sz w:val="24"/>
          <w:szCs w:val="24"/>
        </w:rPr>
        <w:t xml:space="preserve"> [Yayımlanmamış doktora tezi]. Kırıkkale Üniversitesi.</w:t>
      </w:r>
    </w:p>
    <w:p>
      <w:pPr>
        <w:spacing w:after="120" w:before="120" w:line="360"/>
        <w:ind w:left="720" w:hanging="720"/>
        <w:jc w:val="both"/>
      </w:pPr>
      <w:r>
        <w:rPr>
          <w:rFonts w:ascii="Times New Roman" w:cs="Times New Roman" w:eastAsia="Times New Roman" w:hAnsi="Times New Roman"/>
          <w:i w:val="false"/>
          <w:iCs w:val="false"/>
          <w:sz w:val="24"/>
          <w:szCs w:val="24"/>
        </w:rPr>
        <w:t xml:space="preserve">Li, X., &amp; Li, N. (2022). Yiwu jiaoyu Daode yu fazhi kecheng de xin yaoqiu ji jiaoxue yingdui: Yi tongbian jiaocai Daode yu fazhi (ba nianji shangce) wei li [New requirements and teaching countermeasures of moral and legal course in compulsory education: Take the unified textbook Moral and Legal Course (Volume 1 of Grade 8) as an example]. </w:t>
      </w:r>
      <w:r>
        <w:rPr>
          <w:rFonts w:ascii="Times New Roman" w:cs="Times New Roman" w:eastAsia="Times New Roman" w:hAnsi="Times New Roman"/>
          <w:i/>
          <w:iCs/>
          <w:sz w:val="24"/>
          <w:szCs w:val="24"/>
        </w:rPr>
        <w:t xml:space="preserve">Tianjin Shifan Daxue Xuebao (Jichu Jiaoyu Ban), 23</w:t>
      </w:r>
      <w:r>
        <w:rPr>
          <w:rFonts w:ascii="Times New Roman" w:cs="Times New Roman" w:eastAsia="Times New Roman" w:hAnsi="Times New Roman"/>
          <w:i w:val="false"/>
          <w:iCs w:val="false"/>
          <w:sz w:val="24"/>
          <w:szCs w:val="24"/>
        </w:rPr>
        <w:t xml:space="preserve">(4), 7–13. https://doi.org/10.16826/j.cnki.1009-7228.2022.04.002</w:t>
      </w:r>
    </w:p>
    <w:p>
      <w:pPr>
        <w:spacing w:after="120" w:before="120" w:line="360"/>
        <w:ind w:left="720" w:hanging="720"/>
        <w:jc w:val="both"/>
      </w:pPr>
      <w:r>
        <w:rPr>
          <w:rFonts w:ascii="Times New Roman" w:cs="Times New Roman" w:eastAsia="Times New Roman" w:hAnsi="Times New Roman"/>
          <w:i w:val="false"/>
          <w:iCs w:val="false"/>
          <w:sz w:val="24"/>
          <w:szCs w:val="24"/>
        </w:rPr>
        <w:t xml:space="preserve">Ma, Z. (2019). </w:t>
      </w:r>
      <w:r>
        <w:rPr>
          <w:rFonts w:ascii="Times New Roman" w:cs="Times New Roman" w:eastAsia="Times New Roman" w:hAnsi="Times New Roman"/>
          <w:i/>
          <w:iCs/>
          <w:sz w:val="24"/>
          <w:szCs w:val="24"/>
        </w:rPr>
        <w:t xml:space="preserve">Çin’de İslam’ı yeniden canlandırma çabaları (Ming ve Qing dönemleri 1368-1912)</w:t>
      </w:r>
      <w:r>
        <w:rPr>
          <w:rFonts w:ascii="Times New Roman" w:cs="Times New Roman" w:eastAsia="Times New Roman" w:hAnsi="Times New Roman"/>
          <w:i w:val="false"/>
          <w:iCs w:val="false"/>
          <w:sz w:val="24"/>
          <w:szCs w:val="24"/>
        </w:rPr>
        <w:t xml:space="preserve"> [Yayımlanmamış yüksek lisans tezi]. Necmettin Erbakan Üniversitesi.</w:t>
      </w:r>
    </w:p>
    <w:p>
      <w:pPr>
        <w:spacing w:after="120" w:before="120" w:line="360"/>
        <w:ind w:left="720" w:hanging="720"/>
        <w:jc w:val="both"/>
      </w:pPr>
      <w:r>
        <w:rPr>
          <w:rFonts w:ascii="Times New Roman" w:cs="Times New Roman" w:eastAsia="Times New Roman" w:hAnsi="Times New Roman"/>
          <w:i w:val="false"/>
          <w:iCs w:val="false"/>
          <w:sz w:val="24"/>
          <w:szCs w:val="24"/>
        </w:rPr>
        <w:t xml:space="preserve">Peters, M. A. (2017). The Chinese Dream: Xi Jinping thought on Socialism with Chinese characteristics for a new era [Editorial]. </w:t>
      </w:r>
      <w:r>
        <w:rPr>
          <w:rFonts w:ascii="Times New Roman" w:cs="Times New Roman" w:eastAsia="Times New Roman" w:hAnsi="Times New Roman"/>
          <w:i/>
          <w:iCs/>
          <w:sz w:val="24"/>
          <w:szCs w:val="24"/>
        </w:rPr>
        <w:t xml:space="preserve">Educational Philosophy and Theory, 49</w:t>
      </w:r>
      <w:r>
        <w:rPr>
          <w:rFonts w:ascii="Times New Roman" w:cs="Times New Roman" w:eastAsia="Times New Roman" w:hAnsi="Times New Roman"/>
          <w:i w:val="false"/>
          <w:iCs w:val="false"/>
          <w:sz w:val="24"/>
          <w:szCs w:val="24"/>
        </w:rPr>
        <w:t xml:space="preserve">(14), 1299–1304. https://doi.org/10.1080/00131857.2017.1407578</w:t>
      </w:r>
    </w:p>
    <w:p>
      <w:pPr>
        <w:spacing w:after="120" w:before="120" w:line="360"/>
        <w:ind w:left="720" w:hanging="720"/>
        <w:jc w:val="both"/>
      </w:pPr>
      <w:r>
        <w:rPr>
          <w:rFonts w:ascii="Times New Roman" w:cs="Times New Roman" w:eastAsia="Times New Roman" w:hAnsi="Times New Roman"/>
          <w:i w:val="false"/>
          <w:iCs w:val="false"/>
          <w:sz w:val="24"/>
          <w:szCs w:val="24"/>
        </w:rPr>
        <w:t xml:space="preserve">Sun, C. (2019). Celüe ji linian, fangfa ji neirong: Daode yu fazhi ketang jiaoxue celüe yu fangfa de shendu lijie [Strateji anlayıştır, yöntem içeriktir: Ahlak ve Hukuk dersinde öğretim strateji ve yöntemlerinin derinlemesine kavranışı]. </w:t>
      </w:r>
      <w:r>
        <w:rPr>
          <w:rFonts w:ascii="Times New Roman" w:cs="Times New Roman" w:eastAsia="Times New Roman" w:hAnsi="Times New Roman"/>
          <w:i/>
          <w:iCs/>
          <w:sz w:val="24"/>
          <w:szCs w:val="24"/>
        </w:rPr>
        <w:t xml:space="preserve">Zhongguo Deyu</w:t>
      </w:r>
      <w:r>
        <w:rPr>
          <w:rFonts w:ascii="Times New Roman" w:cs="Times New Roman" w:eastAsia="Times New Roman" w:hAnsi="Times New Roman"/>
          <w:i w:val="false"/>
          <w:iCs w:val="false"/>
          <w:sz w:val="24"/>
          <w:szCs w:val="24"/>
        </w:rPr>
        <w:t xml:space="preserve">, 2019(3).</w:t>
      </w:r>
    </w:p>
    <w:p>
      <w:pPr>
        <w:spacing w:after="120" w:before="120" w:line="360"/>
        <w:ind w:left="720" w:hanging="720"/>
        <w:jc w:val="both"/>
      </w:pPr>
      <w:r>
        <w:rPr>
          <w:rFonts w:ascii="Times New Roman" w:cs="Times New Roman" w:eastAsia="Times New Roman" w:hAnsi="Times New Roman"/>
          <w:i w:val="false"/>
          <w:iCs w:val="false"/>
          <w:sz w:val="24"/>
          <w:szCs w:val="24"/>
        </w:rPr>
        <w:t xml:space="preserve">Şevik, A. E. (2022). </w:t>
      </w:r>
      <w:r>
        <w:rPr>
          <w:rFonts w:ascii="Times New Roman" w:cs="Times New Roman" w:eastAsia="Times New Roman" w:hAnsi="Times New Roman"/>
          <w:i/>
          <w:iCs/>
          <w:sz w:val="24"/>
          <w:szCs w:val="24"/>
        </w:rPr>
        <w:t xml:space="preserve">Çin toplumu ve Konfüçyüsün ruhu: Devlet ve toplum etkileşiminin psikoantropolojik ve tarihsel kökenleri üzerine bir inceleme</w:t>
      </w:r>
      <w:r>
        <w:rPr>
          <w:rFonts w:ascii="Times New Roman" w:cs="Times New Roman" w:eastAsia="Times New Roman" w:hAnsi="Times New Roman"/>
          <w:i w:val="false"/>
          <w:iCs w:val="false"/>
          <w:sz w:val="24"/>
          <w:szCs w:val="24"/>
        </w:rPr>
        <w:t xml:space="preserve"> [Yayımlanmamış yüksek lisans tezi]. Kapadokya Üniversitesi.</w:t>
      </w:r>
    </w:p>
    <w:p>
      <w:pPr>
        <w:spacing w:after="120" w:before="120" w:line="360"/>
        <w:ind w:left="720" w:hanging="720"/>
        <w:jc w:val="both"/>
      </w:pPr>
      <w:r>
        <w:rPr>
          <w:rFonts w:ascii="Times New Roman" w:cs="Times New Roman" w:eastAsia="Times New Roman" w:hAnsi="Times New Roman"/>
          <w:i w:val="false"/>
          <w:iCs w:val="false"/>
          <w:sz w:val="24"/>
          <w:szCs w:val="24"/>
        </w:rPr>
        <w:t xml:space="preserve">Terzi, Z. N. (2024). </w:t>
      </w:r>
      <w:r>
        <w:rPr>
          <w:rFonts w:ascii="Times New Roman" w:cs="Times New Roman" w:eastAsia="Times New Roman" w:hAnsi="Times New Roman"/>
          <w:i/>
          <w:iCs/>
          <w:sz w:val="24"/>
          <w:szCs w:val="24"/>
        </w:rPr>
        <w:t xml:space="preserve">A comparison of Ottoman and Chinese students sent abroad for modern education</w:t>
      </w:r>
      <w:r>
        <w:rPr>
          <w:rFonts w:ascii="Times New Roman" w:cs="Times New Roman" w:eastAsia="Times New Roman" w:hAnsi="Times New Roman"/>
          <w:i w:val="false"/>
          <w:iCs w:val="false"/>
          <w:sz w:val="24"/>
          <w:szCs w:val="24"/>
        </w:rPr>
        <w:t xml:space="preserve"> [Yayımlanmamış yüksek lisans tezi, Ulusal Tez Merkezi Referans No. 10676369]. Ibn Haldun University.</w:t>
      </w:r>
    </w:p>
    <w:p>
      <w:pPr>
        <w:spacing w:after="120" w:before="120" w:line="360"/>
        <w:ind w:left="720" w:hanging="720"/>
        <w:jc w:val="both"/>
      </w:pPr>
      <w:r>
        <w:rPr>
          <w:rFonts w:ascii="Times New Roman" w:cs="Times New Roman" w:eastAsia="Times New Roman" w:hAnsi="Times New Roman"/>
          <w:i w:val="false"/>
          <w:iCs w:val="false"/>
          <w:sz w:val="24"/>
          <w:szCs w:val="24"/>
        </w:rPr>
        <w:t xml:space="preserve">Tuncer, T. (2021). Doğu Türkistan’da Çin modeli eğitim sistemi. </w:t>
      </w:r>
      <w:r>
        <w:rPr>
          <w:rFonts w:ascii="Times New Roman" w:cs="Times New Roman" w:eastAsia="Times New Roman" w:hAnsi="Times New Roman"/>
          <w:i/>
          <w:iCs/>
          <w:sz w:val="24"/>
          <w:szCs w:val="24"/>
        </w:rPr>
        <w:t xml:space="preserve">Nevşehir Hacı Bektaş Veli Üniversitesi SBE Dergisi, 11</w:t>
      </w:r>
      <w:r>
        <w:rPr>
          <w:rFonts w:ascii="Times New Roman" w:cs="Times New Roman" w:eastAsia="Times New Roman" w:hAnsi="Times New Roman"/>
          <w:i w:val="false"/>
          <w:iCs w:val="false"/>
          <w:sz w:val="24"/>
          <w:szCs w:val="24"/>
        </w:rPr>
        <w:t xml:space="preserve">(4), 2262–2272. https://doi.org/10.30783/nevsosbilen.1028912</w:t>
      </w:r>
    </w:p>
    <w:p>
      <w:pPr>
        <w:spacing w:after="120" w:before="120" w:line="360"/>
        <w:ind w:left="720" w:hanging="720"/>
        <w:jc w:val="both"/>
      </w:pPr>
      <w:r>
        <w:rPr>
          <w:rFonts w:ascii="Times New Roman" w:cs="Times New Roman" w:eastAsia="Times New Roman" w:hAnsi="Times New Roman"/>
          <w:i w:val="false"/>
          <w:iCs w:val="false"/>
          <w:sz w:val="24"/>
          <w:szCs w:val="24"/>
        </w:rPr>
        <w:t xml:space="preserve">Wang, C. (2023). Resurgence of Confucian education in contemporary China: Parental involvement, moral anxiety, and the pedagogy of memorisation. </w:t>
      </w:r>
      <w:r>
        <w:rPr>
          <w:rFonts w:ascii="Times New Roman" w:cs="Times New Roman" w:eastAsia="Times New Roman" w:hAnsi="Times New Roman"/>
          <w:i/>
          <w:iCs/>
          <w:sz w:val="24"/>
          <w:szCs w:val="24"/>
        </w:rPr>
        <w:t xml:space="preserve">Journal of Moral Education, 52</w:t>
      </w:r>
      <w:r>
        <w:rPr>
          <w:rFonts w:ascii="Times New Roman" w:cs="Times New Roman" w:eastAsia="Times New Roman" w:hAnsi="Times New Roman"/>
          <w:i w:val="false"/>
          <w:iCs w:val="false"/>
          <w:sz w:val="24"/>
          <w:szCs w:val="24"/>
        </w:rPr>
        <w:t xml:space="preserve">(3), 325–342. https://doi.org/10.1080/03057240.2022.2066639</w:t>
      </w:r>
    </w:p>
    <w:p>
      <w:pPr>
        <w:spacing w:after="120" w:before="120" w:line="360"/>
        <w:ind w:left="720" w:hanging="720"/>
        <w:jc w:val="both"/>
      </w:pPr>
      <w:r>
        <w:rPr>
          <w:rFonts w:ascii="Times New Roman" w:cs="Times New Roman" w:eastAsia="Times New Roman" w:hAnsi="Times New Roman"/>
          <w:i w:val="false"/>
          <w:iCs w:val="false"/>
          <w:sz w:val="24"/>
          <w:szCs w:val="24"/>
        </w:rPr>
        <w:t xml:space="preserve">Wang, C., &amp; Peters, M. A. (2023). Contemporary Chinese Marxism: Disciplines, teaching platforms and status quo of basic academic research. </w:t>
      </w:r>
      <w:r>
        <w:rPr>
          <w:rFonts w:ascii="Times New Roman" w:cs="Times New Roman" w:eastAsia="Times New Roman" w:hAnsi="Times New Roman"/>
          <w:i/>
          <w:iCs/>
          <w:sz w:val="24"/>
          <w:szCs w:val="24"/>
        </w:rPr>
        <w:t xml:space="preserve">Educational Philosophy and Theory, 55</w:t>
      </w:r>
      <w:r>
        <w:rPr>
          <w:rFonts w:ascii="Times New Roman" w:cs="Times New Roman" w:eastAsia="Times New Roman" w:hAnsi="Times New Roman"/>
          <w:i w:val="false"/>
          <w:iCs w:val="false"/>
          <w:sz w:val="24"/>
          <w:szCs w:val="24"/>
        </w:rPr>
        <w:t xml:space="preserve">(8), 877–887. https://doi.org/10.1080/00131857.2021.1929171</w:t>
      </w:r>
    </w:p>
    <w:p>
      <w:r>
        <w:br w:type="page"/>
      </w:r>
    </w:p>
    <w:p>
      <w:pPr>
        <w:spacing w:after="120" w:before="360" w:line="360"/>
        <w:jc w:val="center"/>
      </w:pPr>
      <w:r>
        <w:rPr>
          <w:rFonts w:ascii="Times New Roman" w:cs="Times New Roman" w:eastAsia="Times New Roman" w:hAnsi="Times New Roman"/>
          <w:b/>
          <w:bCs/>
          <w:i w:val="false"/>
          <w:iCs w:val="false"/>
          <w:sz w:val="24"/>
          <w:szCs w:val="24"/>
        </w:rPr>
        <w:t xml:space="preserve">Moral and Legal Education in the Chinese Education System: A Content Analysis of Grade 9 Textbooks</w:t>
      </w:r>
    </w:p>
    <w:p>
      <w:pPr>
        <w:spacing w:after="120" w:before="240" w:line="360"/>
        <w:jc w:val="center"/>
      </w:pPr>
      <w:r>
        <w:rPr>
          <w:rFonts w:ascii="Times New Roman" w:cs="Times New Roman" w:eastAsia="Times New Roman" w:hAnsi="Times New Roman"/>
          <w:b/>
          <w:bCs/>
          <w:i w:val="false"/>
          <w:iCs w:val="false"/>
          <w:sz w:val="24"/>
          <w:szCs w:val="24"/>
        </w:rPr>
        <w:t xml:space="preserve">Extended Abstract</w:t>
      </w:r>
    </w:p>
    <w:p>
      <w:pPr>
        <w:spacing w:after="120" w:before="120" w:line="360"/>
        <w:jc w:val="left"/>
      </w:pPr>
      <w:r>
        <w:rPr>
          <w:rFonts w:ascii="Times New Roman" w:cs="Times New Roman" w:eastAsia="Times New Roman" w:hAnsi="Times New Roman"/>
          <w:b/>
          <w:bCs/>
          <w:i w:val="false"/>
          <w:iCs w:val="false"/>
          <w:sz w:val="24"/>
          <w:szCs w:val="24"/>
        </w:rPr>
        <w:t xml:space="preserve">Introduction</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A comparative study of the Turkish, Chinese and Russian systems identifies the stage of compulsory education as one of their most important differences and notes that in China the nine years of compulsory education comprise six years of primary and three years of lower secondary schooling (Aimaiti, 2023, p. 97). Grade 9 is therefore both the final year of compulsory education and the year in which pupils prepare for the senior secondary entrance examination. The subject now known as Morality and Rule of Law (Daode yu Fazhi) is comparatively new: the names of the curriculum standard and the textbook were unified only with the 2022 curriculum standard (Li &amp; Li, 2022, p. 7), and it has been stressed that placing the fostering of virtue and the ideological guidance of the subject at the head of the five principles of that standard shows the importance attached to them (Li &amp; Li, 2022, p. 8). Turkish scholarship has described the legal and ideological framework of Chinese education, including the socialist and secular principles enshrined in the 1995 Education Law (Coşkun &amp; Çelikten, 2020, p. 3004), and has also identified Xi Jinping’s reference to Confucius at an international symposium as a factor in the revival of the Confucian model of education (Gökenç Gülez, 2023, p. 325). No study examining the textbook’s content from the perspectives of values education and religious education on the basis of the original Chinese text was found among the available documents. For a religious educator, the central question is how an officially secular and ideologically Marxist curriculum grounds morality. The study addresses four questions: which values the textbook teaches and on what it grounds them; how law and citizenship are presented; within which ideological framework moral instruction is placed; and in what ways religion, belief and tradition appear.</w:t>
      </w:r>
    </w:p>
    <w:p>
      <w:pPr>
        <w:spacing w:after="0" w:before="40" w:line="276"/>
        <w:ind w:left="567"/>
        <w:jc w:val="both"/>
      </w:pPr>
      <w:r>
        <w:rPr>
          <w:rFonts w:ascii="Times New Roman" w:cs="Times New Roman" w:eastAsia="Times New Roman" w:hAnsi="Times New Roman"/>
          <w:i/>
          <w:iCs/>
          <w:color w:val="404040"/>
          <w:sz w:val="20"/>
          <w:szCs w:val="20"/>
        </w:rPr>
        <w:t xml:space="preserve">“Araştırma sırasında ülkelerin eğitim sistemlerinde farklılık gösteren en önemli yanlarında biri zorunlu eğitim aşamasıdır. Çin eğitim sisteminde zorunlu eğitim 9 yıl olup, 6 yıllık ilkokul 3 yıllık ortaokul süresini kapsamaktadır. Rusya’da ise 11 yıl olup, ilkokul süresi 4 yıl, ortaokul süresi ise 5 yıl olmaktadır. Türkiye’de ise zorunlu eğitim 4 yıl ilkokul, 4 yıl orta okul, 4 yıl lise olmak üzere 12 yıl süreyle gerçekleşmektedir.”</w:t>
      </w:r>
    </w:p>
    <w:p>
      <w:pPr>
        <w:spacing w:after="80" w:before="0" w:line="276"/>
        <w:ind w:left="567"/>
      </w:pPr>
      <w:r>
        <w:rPr>
          <w:rFonts w:ascii="Times New Roman" w:cs="Times New Roman" w:eastAsia="Times New Roman" w:hAnsi="Times New Roman"/>
          <w:color w:val="7F7F7F"/>
          <w:sz w:val="18"/>
          <w:szCs w:val="18"/>
        </w:rPr>
        <w:t xml:space="preserve">[Kontrol: KAYNAKÇA ESERLER/TEZ TÜRKİYE, ÇİN VE RUSYA EĞİTİM SİSTEMLERİNİN KARŞILAŞTIRMALI OLARAK İNCELENMESİ.pdf; PDF s. 112; basılı s. 97; birebir eşleşme: TAM]</w:t>
      </w:r>
    </w:p>
    <w:p>
      <w:pPr>
        <w:spacing w:after="0" w:before="40" w:line="276"/>
        <w:ind w:left="567"/>
        <w:jc w:val="both"/>
      </w:pPr>
      <w:r>
        <w:rPr>
          <w:rFonts w:ascii="Times New Roman" w:cs="Times New Roman" w:eastAsia="Times New Roman" w:hAnsi="Times New Roman"/>
          <w:i/>
          <w:iCs/>
          <w:color w:val="404040"/>
          <w:sz w:val="20"/>
          <w:szCs w:val="20"/>
        </w:rPr>
        <w:t xml:space="preserve">“随着《义务教育道德与法治课程标准（2022年版）》（以下简称“新课标”）的发布，道德与法治课程终于实现了课程标准与教材名称的统一，道德与法治课程与教学改革也由此翻开新的一页。”</w:t>
      </w:r>
    </w:p>
    <w:p>
      <w:pPr>
        <w:spacing w:after="80" w:before="0" w:line="276"/>
        <w:ind w:left="567"/>
      </w:pPr>
      <w:r>
        <w:rPr>
          <w:rFonts w:ascii="Times New Roman" w:cs="Times New Roman" w:eastAsia="Times New Roman" w:hAnsi="Times New Roman"/>
          <w:color w:val="7F7F7F"/>
          <w:sz w:val="18"/>
          <w:szCs w:val="18"/>
        </w:rPr>
        <w:t xml:space="preserve">[Kontrol: ÇİNCE MAKALELER VE KİTAPLAR/20220606093330661619.pdf; PDF s. 2; basılı s. 7; birebir eşleşme: TAM]</w:t>
      </w:r>
      <w:r>
        <w:rPr>
          <w:rFonts w:ascii="Times New Roman" w:cs="Times New Roman" w:eastAsia="Times New Roman" w:hAnsi="Times New Roman"/>
          <w:color w:val="7F7F7F"/>
          <w:sz w:val="18"/>
          <w:szCs w:val="18"/>
        </w:rPr>
        <w:t xml:space="preserve">  Yardımcı Türkçe karşılık (yapay zekâ çevirisi; yazarca denetlenmeli): Zorunlu Eğitim Ahlak ve Hukuk Dersi Öğretim Programı'nın (2022 Baskısı) (bundan sonra "yeni program") yayımlanmasıyla Ahlak ve Hukuk dersi nihayet öğretim programı ile ders kitabının adlarında birliği sağlamış; Ahlak ve Hukuk dersi ve öğretimi reformu da böylece yeni bir sayfa açmıştır.</w:t>
      </w:r>
    </w:p>
    <w:p>
      <w:pPr>
        <w:spacing w:after="0" w:before="40" w:line="276"/>
        <w:ind w:left="567"/>
        <w:jc w:val="both"/>
      </w:pPr>
      <w:r>
        <w:rPr>
          <w:rFonts w:ascii="Times New Roman" w:cs="Times New Roman" w:eastAsia="Times New Roman" w:hAnsi="Times New Roman"/>
          <w:i/>
          <w:iCs/>
          <w:color w:val="404040"/>
          <w:sz w:val="20"/>
          <w:szCs w:val="20"/>
        </w:rPr>
        <w:t xml:space="preserve">“就课程理念而言，“新课标”共明确了五条课程理念，而“以立德树人为根本任务，发挥课程的思想引领作用”作为第一条，其地位和重要性可见一斑。”</w:t>
      </w:r>
    </w:p>
    <w:p>
      <w:pPr>
        <w:spacing w:after="80" w:before="0" w:line="276"/>
        <w:ind w:left="567"/>
      </w:pPr>
      <w:r>
        <w:rPr>
          <w:rFonts w:ascii="Times New Roman" w:cs="Times New Roman" w:eastAsia="Times New Roman" w:hAnsi="Times New Roman"/>
          <w:color w:val="7F7F7F"/>
          <w:sz w:val="18"/>
          <w:szCs w:val="18"/>
        </w:rPr>
        <w:t xml:space="preserve">[Kontrol: ÇİNCE MAKALELER VE KİTAPLAR/20220606093330661619.pdf; PDF s. 3; basılı s. 8; birebir eşleşme: TAM]</w:t>
      </w:r>
      <w:r>
        <w:rPr>
          <w:rFonts w:ascii="Times New Roman" w:cs="Times New Roman" w:eastAsia="Times New Roman" w:hAnsi="Times New Roman"/>
          <w:color w:val="7F7F7F"/>
          <w:sz w:val="18"/>
          <w:szCs w:val="18"/>
        </w:rPr>
        <w:t xml:space="preserve">  Yardımcı Türkçe karşılık (yapay zekâ çevirisi; yazarca denetlenmeli): Ders anlayışı bakımından "yeni program" toplam beş ders ilkesi belirlemiştir; "ahlakla erdemi tesis edip insan yetiştirmeyi temel görev edinmek, dersin ideolojik yönlendirme işlevini ortaya çıkarmak" ilkesinin birinci sırada yer alması, onun konumunu ve önemini açıkça göstermektedir.</w:t>
      </w:r>
    </w:p>
    <w:p>
      <w:pPr>
        <w:spacing w:after="0" w:before="40" w:line="276"/>
        <w:ind w:left="567"/>
        <w:jc w:val="both"/>
      </w:pPr>
      <w:r>
        <w:rPr>
          <w:rFonts w:ascii="Times New Roman" w:cs="Times New Roman" w:eastAsia="Times New Roman" w:hAnsi="Times New Roman"/>
          <w:i/>
          <w:iCs/>
          <w:color w:val="404040"/>
          <w:sz w:val="20"/>
          <w:szCs w:val="20"/>
        </w:rPr>
        <w:t xml:space="preserve">“Sosyalizmin yanısıra eğitimde laiklik vurgulanmaktadır. Eğitim Kanunu (1995) 8. maddeye göre, devlet eğitimi dinden ayırır. Herhangi bir kurum ya da kişi dini, devletin eğitim sistemini engelleyecek biçimde kullanamaz.”</w:t>
      </w:r>
    </w:p>
    <w:p>
      <w:pPr>
        <w:spacing w:after="80" w:before="0" w:line="276"/>
        <w:ind w:left="567"/>
      </w:pPr>
      <w:r>
        <w:rPr>
          <w:rFonts w:ascii="Times New Roman" w:cs="Times New Roman" w:eastAsia="Times New Roman" w:hAnsi="Times New Roman"/>
          <w:color w:val="7F7F7F"/>
          <w:sz w:val="18"/>
          <w:szCs w:val="18"/>
        </w:rPr>
        <w:t xml:space="preserve">[Kontrol: KAYNAKÇA ESERLER/in Halk Cumhuriyeti Eğitim Sistemi.pdf; PDF s. 23; basılı s. 3004; birebir eşleşme: TAM]</w:t>
      </w:r>
    </w:p>
    <w:p>
      <w:pPr>
        <w:spacing w:after="0" w:before="40" w:line="276"/>
        <w:ind w:left="567"/>
        <w:jc w:val="both"/>
      </w:pPr>
      <w:r>
        <w:rPr>
          <w:rFonts w:ascii="Times New Roman" w:cs="Times New Roman" w:eastAsia="Times New Roman" w:hAnsi="Times New Roman"/>
          <w:i/>
          <w:iCs/>
          <w:color w:val="404040"/>
          <w:sz w:val="20"/>
          <w:szCs w:val="20"/>
        </w:rPr>
        <w:t xml:space="preserve">“Farklı alanlarda reformların yapıldığı 1978 yılından sonra, eğitimde sınav odaklı eğitim modelinden kalite odaklı (suzhi) eğitim modeline geçiş yapılması Konfuçyüsçü eğitim modelinin Çin eğitim sistemine olan bir yansımasıdır. Nitekim Suzhi eğitim modeli Konfuçyanizm eğitim düşüncesinin temelini oluşturan ahlak eğitimi ile yakından ilişkilidir. 21. yüzyılda Çin Devlet başkanı Xi Jinping’in katıldığı uluslararası bir sempozyumda Konfuçyüs’e atıfta bulunması modern dönem eğitim sisteminde Konfuçyüsçü eğitim modelinin yeniden canlanmasında bir etken olarak gösterilebilir.”</w:t>
      </w:r>
    </w:p>
    <w:p>
      <w:pPr>
        <w:spacing w:after="80" w:before="0" w:line="276"/>
        <w:ind w:left="567"/>
      </w:pPr>
      <w:r>
        <w:rPr>
          <w:rFonts w:ascii="Times New Roman" w:cs="Times New Roman" w:eastAsia="Times New Roman" w:hAnsi="Times New Roman"/>
          <w:color w:val="7F7F7F"/>
          <w:sz w:val="18"/>
          <w:szCs w:val="18"/>
        </w:rPr>
        <w:t xml:space="preserve">[Kontrol: KAYNAKÇA ESERLER/KONFUÇYÜSÇÜ EĞİTİMİN YENİDEN CANLANMASI.pdf; PDF s. 13; basılı s. 325; birebir eşleşme: TAM]</w:t>
      </w:r>
    </w:p>
    <w:p>
      <w:pPr>
        <w:spacing w:after="120" w:before="120" w:line="360"/>
        <w:jc w:val="left"/>
      </w:pPr>
      <w:r>
        <w:rPr>
          <w:rFonts w:ascii="Times New Roman" w:cs="Times New Roman" w:eastAsia="Times New Roman" w:hAnsi="Times New Roman"/>
          <w:b/>
          <w:bCs/>
          <w:i w:val="false"/>
          <w:iCs w:val="false"/>
          <w:sz w:val="24"/>
          <w:szCs w:val="24"/>
        </w:rPr>
        <w:t xml:space="preserve">Method</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The study adopts a qualitative design based on document analysis and content analysis. The data source consists of the two volumes of the Grade 9 Morality and Rule of Law textbook published as the unified edition (tongbian ban) by People’s Education Press: the first-semester volume (second edition, June 2021) and the second-semester volume (first edition, December 2018; fifth printing, January 2022). The first volume contains four units and eight lessons, and the second contains three units and seven lessons. Both volumes were read in full in their original Chinese. The analysis was organised around four categories derived from the research questions: values, law and citizenship, ideological framework, and religion, belief and tradition. Key terms such as zongjiao (religion), xinyang (belief), rujia (Confucian school), chuantong meide (traditional virtues), shensheng (sacred), linghun (soul) and mingyun (destiny) were searched across the whole text and every occurrence was read in context. All translations from Chinese are the researcher’s own.</w:t>
      </w:r>
    </w:p>
    <w:p>
      <w:pPr>
        <w:spacing w:after="120" w:before="120" w:line="360"/>
        <w:jc w:val="left"/>
      </w:pPr>
      <w:r>
        <w:rPr>
          <w:rFonts w:ascii="Times New Roman" w:cs="Times New Roman" w:eastAsia="Times New Roman" w:hAnsi="Times New Roman"/>
          <w:b/>
          <w:bCs/>
          <w:i w:val="false"/>
          <w:iCs w:val="false"/>
          <w:sz w:val="24"/>
          <w:szCs w:val="24"/>
        </w:rPr>
        <w:t xml:space="preserve">Findings</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The textbook devotes most of its pages to activity and information frames; the most frequent, “Explore and Share”, appears 68 times in the first volume and 70 times in the second. The activities appear open-ended, since pupils debate, comment in forums and weigh opposing speech bubbles, but in the activities examined the questions are often steered towards the conclusion already stated in the main text. When pupils are asked why one should obey the law, for instance, the options offered rest on avoiding trouble, fear, rule-following and freedom, and no transcendent justification appears among them.</w:t>
      </w:r>
    </w:p>
    <w:p>
      <w:pPr>
        <w:spacing w:after="120" w:before="120" w:line="360"/>
        <w:ind w:firstLine="284"/>
        <w:jc w:val="both"/>
      </w:pPr>
      <w:r>
        <w:rPr>
          <w:rFonts w:ascii="Times New Roman" w:cs="Times New Roman" w:eastAsia="Times New Roman" w:hAnsi="Times New Roman"/>
          <w:b w:val="false"/>
          <w:bCs w:val="false"/>
          <w:i w:val="false"/>
          <w:iCs w:val="false"/>
          <w:sz w:val="24"/>
          <w:szCs w:val="24"/>
        </w:rPr>
        <w:t xml:space="preserve">With regard to values, the first unit builds a historical narrative of five thousand years of civilisation, a century of suffering and national rejuvenation under the leadership of the Communist Party of China. The textbook states that “only socialism can save China” (Jiaoyubu, 2021, p. 5) and declares the core socialist values to be “the standard by which contemporary Chinese judge right and wrong” (Jiaoyubu, 2021, p. 71). It acknowledges that values such as kindness, integrity and honesty are common to humanity, yet, after stressing that values differ markedly across nations and eras, it presents China’s unique cultural tradition, historical destiny and national conditions as making adherence to Chinese values inevitable. Traditional virtues, including filial piety and respect for teachers, are described as the essence of Chinese culture and as a “cultural gene”. Patriotism is defined as the unity of loving the country, the Party and socialism (Jiaoyubu, 2021, p. 67).</w:t>
      </w:r>
    </w:p>
    <w:p>
      <w:pPr>
        <w:spacing w:after="0" w:before="40" w:line="276"/>
        <w:ind w:left="567"/>
        <w:jc w:val="both"/>
      </w:pPr>
      <w:r>
        <w:rPr>
          <w:rFonts w:ascii="Times New Roman" w:cs="Times New Roman" w:eastAsia="Times New Roman" w:hAnsi="Times New Roman"/>
          <w:i/>
          <w:iCs/>
          <w:color w:val="404040"/>
          <w:sz w:val="20"/>
          <w:szCs w:val="20"/>
        </w:rPr>
        <w:t xml:space="preserve">“只有社会主义才能救中国”</w:t>
      </w:r>
    </w:p>
    <w:p>
      <w:pPr>
        <w:spacing w:after="80" w:before="0" w:line="276"/>
        <w:ind w:left="567"/>
      </w:pPr>
      <w:r>
        <w:rPr>
          <w:rFonts w:ascii="Times New Roman" w:cs="Times New Roman" w:eastAsia="Times New Roman" w:hAnsi="Times New Roman"/>
          <w:color w:val="7F7F7F"/>
          <w:sz w:val="18"/>
          <w:szCs w:val="18"/>
        </w:rPr>
        <w:t xml:space="preserve">[Kontrol: DED_ÇİN VE YUNAN DERS KİTAPLARI_TARİH_DİN/9. sınıf_1. kitap_üst cilt_birinci dönem kitabı.pdf; PDF s. 10; basılı s. 5; birebir eşleşme: TAM]</w:t>
      </w:r>
    </w:p>
    <w:p>
      <w:pPr>
        <w:spacing w:after="0" w:before="40" w:line="276"/>
        <w:ind w:left="567"/>
        <w:jc w:val="both"/>
      </w:pPr>
      <w:r>
        <w:rPr>
          <w:rFonts w:ascii="Times New Roman" w:cs="Times New Roman" w:eastAsia="Times New Roman" w:hAnsi="Times New Roman"/>
          <w:i/>
          <w:iCs/>
          <w:color w:val="404040"/>
          <w:sz w:val="20"/>
          <w:szCs w:val="20"/>
        </w:rPr>
        <w:t xml:space="preserve">“社会主义核心价值观是当代中国人评判是非曲直的价值标准”</w:t>
      </w:r>
    </w:p>
    <w:p>
      <w:pPr>
        <w:spacing w:after="80" w:before="0" w:line="276"/>
        <w:ind w:left="567"/>
      </w:pPr>
      <w:r>
        <w:rPr>
          <w:rFonts w:ascii="Times New Roman" w:cs="Times New Roman" w:eastAsia="Times New Roman" w:hAnsi="Times New Roman"/>
          <w:color w:val="7F7F7F"/>
          <w:sz w:val="18"/>
          <w:szCs w:val="18"/>
        </w:rPr>
        <w:t xml:space="preserve">[Kontrol: DED_ÇİN VE YUNAN DERS KİTAPLARI_TARİH_DİN/9. sınıf_1. kitap_üst cilt_birinci dönem kitabı.pdf; PDF s. 76; basılı s. 71; birebir eşleşme: TAM]</w:t>
      </w:r>
    </w:p>
    <w:p>
      <w:pPr>
        <w:spacing w:after="0" w:before="40" w:line="276"/>
        <w:ind w:left="567"/>
        <w:jc w:val="both"/>
      </w:pPr>
      <w:r>
        <w:rPr>
          <w:rFonts w:ascii="Times New Roman" w:cs="Times New Roman" w:eastAsia="Times New Roman" w:hAnsi="Times New Roman"/>
          <w:i/>
          <w:iCs/>
          <w:color w:val="404040"/>
          <w:sz w:val="20"/>
          <w:szCs w:val="20"/>
        </w:rPr>
        <w:t xml:space="preserve">“当代中国，爱国主义的本质就是坚持爱国和爱党、爱社会主义高度统一”</w:t>
      </w:r>
    </w:p>
    <w:p>
      <w:pPr>
        <w:spacing w:after="80" w:before="0" w:line="276"/>
        <w:ind w:left="567"/>
      </w:pPr>
      <w:r>
        <w:rPr>
          <w:rFonts w:ascii="Times New Roman" w:cs="Times New Roman" w:eastAsia="Times New Roman" w:hAnsi="Times New Roman"/>
          <w:color w:val="7F7F7F"/>
          <w:sz w:val="18"/>
          <w:szCs w:val="18"/>
        </w:rPr>
        <w:t xml:space="preserve">[Kontrol: DED_ÇİN VE YUNAN DERS KİTAPLARI_TARİH_DİN/9. sınıf_1. kitap_üst cilt_birinci dönem kitabı.pdf; PDF s. 72; basılı s. 67; birebir eşleşme: TAM]</w:t>
      </w:r>
    </w:p>
    <w:p>
      <w:pPr>
        <w:spacing w:after="120" w:before="120" w:line="360"/>
        <w:ind w:firstLine="284"/>
        <w:jc w:val="both"/>
      </w:pPr>
      <w:r>
        <w:rPr>
          <w:rFonts w:ascii="Times New Roman" w:cs="Times New Roman" w:eastAsia="Times New Roman" w:hAnsi="Times New Roman"/>
          <w:b w:val="false"/>
          <w:bCs w:val="false"/>
          <w:i w:val="false"/>
          <w:iCs w:val="false"/>
          <w:sz w:val="24"/>
          <w:szCs w:val="24"/>
        </w:rPr>
        <w:t xml:space="preserve">The second unit is devoted to democracy and the rule of law. Here the source of law is placed explicitly within the human realm through an unattributed classical maxim: law “neither descends from heaven nor springs from the earth; it arises among people and accords with the human heart” (Jiaoyubu, 2021, p. 55). Law and morality are presented as mutually reinforcing, and the Confucian notion of rule by virtue (dezhi) is joined to the discourse of the rule of law. Citizens are expected to make democratic ideas and the spirit of the rule of law their “conscious belief”, and to become “faithful venerators” of the rule of law.</w:t>
      </w:r>
    </w:p>
    <w:p>
      <w:pPr>
        <w:spacing w:after="0" w:before="40" w:line="276"/>
        <w:ind w:left="567"/>
        <w:jc w:val="both"/>
      </w:pPr>
      <w:r>
        <w:rPr>
          <w:rFonts w:ascii="Times New Roman" w:cs="Times New Roman" w:eastAsia="Times New Roman" w:hAnsi="Times New Roman"/>
          <w:i/>
          <w:iCs/>
          <w:color w:val="404040"/>
          <w:sz w:val="20"/>
          <w:szCs w:val="20"/>
        </w:rPr>
        <w:t xml:space="preserve">“法，非从天下，非从地出，发于人间，合乎人心而已”</w:t>
      </w:r>
    </w:p>
    <w:p>
      <w:pPr>
        <w:spacing w:after="80" w:before="0" w:line="276"/>
        <w:ind w:left="567"/>
      </w:pPr>
      <w:r>
        <w:rPr>
          <w:rFonts w:ascii="Times New Roman" w:cs="Times New Roman" w:eastAsia="Times New Roman" w:hAnsi="Times New Roman"/>
          <w:color w:val="7F7F7F"/>
          <w:sz w:val="18"/>
          <w:szCs w:val="18"/>
        </w:rPr>
        <w:t xml:space="preserve">[Kontrol: DED_ÇİN VE YUNAN DERS KİTAPLARI_TARİH_DİN/9. sınıf_1. kitap_üst cilt_birinci dönem kitabı.pdf; PDF s. 60; basılı s. 55; birebir eşleşme: TAM]</w:t>
      </w:r>
    </w:p>
    <w:p>
      <w:pPr>
        <w:spacing w:after="120" w:before="120" w:line="360"/>
        <w:ind w:firstLine="284"/>
        <w:jc w:val="both"/>
      </w:pPr>
      <w:r>
        <w:rPr>
          <w:rFonts w:ascii="Times New Roman" w:cs="Times New Roman" w:eastAsia="Times New Roman" w:hAnsi="Times New Roman"/>
          <w:b w:val="false"/>
          <w:bCs w:val="false"/>
          <w:i w:val="false"/>
          <w:iCs w:val="false"/>
          <w:sz w:val="24"/>
          <w:szCs w:val="24"/>
        </w:rPr>
        <w:t xml:space="preserve">Ideological density is concentrated in the first volume. The Communist Party of China is named 31 times, Xi Jinping 18 times and the Chinese Dream 25 times. In the second volume the ideological vocabulary becomes diplomatic rather than doctrinal: “a community with a shared future for humanity” occurs nine times in the running text and also names a lesson, and China is presented as the country that champions the common values of all humankind.</w:t>
      </w:r>
    </w:p>
    <w:p>
      <w:pPr>
        <w:spacing w:after="120" w:before="120" w:line="360"/>
        <w:ind w:firstLine="284"/>
        <w:jc w:val="both"/>
      </w:pPr>
      <w:r>
        <w:rPr>
          <w:rFonts w:ascii="Times New Roman" w:cs="Times New Roman" w:eastAsia="Times New Roman" w:hAnsi="Times New Roman"/>
          <w:b w:val="false"/>
          <w:bCs w:val="false"/>
          <w:i w:val="false"/>
          <w:iCs w:val="false"/>
          <w:sz w:val="24"/>
          <w:szCs w:val="24"/>
        </w:rPr>
        <w:t xml:space="preserve">Religion is mentioned directly in only three places across the two volumes. It appears as an aspect of ethnic diversity within the principle of equality, as a security concern in the call to oppose terrorism carried out in the name of ethnicity and religion (Jiaoyubu, 2021, p. 98), and among the threats to peace as “religious conflicts”. The only belief tradition described in detail is the folk cult of Mazu, which is introduced, together with its temples, sacrifices and more than two hundred million adherents, as an important spiritual bond uniting Chinese at home and abroad, and pupils are asked what inspiration it offers for national reunification. Confucian sayings are quoted frequently, mostly without attribution, whereas the Analects, Mencius and the Book of Rites are named only a few times; their cosmological and ritual dimensions are left unexplained. Religious vocabulary is redirected towards secular objects: culture is the “soul” of a nation, ethnic unity is a “sacred duty” and the people’s “belief” gives the state its strength. In the final unit, the meaning of life is located in labour and service, the pupil’s destiny is tied to that of the nation, and the book closes with Liang Qichao’s words, which ascribe immortality to “young China” rather than to the individual.</w:t>
      </w:r>
    </w:p>
    <w:p>
      <w:pPr>
        <w:spacing w:after="0" w:before="40" w:line="276"/>
        <w:ind w:left="567"/>
        <w:jc w:val="both"/>
      </w:pPr>
      <w:r>
        <w:rPr>
          <w:rFonts w:ascii="Times New Roman" w:cs="Times New Roman" w:eastAsia="Times New Roman" w:hAnsi="Times New Roman"/>
          <w:i/>
          <w:iCs/>
          <w:color w:val="404040"/>
          <w:sz w:val="20"/>
          <w:szCs w:val="20"/>
        </w:rPr>
        <w:t xml:space="preserve">“尤其要坚决反对借民族和宗教之名搞暴力恐怖活动”</w:t>
      </w:r>
    </w:p>
    <w:p>
      <w:pPr>
        <w:spacing w:after="80" w:before="0" w:line="276"/>
        <w:ind w:left="567"/>
      </w:pPr>
      <w:r>
        <w:rPr>
          <w:rFonts w:ascii="Times New Roman" w:cs="Times New Roman" w:eastAsia="Times New Roman" w:hAnsi="Times New Roman"/>
          <w:color w:val="7F7F7F"/>
          <w:sz w:val="18"/>
          <w:szCs w:val="18"/>
        </w:rPr>
        <w:t xml:space="preserve">[Kontrol: DED_ÇİN VE YUNAN DERS KİTAPLARI_TARİH_DİN/9. sınıf_1. kitap_üst cilt_birinci dönem kitabı.pdf; PDF s. 103; basılı s. 98; birebir eşleşme: TAM]</w:t>
      </w:r>
    </w:p>
    <w:p>
      <w:pPr>
        <w:spacing w:after="120" w:before="120" w:line="360"/>
        <w:jc w:val="left"/>
      </w:pPr>
      <w:r>
        <w:rPr>
          <w:rFonts w:ascii="Times New Roman" w:cs="Times New Roman" w:eastAsia="Times New Roman" w:hAnsi="Times New Roman"/>
          <w:b/>
          <w:bCs/>
          <w:i w:val="false"/>
          <w:iCs w:val="false"/>
          <w:sz w:val="24"/>
          <w:szCs w:val="24"/>
        </w:rPr>
        <w:t xml:space="preserve">Discussion</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The findings show that the textbook grounds morality in a wholly immanent foundation made up of history, the nation, the Party, the constitution and a selectively inherited tradition. This accords with Turkish studies that describe the socialist and secular legal framework of Chinese education (Coşkun &amp; Çelikten, 2020, pp. 2987, 3004). The place of the Confucian heritage confirms the literature on its selective revival, in which Confucian teaching is reinterpreted so that its useful elements are emphasised and nothing conflicts with communist doctrine (Şevik, 2022, p. 64). The textbook, however, passes over the religious and cosmological dimensions of that tradition in silence.</w:t>
      </w:r>
    </w:p>
    <w:p>
      <w:pPr>
        <w:spacing w:after="0" w:before="40" w:line="276"/>
        <w:ind w:left="567"/>
        <w:jc w:val="both"/>
      </w:pPr>
      <w:r>
        <w:rPr>
          <w:rFonts w:ascii="Times New Roman" w:cs="Times New Roman" w:eastAsia="Times New Roman" w:hAnsi="Times New Roman"/>
          <w:i/>
          <w:iCs/>
          <w:color w:val="404040"/>
          <w:sz w:val="20"/>
          <w:szCs w:val="20"/>
        </w:rPr>
        <w:t xml:space="preserve">“Hem Çin Anayasa’sında hem de 1995 Eğitim Kanunu’nda yoğun bir biçimde sosyalist amaçlara hizmet etme vurgusu olduğu görülmektedir. Eğitimin sosyalist amaçlara hizmet etmesi gerektiği ile ilgili maddeler şunlardır: Sosyalist eğitimi geliştirmek için, devlet Marksizm-Leninizm, Mao Zedong Düşüncesi ve sosyalizmin Çin karakteriyle inşası teorilerini yol gösterici olarak korur ve Anayasa’nın temel ilkelerine uyar (madde 3).”</w:t>
      </w:r>
    </w:p>
    <w:p>
      <w:pPr>
        <w:spacing w:after="80" w:before="0" w:line="276"/>
        <w:ind w:left="567"/>
      </w:pPr>
      <w:r>
        <w:rPr>
          <w:rFonts w:ascii="Times New Roman" w:cs="Times New Roman" w:eastAsia="Times New Roman" w:hAnsi="Times New Roman"/>
          <w:color w:val="7F7F7F"/>
          <w:sz w:val="18"/>
          <w:szCs w:val="18"/>
        </w:rPr>
        <w:t xml:space="preserve">[Kontrol: KAYNAKÇA ESERLER/in Halk Cumhuriyeti Eğitim Sistemi.pdf; PDF s. 6; basılı s. 2987; birebir eşleşme: TAM]</w:t>
      </w:r>
    </w:p>
    <w:p>
      <w:pPr>
        <w:spacing w:after="0" w:before="40" w:line="276"/>
        <w:ind w:left="567"/>
        <w:jc w:val="both"/>
      </w:pPr>
      <w:r>
        <w:rPr>
          <w:rFonts w:ascii="Times New Roman" w:cs="Times New Roman" w:eastAsia="Times New Roman" w:hAnsi="Times New Roman"/>
          <w:i/>
          <w:iCs/>
          <w:color w:val="404040"/>
          <w:sz w:val="20"/>
          <w:szCs w:val="20"/>
        </w:rPr>
        <w:t xml:space="preserve">“Sosyalizmin yanısıra eğitimde laiklik vurgulanmaktadır. Eğitim Kanunu (1995) 8. maddeye göre, devlet eğitimi dinden ayırır. Herhangi bir kurum ya da kişi dini, devletin eğitim sistemini engelleyecek biçimde kullanamaz.”</w:t>
      </w:r>
    </w:p>
    <w:p>
      <w:pPr>
        <w:spacing w:after="80" w:before="0" w:line="276"/>
        <w:ind w:left="567"/>
      </w:pPr>
      <w:r>
        <w:rPr>
          <w:rFonts w:ascii="Times New Roman" w:cs="Times New Roman" w:eastAsia="Times New Roman" w:hAnsi="Times New Roman"/>
          <w:color w:val="7F7F7F"/>
          <w:sz w:val="18"/>
          <w:szCs w:val="18"/>
        </w:rPr>
        <w:t xml:space="preserve">[Kontrol: KAYNAKÇA ESERLER/in Halk Cumhuriyeti Eğitim Sistemi.pdf; PDF s. 23; basılı s. 3004; birebir eşleşme: TAM]</w:t>
      </w:r>
    </w:p>
    <w:p>
      <w:pPr>
        <w:spacing w:after="0" w:before="40" w:line="276"/>
        <w:ind w:left="567"/>
        <w:jc w:val="both"/>
      </w:pPr>
      <w:r>
        <w:rPr>
          <w:rFonts w:ascii="Times New Roman" w:cs="Times New Roman" w:eastAsia="Times New Roman" w:hAnsi="Times New Roman"/>
          <w:i/>
          <w:iCs/>
          <w:color w:val="404040"/>
          <w:sz w:val="20"/>
          <w:szCs w:val="20"/>
        </w:rPr>
        <w:t xml:space="preserve">“Mevcut haliyle Konfüçyüsçü öğreti uygulamada yarar sağlayacak ve kominist doktrinle çelişmeyecek kısımları vurgulanarak yeniden yorumlanarak halka sunulan bir öğreti halindedir ki bu durumun ne kadar sürdürülebileceği ya da toplumun kominist değerler ve konfüçyüsçü ahlak ilkeleri zemininde uzlaşmasının sağlanıp sağlanamayacağı ise ayrı bir tartışma konusu olarak belirsizliğini korumaktadır.”</w:t>
      </w:r>
    </w:p>
    <w:p>
      <w:pPr>
        <w:spacing w:after="80" w:before="0" w:line="276"/>
        <w:ind w:left="567"/>
      </w:pPr>
      <w:r>
        <w:rPr>
          <w:rFonts w:ascii="Times New Roman" w:cs="Times New Roman" w:eastAsia="Times New Roman" w:hAnsi="Times New Roman"/>
          <w:color w:val="7F7F7F"/>
          <w:sz w:val="18"/>
          <w:szCs w:val="18"/>
        </w:rPr>
        <w:t xml:space="preserve">[Kontrol: KAYNAKÇA ESERLER/Çin toplumu ve Konfüçyüsün ruhu.pdf; PDF s. 74; basılı s. 64; birebir eşleşme: TAM]</w:t>
      </w:r>
    </w:p>
    <w:p>
      <w:pPr>
        <w:spacing w:after="120" w:before="120" w:line="360"/>
        <w:ind w:firstLine="284"/>
        <w:jc w:val="both"/>
      </w:pPr>
      <w:r>
        <w:rPr>
          <w:rFonts w:ascii="Times New Roman" w:cs="Times New Roman" w:eastAsia="Times New Roman" w:hAnsi="Times New Roman"/>
          <w:b w:val="false"/>
          <w:bCs w:val="false"/>
          <w:i w:val="false"/>
          <w:iCs w:val="false"/>
          <w:sz w:val="24"/>
          <w:szCs w:val="24"/>
        </w:rPr>
        <w:t xml:space="preserve">From the perspective of religious education, the most striking feature is the transfer of religious patterns of language to secular objects. Belief, sacredness, soul and the “right path” are directed towards the legal order, national unity and socialism with Chinese characteristics. Read alongside the observation that socialism became a body of spiritual values for the Chinese people (Kişi, 2021, p. 87) and the remark by Peters (2017, p. 1303) on the transcendental force of “chosenness” in the Chinese Dream narrative, this pattern may be interpreted, cautiously, as a form of secular sacralisation or an implicit theology. The textbook makes no theological claim and never refers to God, revelation or the afterlife. Instead, it hands over certain social functions of religion, such as conferring sacredness, demanding devotion, offering exemplary figures and drawing a horizon of salvation, to the nation, the Party and the idea of national rejuvenation. The silence surrounding the religious identities of minorities should be read in the same light.</w:t>
      </w:r>
    </w:p>
    <w:p>
      <w:pPr>
        <w:spacing w:after="0" w:before="40" w:line="276"/>
        <w:ind w:left="567"/>
        <w:jc w:val="both"/>
      </w:pPr>
      <w:r>
        <w:rPr>
          <w:rFonts w:ascii="Times New Roman" w:cs="Times New Roman" w:eastAsia="Times New Roman" w:hAnsi="Times New Roman"/>
          <w:i/>
          <w:iCs/>
          <w:color w:val="404040"/>
          <w:sz w:val="20"/>
          <w:szCs w:val="20"/>
        </w:rPr>
        <w:t xml:space="preserve">“Her ne kadar başlangıç aşamasında sosyalist bilinç maddi boyutlar ile oluşturulmaya çalışılsa da ilerleyen dönemde Çin halkı için sosyalizm bir manevi değerler bütününe dönüşmüştür.”</w:t>
      </w:r>
    </w:p>
    <w:p>
      <w:pPr>
        <w:spacing w:after="80" w:before="0" w:line="276"/>
        <w:ind w:left="567"/>
      </w:pPr>
      <w:r>
        <w:rPr>
          <w:rFonts w:ascii="Times New Roman" w:cs="Times New Roman" w:eastAsia="Times New Roman" w:hAnsi="Times New Roman"/>
          <w:color w:val="7F7F7F"/>
          <w:sz w:val="18"/>
          <w:szCs w:val="18"/>
        </w:rPr>
        <w:t xml:space="preserve">[Kontrol: KAYNAKÇA ESERLER/DOKTORA_Çin milliyetçiliğinin sosyalizm ekseninde yükselişi.pdf; PDF s. 98; basılı s. 87; birebir eşleşme: TAM]</w:t>
      </w:r>
    </w:p>
    <w:p>
      <w:pPr>
        <w:spacing w:after="0" w:before="40" w:line="276"/>
        <w:ind w:left="567"/>
        <w:jc w:val="both"/>
      </w:pPr>
      <w:r>
        <w:rPr>
          <w:rFonts w:ascii="Times New Roman" w:cs="Times New Roman" w:eastAsia="Times New Roman" w:hAnsi="Times New Roman"/>
          <w:i/>
          <w:iCs/>
          <w:color w:val="404040"/>
          <w:sz w:val="20"/>
          <w:szCs w:val="20"/>
        </w:rPr>
        <w:t xml:space="preserve">“Like Rorty, and the construction of the American Dream, the accent is on the transcendental force of ‘chosenness’ that elevates the dream to talk in the name of humanity itself. The difference between Xi and Rorty is that where Xi turns to the historical trace of humiliation as a spur to future nation building, Rorty returns to a narrative strategy of ‘national pride’, democracy and pragmatic self-improvement. Both enjoy the resources of ‘rejuvenation’ of past glories.”</w:t>
      </w:r>
    </w:p>
    <w:p>
      <w:pPr>
        <w:spacing w:after="80" w:before="0" w:line="276"/>
        <w:ind w:left="567"/>
      </w:pPr>
      <w:r>
        <w:rPr>
          <w:rFonts w:ascii="Times New Roman" w:cs="Times New Roman" w:eastAsia="Times New Roman" w:hAnsi="Times New Roman"/>
          <w:color w:val="7F7F7F"/>
          <w:sz w:val="18"/>
          <w:szCs w:val="18"/>
        </w:rPr>
        <w:t xml:space="preserve">[Kontrol: DED_ÇİN VE YUNAN DERS KİTAPLARI_TARİH_DİN/The Chinese Dream  Xi Jinping thought on Socialism with.pdf; PDF s. 6; basılı s. 1303; birebir eşleşme: TAM]</w:t>
      </w:r>
      <w:r>
        <w:rPr>
          <w:rFonts w:ascii="Times New Roman" w:cs="Times New Roman" w:eastAsia="Times New Roman" w:hAnsi="Times New Roman"/>
          <w:color w:val="7F7F7F"/>
          <w:sz w:val="18"/>
          <w:szCs w:val="18"/>
        </w:rPr>
        <w:t xml:space="preserve">  Yardımcı Türkçe karşılık (yapay zekâ çevirisi; yazarca denetlenmeli): Rorty’de ve Amerikan Rüyası’nın inşasında olduğu gibi vurgu, rüyayı bizzat insanlık adına konuşma düzeyine yükselten ‘seçilmişlik’in aşkın gücü üzerindedir. Xi ile Rorty arasındaki fark şudur: Xi, aşağılanmanın tarihsel izini gelecekteki ulus inşası için bir dürtü olarak kullanırken, Rorty ‘ulusal gurur’, demokrasi ve pragmatik kendini geliştirme şeklindeki bir anlatı stratejisine döner. Her ikisi de geçmiş ihtişamın ‘yeniden canlandırılması’ kaynaklarından yararlanır.</w:t>
      </w:r>
    </w:p>
    <w:p>
      <w:pPr>
        <w:spacing w:after="120" w:before="120" w:line="360"/>
        <w:ind w:firstLine="284"/>
        <w:jc w:val="both"/>
      </w:pPr>
      <w:r>
        <w:rPr>
          <w:rFonts w:ascii="Times New Roman" w:cs="Times New Roman" w:eastAsia="Times New Roman" w:hAnsi="Times New Roman"/>
          <w:b w:val="false"/>
          <w:bCs w:val="false"/>
          <w:i w:val="false"/>
          <w:iCs w:val="false"/>
          <w:sz w:val="24"/>
          <w:szCs w:val="24"/>
        </w:rPr>
        <w:t xml:space="preserve">A comparison with Türkiye shows that the principal difference lies in the foundation of morality. Whereas in Türkiye moral education is delivered within the subject of Religious Culture and Ethics, together with religious culture, the Chinese textbook grounds the same virtues, such as filial piety, respect for elders, mutual aid and honesty, in national tradition and socialist values. Both systems nonetheless share the transmission of values through classical maxims, exemplary figures, and the presentation of national unity and patriotism as moral duties. Such points of contact, however, do not justify direct transfers that ignore the cultural and social differences between the two countries.</w:t>
      </w:r>
    </w:p>
    <w:p>
      <w:pPr>
        <w:spacing w:after="120" w:before="120" w:line="360"/>
        <w:ind w:firstLine="284"/>
        <w:jc w:val="both"/>
      </w:pPr>
      <w:r>
        <w:rPr>
          <w:rFonts w:ascii="Times New Roman" w:cs="Times New Roman" w:eastAsia="Times New Roman" w:hAnsi="Times New Roman"/>
          <w:b w:val="false"/>
          <w:bCs w:val="false"/>
          <w:i w:val="false"/>
          <w:iCs w:val="false"/>
          <w:sz w:val="24"/>
          <w:szCs w:val="24"/>
        </w:rPr>
        <w:t xml:space="preserve">The study recommends extending the analysis to the Grade 7 and 8 textbooks, investigating through fieldwork how teachers and pupils engage with this moral language, and comparing Turkish and Chinese textbooks on the same values.</w:t>
      </w:r>
    </w:p>
    <w:sectPr>
      <w:footerReference w:type="default" r:id="rId7"/>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2026-10-29T13:08:11.278Z</dcterms:created>
  <dcterms:modified xsi:type="dcterms:W3CDTF">2026-10-29T13:08:11.278Z</dcterms:modified>
</cp:coreProperties>
</file>

<file path=docProps/custom.xml><?xml version="1.0" encoding="utf-8"?>
<Properties xmlns="http://schemas.openxmlformats.org/officeDocument/2006/custom-properties" xmlns:vt="http://schemas.openxmlformats.org/officeDocument/2006/docPropsVTypes"/>
</file>