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line="360"/>
        <w:jc w:val="center"/>
      </w:pPr>
      <w:r>
        <w:rPr>
          <w:rFonts w:ascii="Times New Roman" w:cs="Times New Roman" w:eastAsia="Times New Roman" w:hAnsi="Times New Roman"/>
          <w:b/>
          <w:bCs/>
          <w:i w:val="false"/>
          <w:iCs w:val="false"/>
          <w:sz w:val="24"/>
          <w:szCs w:val="24"/>
        </w:rPr>
        <w:t xml:space="preserve">Yazara Notlar (gönderimden önce bu bölümü siliniz)</w:t>
      </w:r>
    </w:p>
    <w:p>
      <w:pPr>
        <w:spacing w:after="60" w:before="60" w:line="300"/>
        <w:jc w:val="both"/>
      </w:pPr>
      <w:r>
        <w:rPr>
          <w:rFonts w:ascii="Times New Roman" w:cs="Times New Roman" w:eastAsia="Times New Roman" w:hAnsi="Times New Roman"/>
          <w:b w:val="false"/>
          <w:bCs w:val="false"/>
          <w:i w:val="false"/>
          <w:iCs w:val="false"/>
          <w:sz w:val="20"/>
          <w:szCs w:val="20"/>
        </w:rPr>
        <w:t xml:space="preserve">Bu nüsha, makaledeki her atfın dayandığı özgün metni paragrafın hemen altında gösteren kontrol nüshasıdır. Özgün metinler italik, tırnak içinde ve soldan 1 cm girintilidir; altlarındaki gri satırda dosyanın Drive’daki klasörü ve adı, PDF sayfası, basılı sayfa ve birebir eşleşme durumu yer alır. Dergiye gönderilecek temiz metin “Yazar Versiyonu” adlı ayrı dosyadadır.</w:t>
      </w:r>
    </w:p>
    <w:p>
      <w:pPr>
        <w:spacing w:after="120" w:before="120" w:line="360"/>
      </w:pPr>
      <w:r>
        <w:rPr>
          <w:rFonts w:ascii="Times New Roman" w:cs="Times New Roman" w:eastAsia="Times New Roman" w:hAnsi="Times New Roman"/>
          <w:b/>
          <w:bCs/>
          <w:i w:val="false"/>
          <w:iCs w:val="false"/>
          <w:sz w:val="24"/>
          <w:szCs w:val="24"/>
        </w:rPr>
        <w:t xml:space="preserve">Atıf Biçimi</w:t>
      </w:r>
    </w:p>
    <w:p>
      <w:pPr>
        <w:spacing w:after="60" w:before="60" w:line="300"/>
        <w:jc w:val="both"/>
      </w:pPr>
      <w:r>
        <w:rPr>
          <w:rFonts w:ascii="Times New Roman" w:cs="Times New Roman" w:eastAsia="Times New Roman" w:hAnsi="Times New Roman"/>
          <w:b w:val="false"/>
          <w:bCs w:val="false"/>
          <w:i w:val="false"/>
          <w:iCs w:val="false"/>
          <w:sz w:val="20"/>
          <w:szCs w:val="20"/>
        </w:rPr>
        <w:t xml:space="preserve">Kalıcı çalışma ilkelerinizde ISNAD 2. edisyon belirtilmiş olmakla birlikte, Değerler Eğitimi Dergisi yazım kuralları metin içi atıf ve kaynakçada APA 7 istediği için bu makalede APA 7 uygulanmıştır. Dergi kurallarına göre doğrudan alıntılar 11 punto ve girintili, italiksiz ve tırnaksız yazılır; kontrol nüshasındaki italik ve tırnaklı bloklar yalnızca denetim içindir ve temiz nüshada yer almaz.</w:t>
      </w:r>
    </w:p>
    <w:p>
      <w:pPr>
        <w:spacing w:after="120" w:before="120" w:line="360"/>
      </w:pPr>
      <w:r>
        <w:rPr>
          <w:rFonts w:ascii="Times New Roman" w:cs="Times New Roman" w:eastAsia="Times New Roman" w:hAnsi="Times New Roman"/>
          <w:b/>
          <w:bCs/>
          <w:i w:val="false"/>
          <w:iCs w:val="false"/>
          <w:sz w:val="24"/>
          <w:szCs w:val="24"/>
        </w:rPr>
        <w:t xml:space="preserve">Doğrulama Usulü</w:t>
      </w:r>
    </w:p>
    <w:p>
      <w:pPr>
        <w:spacing w:after="60" w:before="60" w:line="300"/>
        <w:jc w:val="both"/>
      </w:pPr>
      <w:r>
        <w:rPr>
          <w:rFonts w:ascii="Times New Roman" w:cs="Times New Roman" w:eastAsia="Times New Roman" w:hAnsi="Times New Roman"/>
          <w:b w:val="false"/>
          <w:bCs w:val="false"/>
          <w:i w:val="false"/>
          <w:iCs w:val="false"/>
          <w:sz w:val="20"/>
          <w:szCs w:val="20"/>
        </w:rPr>
        <w:t xml:space="preserve">Makaledeki her alıntı ve her atıf, kaynağın PDF metninde betikle birebir aranmış; bulunamayan, sayfası tutmayan ya da eser sahibinin başka bir kaynaktan aktardığı bilgi olarak işaretlenen hiçbir pasaj kullanılmamıştır. Ders kitabından yapılan alıntılar da kitabın metninde birebir doğrulanmış, basılı sayfa numarası PDF sayfa sırasının beş eksiği olarak hesaplanıp sayfa altlıklarından teyit edilmiştir. Ayrıca bağımsız denetçiler her atfın eser sahibinin kendi görüşü olup olmadığını, basılı sayfayı ve makaledeki cümlenin kaynağı doğru yansıtıp yansıtmadığını ayrı ayrı sınamıştır. Bu denetimlerde ders kitabından yapılan 71 alıntı ile kaynaklara yapılan 62 atıf tek tek incelenmiş, sonuçlar aşağıdaki biçimde metne işlenmiştir.</w:t>
      </w:r>
    </w:p>
    <w:p>
      <w:pPr>
        <w:spacing w:after="120" w:before="120" w:line="360"/>
      </w:pPr>
      <w:r>
        <w:rPr>
          <w:rFonts w:ascii="Times New Roman" w:cs="Times New Roman" w:eastAsia="Times New Roman" w:hAnsi="Times New Roman"/>
          <w:b/>
          <w:bCs/>
          <w:i w:val="false"/>
          <w:iCs w:val="false"/>
          <w:sz w:val="24"/>
          <w:szCs w:val="24"/>
        </w:rPr>
        <w:t xml:space="preserve">Denetim Sonucunda Yapılan Değişiklikler</w:t>
      </w:r>
    </w:p>
    <w:p>
      <w:pPr>
        <w:spacing w:after="60" w:before="60" w:line="300"/>
        <w:jc w:val="both"/>
      </w:pPr>
      <w:r>
        <w:rPr>
          <w:rFonts w:ascii="Times New Roman" w:cs="Times New Roman" w:eastAsia="Times New Roman" w:hAnsi="Times New Roman"/>
          <w:b w:val="false"/>
          <w:bCs w:val="false"/>
          <w:i w:val="false"/>
          <w:iCs w:val="false"/>
          <w:sz w:val="20"/>
          <w:szCs w:val="20"/>
        </w:rPr>
        <w:t xml:space="preserve">Kaynak atıfları:</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Eser sahibinin başka kaynaklardan aktardığı bilgiye dayandığı anlaşılan atıflar metinden çıkarılmıştır: Aimaiti (2023) tezinden ortaokul ders listesi (s. 87) ile Türkiye’de Din Kültürü ve Ahlak Bilgisi dersinin okutulduğu sınıflar ve seçmeli dersler (s. 63, 88); Coşkun ve Çelikten’den (2020) okulların parti sekreterleri aracılığıyla takibi (s. 2998; Bakioğlu ve Özcan 2014’ten aktarma); Wang ve Peters’tan (2023) Marksizm ile geleneksel kültürün derin bütünleşmesi (s. 882; Guo 2014’e dayanıyor); C. Aydın’dan (2022) Çin düşüncesinin eklektik ve hümanist yapısı (s. 99; Störing 2000’e dayanıyor); Gökenç Gülez’den (2023) ebeveynlerin klasik eğitim tercihi (s. 325; Wang’ın bulgusunun özeti). Liao ve Liu’nun (2020, s. 25) aktardığı 2016 bakanlık düzenlemesi ile Türkiye’deki ders çizelgesi bilgisi metinde tutulmuş, fakat birincil belge gösterilmek üzere “SAĞLANAN BELGELERDE KAYNAK BULUNAMADI” ibaresiyle işaretlenmiştir. Liao ve Liu bu nedenle kaynakçadan çıkmıştır.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Özgün mü aktarma mı olduğu kesin olarak ayırt edilemeyen ifadeler ihtiyaten çıkarılmış ya da eser sahibinin aynı eserdeki açıkça kendine ait bir ifadesiyle değiştirilmiştir. Parlakyiğit (2020, s. 44; paragraf sonundaki Çifçi 2015 dipnotu bütün paragrafı kapsıyor olabilir) ile Aksoy (2025, s. 71; Rezepa 2025’e dayanıyor olabilir) çıkarılmış ve kaynakçadan düşmüştür. Yeniacun’un “model birey” tespiti (s. 205; Tanrısevdi ve Kıral’dan aktarılmış olabilir) çıkarılmıştır. Gökenç Gülez’in 2000’li yıllara ilişkin cümlesi (s. 321) yerine Sonuç’taki kendi değerlendirmesi (s. 325), Şevik’in “niyetli görünmektedir” cümlesi yerine “Kanımızca” diye başlayan kendi kanaati (s. 54), Tuncer’in “nesil” cümlesi (s. 2268; Kul 2017’den aktarılmış olabilir) yerine Sonuç’taki kendi değerlendirmesi (s. 2269) kullanılmıştır. Bu kararlar ihtiyat gereği alınmıştır; ilgili eserleri görüp özgün olduklarını teyit ederseniz geri eklenebilirler.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Kaynağı tam yansıtmadığı belirlenen cümleler düzeltilmiştir: “sınav cehennemi” nitelemesinin dayandığı sınav zinciri; Tanrısevdi ve Kıral’ın yorumunun kanunlarda sayılan amaçlara dayandığı ve “iyi eğitimli” unsuru; Yeniacun’un “giderek azalarak da olsa” kaydı; Coşkun ve Çelikten’in sınırlılık ve öneri cümlesi; Sun’un “iyi öğretim stratejisi” kaydı; Gao’nun yabancılaşma nitelemesinin kapsamı; J. Zhang’ın “devletçe birleştirilmiş” ve “üstün geleneksel kültür” ifadeleri; Ametbek’in “belki de” ihtiyatı ve Parti tüzüğüne dayanan yorumu; Ma’nın dini de imparator otoritesine tabi sayan açıklaması ve çifte kimliği cami eğitimi ile Han kitap hareketine birlikte bağlaması; Hsu’nun demokratik ülkeler kaydı; Kişi’nin yorumunun Zhang ve Ong’dan hareket ettiği; Li ve Li’nin beş ilkeye ilişkin kendi değerlendirmesi; Karacadagli’nin kaynak göstermeden yaptığı ifadeye ihtiyat kaydı; Peters’ın tespitinin Amerikan Rüyası ile karşılaştırma içinde yapıldığı.</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Eser sahibinin kendi değerlendirmesi olmakla birlikte başka bir belgeye de yaslanan karma nitelikli atıflar, eser sahibinin değerlendirmesi olarak çerçevelenerek bırakılmıştır: Aimaiti (2023, s. 97; 6+3 bilgisi tezin kavramsal çerçevesinde Yan 2016 ve GOV 2006’ya dayanır ve orada bazı bölgelerde 5+4 düzeninin uygulandığı da belirtilir), Coşkun ve Çelikten (2020, s. 2987, 3004; Anayasa ve 1995 Eğitim Kanunu maddelerine dayanan değerlendirmeler), Tanrısevdi ve Kıral (s. 225; kanun ve bakanlık belgelerine dayanan yorum), Li ve Li (2022, s. 8), Kişi (2021, s. 87). Kuralınız gereği bunları ayrıca tartmanız, gerekirse birincil belgeyle desteklemeniz önerilir.</w:t>
      </w:r>
    </w:p>
    <w:p>
      <w:pPr>
        <w:spacing w:after="60" w:before="60" w:line="300"/>
        <w:jc w:val="both"/>
      </w:pPr>
      <w:r>
        <w:rPr>
          <w:rFonts w:ascii="Times New Roman" w:cs="Times New Roman" w:eastAsia="Times New Roman" w:hAnsi="Times New Roman"/>
          <w:b w:val="false"/>
          <w:bCs w:val="false"/>
          <w:i w:val="false"/>
          <w:iCs w:val="false"/>
          <w:sz w:val="20"/>
          <w:szCs w:val="20"/>
        </w:rPr>
        <w:t xml:space="preserve">Ders kitabı alıntıları:</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Görüş balonu ya da ek okuma kutusunda yer alan ifadeler kitabın kendi hükmü gibi sunulmaktan çıkarılmıştır: Maddi zenginlik ve mutluluk cümlesi bir forum etkinliğindeki internet kullanıcısı görüşü olarak, “dünyanın kaderi” sözü Xi Jinping’in 2014 tarihli röportajından aktarılan bir söz olarak, 《礼记·礼运》 pasajı dersin açılışı değil bir “İlgili Bağlantı” kutusu olarak verilmiştir.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Bağlamın ötesine geçen yorumlar daraltılmıştır: Wu Mengchao’ya ilişkin “seküler ölümsüzleşme” yorumu çıkarılmıştır (adlandırma 2010’da, Wu hayattayken ve bir yenilik dersi içinde verilir). Tao Yuanming şiirinin “insan ile doğanın uyumu” başlığı altında okutulduğu belirtilmiştir. “Temellendirilmeden” ifadesi yerine kitabın sunduğu millî ve tarihî farklılık gerekçesi yazılmıştır. “Kültür geni” yorumuna kitabın uygulama vurgusu eklenmiştir. “İbadete yer verilmez” hükmü Mazu pasajı ve 2010 Yushu depremi için “bereket dileme” bilgisiyle sınırlandırılmıştır. Hayatın anlamına verilen cevapların bireysel gelişimi de içerdiği eklenmiştir.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Çeviri düzeltmeleri: 自觉遵守者 “bilinçli riayet eden”, 注定…必然坚守 “kaçınılmaz kıldığı”, 社会主义建设者 “inşacısı”, 民族团结 “etnik gruplar (milletler) arasındaki birlik”, 社稷 “(yani devlet)”, 自信 “özgüven”, 牺牲 “şehit düşmek”. 《礼记》 sözünün ikinci yarısı ile 文明古国 cümlesindeki “kalkınma” ve “giderek daha önemli rol” unsurları eklenmiştir.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Sayım ifadeleri netleştirilmiştir: Üst ciltteki 141 法治 geçişinin 134’ü ikinci ünitededir; alt ciltte 人类命运共同体 akan metinde dokuz kez geçer, onuncu geçiş bir ders başlığıdır.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Alt cildin 2022 basımı 2020 ve 2021 yıllarına ait veriler içerdiğinden kaynakçaya basım bilgisi eklenmiş ve Veri Kaynağı bölümünde belirtilmiştir.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“Soruların çoğu yönlendirilmiştir” ifadesi nicel olarak sınanmadığı için “incelenen örneklerde çoğu zaman” biçiminde yumuşatılmıştır.</w:t>
      </w:r>
    </w:p>
    <w:p>
      <w:pPr>
        <w:spacing w:after="120" w:before="120" w:line="360"/>
      </w:pPr>
      <w:r>
        <w:rPr>
          <w:rFonts w:ascii="Times New Roman" w:cs="Times New Roman" w:eastAsia="Times New Roman" w:hAnsi="Times New Roman"/>
          <w:b/>
          <w:bCs/>
          <w:i w:val="false"/>
          <w:iCs w:val="false"/>
          <w:sz w:val="24"/>
          <w:szCs w:val="24"/>
        </w:rPr>
        <w:t xml:space="preserve">Yazar Tarafından Tamamlanması Gerekenler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Başlıktaki yıldız dipnotu: Çalışmanın bir tez, proje ya da bildiriden üretilip üretilmediği bilgisi.</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Yöntem bölümü: Doküman incelemesi ve nitel içerik analizine dair yöntem kaynağı sağlanan belgelerde bulunamadı; uygun kaynak eklenmelidir.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Yöntem bölümü: Kodlamanın geçerlik ve güvenirliğine ilişkin tedbirler (kodlamayı kimin yaptığı, ikinci kodlayıcı veya uzman görüşü, uyuşum hesabı) yazılmalıdır. Bu bilgiler tarafımdan bilinemez.</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Tartışma bölümü: “Örtük ilahiyat” ve seküler kutsallaştırma yorumunu temellendirecek kuramsal kaynak (ör. sivil din ve işlevsel din tanımları) sağlanan belgelerde bulunamadı.</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Tartışma bölümü: Türkiye’deki Din Kültürü ve Ahlak Bilgisi öğretim programının ahlakı temellendirme biçimine dair birincil kaynak (öğretim programı ya da ders kitabı) sağlanan belgelerde bulunamadı.</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Tartışma bölümü: Din Kültürü ve Ahlak Bilgisi dersinin okutulduğu sınıflar ve seçmeli dersler için MEB haftalık ders çizelgesi gösterilmelidir.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Giriş bölümü: 2016’daki adlandırma değişikliği için 教育部办公厅关于2016年中小学教学用书有关事项的通知 (教基二厅函〔2016〕12号) belgesi gösterilmelidir.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Çince pasajların Türkçe karşılıkları tarafımdan yapılmıştır; Yöntem bölümünde “araştırmacıya aittir” denildiği için her birinin sizin tarafınızdan gözden geçirilmesi gerekir. Kontrol bloklarındaki “yardımcı Türkçe karşılık” ibaresini taşıyan çeviriler de yapay zekâ çevirisidir.</w:t>
      </w:r>
    </w:p>
    <w:p>
      <w:pPr>
        <w:spacing w:after="120" w:before="120" w:line="360"/>
      </w:pPr>
      <w:r>
        <w:rPr>
          <w:rFonts w:ascii="Times New Roman" w:cs="Times New Roman" w:eastAsia="Times New Roman" w:hAnsi="Times New Roman"/>
          <w:b/>
          <w:bCs/>
          <w:i w:val="false"/>
          <w:iCs w:val="false"/>
          <w:sz w:val="24"/>
          <w:szCs w:val="24"/>
        </w:rPr>
        <w:t xml:space="preserve">Belgede Görülemeyen Künye Bilgileri</w:t>
      </w:r>
    </w:p>
    <w:p>
      <w:pPr>
        <w:spacing w:after="60" w:before="60" w:line="300"/>
        <w:jc w:val="both"/>
      </w:pPr>
      <w:r>
        <w:rPr>
          <w:rFonts w:ascii="Times New Roman" w:cs="Times New Roman" w:eastAsia="Times New Roman" w:hAnsi="Times New Roman"/>
          <w:b w:val="false"/>
          <w:bCs w:val="false"/>
          <w:i w:val="false"/>
          <w:iCs w:val="false"/>
          <w:sz w:val="20"/>
          <w:szCs w:val="20"/>
        </w:rPr>
        <w:t xml:space="preserve">Aşağıdaki alanlar PDF dosyalarının üzerinde görülemediği için kaynakçada büyük harfle işaretlenmiştir. Bunları tahmin etmedim; veri tabanından (YÖK Ulusal Tez Merkezi, DergiPark, CNKI) teyit ederek doldurmanız gerekir.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Tanrısevdi ve Kıral: yayın yılı belgede basılı değil; yalnızca 11 Aralık 2018 gönderim ve 27 Aralık 2018 kabul tarihleri görülüyor. Aimaiti (2023) ve Yeniacun bu esere 2018 yılıyla atıf yapıyor; yıl bu ipucuna dayanılarak doldurulmamıştır, dergiden teyit ediniz. DOI görülemedi.</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Yeniacun: yayın yılı görülemedi.</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张娟凤 (J. Zhang): dergi adı, yıl, cilt ve sayı görülemedi.</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高德胜 (Gao): yayın yılı ve sayfa aralığı görülemedi; dosya yeniden dizilmiş bir Word kopyası olduğu için basılı sayfa numarası yoktur.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孙彩平 (Sun): cilt ve sayfa aralığı görülemedi; dosyada basılı sayfa numarası yoktur. Sun ve Gao atıflarında sayfa yerine “[SAYFA GÖRÜLEMEDİ]” yazılmıştır; özgün dergi sayfasına ulaşılamazsa APA 7 paragraf numarası verilmesine izin verir (ör. Sun, 2019, para. 2; Gao, Giriş, para. 2 ve Sonuç, para. 3).</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Tezlerin hepsinde veri tabanı adı ve tez numarası görülemedi; APA 7 gereği eklenmesi önerilir. Terzi (2024) tezinde “Ulusal Tez Merkezi Referans No. 10676369” ibaresi görülüyor.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Adilijiang (2019): kapakta “AIERKEN ADILIJIANG” yazıyor; hangi öğenin soyadı olduğu belgede belirtilmemiş.</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Tuncer (2021): sayfa altlarındaki numaralar 2262–2272, makalenin kendi atıf satırı ise 2268–2278 diyor.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Çince eserlerde yazar adlarının Latin harfli yazımı ve Türkçe başlık çevirileri belgede yoktur; tarafımdan eklenmiştir.</w:t>
      </w:r>
    </w:p>
    <w:p>
      <w:pPr>
        <w:spacing w:after="120" w:before="120" w:line="360"/>
      </w:pPr>
      <w:r>
        <w:rPr>
          <w:rFonts w:ascii="Times New Roman" w:cs="Times New Roman" w:eastAsia="Times New Roman" w:hAnsi="Times New Roman"/>
          <w:b/>
          <w:bCs/>
          <w:i w:val="false"/>
          <w:iCs w:val="false"/>
          <w:sz w:val="24"/>
          <w:szCs w:val="24"/>
        </w:rPr>
        <w:t xml:space="preserve">Dergi Kurallarına İlişkin Notlar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Ana metin (Giriş, Yöntem, Bulgular, Tartışma) yaklaşık 5.679 kelime, İngilizce genişletilmiş özet yaklaşık 1.580 kelimedir (atıflar dâhil); dergi sınırı kaynakça ve öz hariç 8.000 kelime, genişletilmiş özet için 1.500 kelimedir.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Öz 199, Abstract 199 kelimedir (dergi 200 kelime istemektedir).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İngilizce genişletilmiş özet kaynakçadan sonra yerleştirilmiştir; derginin şablonunda farklı bir yer öngörülüyorsa taşınmalıdır.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Tablolar dergi kuralına uygun olarak başlığı ilk hücreye yazılmış, tek satır aralıklı ve 10 punto hazırlanmıştır; derginin ayrı tablo şablonu (journal-file/13059) ağ kısıtı nedeniyle indirilemediği için şablonla karşılaştırılmalıdır.</w:t>
      </w:r>
    </w:p>
    <w:p>
      <w:pPr>
        <w:spacing w:after="40" w:before="40" w:line="300"/>
        <w:ind w:left="567" w:hanging="227"/>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Kaynakça yalnızca metinde atıf yapılan eserlerden otomatik olarak üretilmiştir; metindeki her atfın kaynakçada, kaynakçadaki her eserin metinde karşılığı vardır.</w:t>
      </w:r>
    </w:p>
    <w:p>
      <w:r>
        <w:br w:type="page"/>
      </w:r>
    </w:p>
    <w:p>
      <w:pPr>
        <w:spacing w:after="120" w:before="120" w:line="360"/>
        <w:jc w:val="center"/>
      </w:pPr>
      <w:r>
        <w:rPr>
          <w:rFonts w:ascii="Times New Roman" w:cs="Times New Roman" w:eastAsia="Times New Roman" w:hAnsi="Times New Roman"/>
          <w:b/>
          <w:bCs/>
          <w:i w:val="false"/>
          <w:iCs w:val="false"/>
          <w:sz w:val="24"/>
          <w:szCs w:val="24"/>
        </w:rPr>
        <w:t xml:space="preserve">Çin Eğitim Sisteminde Ahlak ve Hukuk Eğitimi: 9. Sınıf Ders Kitaplarının İçerik Analizi</w:t>
      </w:r>
      <w:r>
        <w:rPr>
          <w:rStyle w:val="FootnoteReference"/>
        </w:rPr>
        <w:footnoteReference w:id="1"/>
      </w:r>
    </w:p>
    <w:p>
      <w:pPr>
        <w:spacing w:after="120" w:before="120" w:line="360"/>
      </w:pPr>
      <w:r>
        <w:rPr>
          <w:rFonts w:ascii="Times New Roman" w:cs="Times New Roman" w:eastAsia="Times New Roman" w:hAnsi="Times New Roman"/>
          <w:b/>
          <w:bCs/>
          <w:i w:val="false"/>
          <w:iCs w:val="false"/>
          <w:sz w:val="20"/>
          <w:szCs w:val="20"/>
        </w:rPr>
        <w:t xml:space="preserve">Öz:</w:t>
      </w:r>
    </w:p>
    <w:p>
      <w:pPr>
        <w:spacing w:after="120" w:before="120" w:line="360"/>
        <w:jc w:val="both"/>
      </w:pPr>
      <w:r>
        <w:rPr>
          <w:rFonts w:ascii="Times New Roman" w:cs="Times New Roman" w:eastAsia="Times New Roman" w:hAnsi="Times New Roman"/>
          <w:b w:val="false"/>
          <w:bCs w:val="false"/>
          <w:i w:val="false"/>
          <w:iCs w:val="false"/>
          <w:sz w:val="20"/>
          <w:szCs w:val="20"/>
        </w:rPr>
        <w:t xml:space="preserve">Bu araştırmanın amacı, Çin Halk Cumhuriyeti’nde zorunlu eğitimin son yılında okutulan 9. sınıf Ahlak ve Hukuk (道德与法治) ders kitabının iki cildini değerler eğitimi ve din eğitimi bakış açısıyla incelemektir. Nitel araştırma yaklaşımıyla doküman incelemesine dayanan çalışmada kitabın özgün Çince metni değerler, hukuk ve yurttaşlık, ideolojik çerçeve ile din, inanç ve gelenek kategorileri etrafında içerik analizine tabi tutulmuştur. Bulgular, kitabın ahlakı tarih, millet, Çin Komünist Partisi, anayasa ve seçilerek devralınmış gelenek üzerine kurduğunu ve aşkın bir dayanağa başvurmadığını göstermektedir. Sosyalist çekirdek değerler doğruyu ve yanlışı değerlendirme ölçütü olarak sunulmakta, vatanseverlik Parti ve sosyalizm sevgisiyle özdeşleştirilmektedir. Din kitapta yalnızca üç yerde doğrudan anılmakta; eşitlik, güvenlik ve dinî çatışma bağlamlarında yer almaktadır. Bir halk inancı olan Mazu kültürü ise millî birliğe hizmet eden bir mânevî bağ olarak tanıtılmaktadır. Konfüçyüsçü özdeyişler çoğu zaman kaynağı belirtilmeden ahlaki ve siyasi vecizeler olarak sıkça kullanılmakta, fakat kozmolojik ve ritüel boyutlarından arındırılmaktadır. İnanç, kutsallık, ruh ve kader gibi dinî kavramlar ise hukuk düzenine, millî birliğe ve Çin’e özgü sosyalizme yöneltilmektedir. Son ünitede hayatın anlamı emek ve hizmetle tanımlanmakta, bireyin kaderi milletin kaderine bağlanmaktadır. Çalışma bu örüntünün din eğitimi bakımından bir seküler kutsallaştırma biçimi olarak okunabileceğini tartışmakta, Türkiye ile kısa bir karşılaştırma sunmakta ve ileri araştırmalar için öneriler getirmektedir.</w:t>
      </w:r>
    </w:p>
    <w:p>
      <w:pPr>
        <w:spacing w:after="120" w:before="120" w:line="360"/>
      </w:pPr>
      <w:r>
        <w:rPr>
          <w:rFonts w:ascii="Times New Roman" w:cs="Times New Roman" w:eastAsia="Times New Roman" w:hAnsi="Times New Roman"/>
          <w:b/>
          <w:bCs/>
          <w:sz w:val="20"/>
          <w:szCs w:val="20"/>
        </w:rPr>
        <w:t xml:space="preserve">Anahtar Kelimeler:</w:t>
      </w:r>
      <w:r>
        <w:rPr>
          <w:rFonts w:ascii="Times New Roman" w:cs="Times New Roman" w:eastAsia="Times New Roman" w:hAnsi="Times New Roman"/>
          <w:sz w:val="20"/>
          <w:szCs w:val="20"/>
        </w:rPr>
        <w:t xml:space="preserve"> Değerler eğitimi, din eğitimi, ahlak ve hukuk, ders kitabı, Çin</w:t>
      </w:r>
    </w:p>
    <w:p>
      <w:pPr>
        <w:spacing w:after="120" w:before="360" w:line="360"/>
        <w:jc w:val="center"/>
      </w:pPr>
      <w:r>
        <w:rPr>
          <w:rFonts w:ascii="Times New Roman" w:cs="Times New Roman" w:eastAsia="Times New Roman" w:hAnsi="Times New Roman"/>
          <w:b/>
          <w:bCs/>
          <w:i w:val="false"/>
          <w:iCs w:val="false"/>
          <w:sz w:val="24"/>
          <w:szCs w:val="24"/>
        </w:rPr>
        <w:t xml:space="preserve">Moral and Legal Education in the Chinese Education System: A Content Analysis of Grade 9 Textbooks</w:t>
      </w:r>
    </w:p>
    <w:p>
      <w:pPr>
        <w:spacing w:after="120" w:before="120" w:line="360"/>
      </w:pPr>
      <w:r>
        <w:rPr>
          <w:rFonts w:ascii="Times New Roman" w:cs="Times New Roman" w:eastAsia="Times New Roman" w:hAnsi="Times New Roman"/>
          <w:b/>
          <w:bCs/>
          <w:i w:val="false"/>
          <w:iCs w:val="false"/>
          <w:sz w:val="20"/>
          <w:szCs w:val="20"/>
        </w:rPr>
        <w:t xml:space="preserve">Abstract:</w:t>
      </w:r>
    </w:p>
    <w:p>
      <w:pPr>
        <w:spacing w:after="120" w:before="120" w:line="360"/>
        <w:jc w:val="both"/>
      </w:pPr>
      <w:r>
        <w:rPr>
          <w:rFonts w:ascii="Times New Roman" w:cs="Times New Roman" w:eastAsia="Times New Roman" w:hAnsi="Times New Roman"/>
          <w:b w:val="false"/>
          <w:bCs w:val="false"/>
          <w:i w:val="false"/>
          <w:iCs w:val="false"/>
          <w:sz w:val="20"/>
          <w:szCs w:val="20"/>
        </w:rPr>
        <w:t xml:space="preserve">This study examines the two volumes of the Grade 9 Morality and Rule of Law (Daode yu Fazhi) textbook, used in the final year of compulsory education in China, from the perspectives of values education and religious education. Using document analysis within a qualitative design, the original Chinese text was analysed under four categories: values, law and citizenship, ideological framework, and religion, belief and tradition. The textbook grounds morality in history, the nation, the Communist Party of China, the constitution and a selectively inherited tradition, without recourse to any transcendent foundation. The core socialist values are presented as the standard for judging right and wrong, and patriotism is equated with love for the Party and for socialism. Religion is mentioned directly only three times, in connection with equality, security and conflict, whereas the folk cult of Mazu appears as a spiritual bond serving national unity. Confucian sayings, often unattributed, supply moral and political maxims but are stripped of their cosmological and ritual dimensions. Notions such as belief, sacredness, soul and destiny are redirected towards the legal order, national unity and socialism. The study discusses this pattern as a form of secular sacralisation and offers a brief comparison with Türkiye.</w:t>
      </w:r>
    </w:p>
    <w:p>
      <w:pPr>
        <w:spacing w:after="120" w:before="120" w:line="36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Values education, religious education, morality and rule of law, textbook, China</w:t>
      </w:r>
    </w:p>
    <w:p>
      <w:pPr>
        <w:spacing w:after="120" w:before="240" w:line="360"/>
        <w:jc w:val="center"/>
      </w:pPr>
      <w:r>
        <w:rPr>
          <w:rFonts w:ascii="Times New Roman" w:cs="Times New Roman" w:eastAsia="Times New Roman" w:hAnsi="Times New Roman"/>
          <w:b/>
          <w:bCs/>
          <w:i w:val="false"/>
          <w:iCs w:val="false"/>
          <w:sz w:val="24"/>
          <w:szCs w:val="24"/>
        </w:rPr>
        <w:t xml:space="preserve">Giriş</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Türkiye, Çin ve Rusya eğitim sistemlerini karşılaştıran Aimaiti (2023, s. 97), bu sistemlerin birbirinden ayrıldığı en önemli yönlerden birinin zorunlu eğitim aşaması olduğunu tespit eder ve Çin’de dokuz yıllık zorunlu eğitimin altı yıllık ilkokul ile üç yıllık ortaokulu kapsadığını belirtir. Bu devrenin son halkası olan 9. sınıf, öğrencinin hem zorunlu eğitimden çıktığı hem de lise giriş imtihanına hazırlandığı bir eşiktir. Coşkun ve Çelikten’in (2020, s. 3005) lise giriş, lise bitirme ve günlerce süren üniversite giriş sınavlarından oluşan zincir nedeniyle Çin eğitim sistemini “tam bir sınav cehennemi” olarak nitelendirmesi ve dokuz yıllık temel eğitimden sonra lise giriş sınavının zorunlu olduğunu hatırlatması bu eşiğin ağırlığını gösterir.</w:t>
      </w:r>
    </w:p>
    <w:p>
      <w:pPr>
        <w:spacing w:after="0" w:before="40" w:line="276"/>
        <w:ind w:left="567"/>
        <w:jc w:val="both"/>
      </w:pPr>
      <w:r>
        <w:rPr>
          <w:rFonts w:ascii="Times New Roman" w:cs="Times New Roman" w:eastAsia="Times New Roman" w:hAnsi="Times New Roman"/>
          <w:i/>
          <w:iCs/>
          <w:color w:val="404040"/>
          <w:sz w:val="20"/>
          <w:szCs w:val="20"/>
        </w:rPr>
        <w:t xml:space="preserve">“Araştırma sırasında ülkelerin eğitim sistemlerinde farklılık gösteren en önemli yanlarında biri zorunlu eğitim aşamasıdır. Çin eğitim sisteminde zorunlu eğitim 9 yıl olup, 6 yıllık ilkokul 3 yıllık ortaokul süresini kapsamaktadır. Rusya’da ise 11 yıl olup, ilkokul süresi 4 yıl, ortaokul süresi ise 5 yıl olmaktadır. Türkiye’de ise zorunlu eğitim 4 yıl ilkokul, 4 yıl orta okul, 4 yıl lise olmak üzere 12 yıl süreyle gerçekleşmektedir.”</w:t>
      </w:r>
    </w:p>
    <w:p>
      <w:pPr>
        <w:spacing w:after="80" w:before="0" w:line="276"/>
        <w:ind w:left="567"/>
      </w:pPr>
      <w:r>
        <w:rPr>
          <w:rFonts w:ascii="Times New Roman" w:cs="Times New Roman" w:eastAsia="Times New Roman" w:hAnsi="Times New Roman"/>
          <w:color w:val="7F7F7F"/>
          <w:sz w:val="18"/>
          <w:szCs w:val="18"/>
        </w:rPr>
        <w:t xml:space="preserve">[Kontrol: KAYNAKÇA ESERLER/TEZ TÜRKİYE, ÇİN VE RUSYA EĞİTİM SİSTEMLERİNİN KARŞILAŞTIRMALI OLARAK İNCELENMESİ.pdf; PDF s. 112; basılı s. 97;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“Çin’de eğitim sisteminin tam bir sınav cehennemi olduğunu söylemek mümkündür. Lise giriş sınavları, lise bitirme sınavları, günlerce süren üniversiteye giriş sınavları Çin’de yaşayan bir öğrencinin alması gereken sınavlardan bazılarıdır. Dokuz yıllık temel eğitimden sonra lise giriş sınavı zorunludur.”</w:t>
      </w:r>
    </w:p>
    <w:p>
      <w:pPr>
        <w:spacing w:after="80" w:before="0" w:line="276"/>
        <w:ind w:left="567"/>
      </w:pPr>
      <w:r>
        <w:rPr>
          <w:rFonts w:ascii="Times New Roman" w:cs="Times New Roman" w:eastAsia="Times New Roman" w:hAnsi="Times New Roman"/>
          <w:color w:val="7F7F7F"/>
          <w:sz w:val="18"/>
          <w:szCs w:val="18"/>
        </w:rPr>
        <w:t xml:space="preserve">[Kontrol: KAYNAKÇA ESERLER/in Halk Cumhuriyeti Eğitim Sistemi.pdf; PDF s. 24; basılı s. 3005;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Bugün “Ahlak ve Hukuk” (道德与法治) adını taşıyan dersin tarihi yakındır. Eğitim Bakanlığı, ilkokul ve ortaokulun başlangıç sınıflarında okutulan “Ahlak ve Yaşam” (品德与生活) ile “Düşünce ve Ahlak” (思想品德) kitaplarının 2016’dan itibaren tek tip olarak “Ahlak ve Hukuk” adını almasını öngörmüş, bazı ciltleri ayrıca hukuk eğitimine tahsis etmiştir [SAĞLANAN BELGELERDE KAYNAK BULUNAMADI: Eğitim Bakanlığının 教育部办公厅关于2016年中小学教学用书有关事项的通知 (教基二厅函〔2016〕12号) belgesi; bu bilgi sağlanan belgelerden birinde bakanlık düzenlemesinin aktarımı olarak geçtiği için o esere atıf yapılmamıştır]. 2022’de yayımlanan öğretim programıyla dersin programı ile ders kitabının adları arasında birlik sağlanmıştır (Li &amp; Li, 2022, s. 7). Li ve Li (2022, s. 8), programın beş temel ilkesinden “erdemi tesis edip insan yetiştirmeyi temel görev edinmek ve dersin ideolojik yönlendirme işlevini ortaya çıkarmak” ilkesinin birinci sırada yer almasının bu ilkenin konumunu ve önemini açıkça gösterdiğini vurgular. Li ve Li’nin (2022, s. 9) tespitine göre devletçe birleştirilmiş (统编) ders kitapları, günümüzde zorunlu eğitim aşamasında ideolojik-siyasi ders işlevinin başlıca taşıyıcısıdır. Dolayısıyla bu kitaplar yalnızca bir ahlak öğretimi aracı değil, devletin genç nesle ne tür bir insan tasavvuru aktarmak istediğini gösteren resmî metinlerdir.</w:t>
      </w:r>
    </w:p>
    <w:p>
      <w:pPr>
        <w:spacing w:after="0" w:before="40" w:line="276"/>
        <w:ind w:left="567"/>
        <w:jc w:val="both"/>
      </w:pPr>
      <w:r>
        <w:rPr>
          <w:rFonts w:ascii="Times New Roman" w:cs="Times New Roman" w:eastAsia="Times New Roman" w:hAnsi="Times New Roman"/>
          <w:i/>
          <w:iCs/>
          <w:color w:val="404040"/>
          <w:sz w:val="20"/>
          <w:szCs w:val="20"/>
        </w:rPr>
        <w:t xml:space="preserve">“随着《义务教育道德与法治课程标准（2022年版）》（以下简称“新课标”）的发布，道德与法治课程终于实现了课程标准与教材名称的统一，道德与法治课程与教学改革也由此翻开新的一页。”</w:t>
      </w:r>
    </w:p>
    <w:p>
      <w:pPr>
        <w:spacing w:after="80" w:before="0" w:line="276"/>
        <w:ind w:left="567"/>
      </w:pPr>
      <w:r>
        <w:rPr>
          <w:rFonts w:ascii="Times New Roman" w:cs="Times New Roman" w:eastAsia="Times New Roman" w:hAnsi="Times New Roman"/>
          <w:color w:val="7F7F7F"/>
          <w:sz w:val="18"/>
          <w:szCs w:val="18"/>
        </w:rPr>
        <w:t xml:space="preserve">[Kontrol: ÇİNCE MAKALELER VE KİTAPLAR/20220606093330661619.pdf; PDF s. 2; basılı s. 7; birebir eşleşme: TAM]</w:t>
      </w:r>
      <w:r>
        <w:rPr>
          <w:rFonts w:ascii="Times New Roman" w:cs="Times New Roman" w:eastAsia="Times New Roman" w:hAnsi="Times New Roman"/>
          <w:color w:val="7F7F7F"/>
          <w:sz w:val="18"/>
          <w:szCs w:val="18"/>
        </w:rPr>
        <w:t xml:space="preserve">  Yardımcı Türkçe karşılık (yapay zekâ çevirisi; yazarca denetlenmeli): Zorunlu Eğitim Ahlak ve Hukuk Dersi Öğretim Programı'nın (2022 Baskısı) (bundan sonra "yeni program") yayımlanmasıyla Ahlak ve Hukuk dersi nihayet öğretim programı ile ders kitabının adlarında birliği sağlamış; Ahlak ve Hukuk dersi ve öğretimi reformu da böylece yeni bir sayfa açmıştır.</w:t>
      </w:r>
    </w:p>
    <w:p>
      <w:pPr>
        <w:spacing w:after="0" w:before="40" w:line="276"/>
        <w:ind w:left="567"/>
        <w:jc w:val="both"/>
      </w:pPr>
      <w:r>
        <w:rPr>
          <w:rFonts w:ascii="Times New Roman" w:cs="Times New Roman" w:eastAsia="Times New Roman" w:hAnsi="Times New Roman"/>
          <w:i/>
          <w:iCs/>
          <w:color w:val="404040"/>
          <w:sz w:val="20"/>
          <w:szCs w:val="20"/>
        </w:rPr>
        <w:t xml:space="preserve">“就课程理念而言，“新课标”共明确了五条课程理念，而“以立德树人为根本任务，发挥课程的思想引领作用”作为第一条，其地位和重要性可见一斑。”</w:t>
      </w:r>
    </w:p>
    <w:p>
      <w:pPr>
        <w:spacing w:after="80" w:before="0" w:line="276"/>
        <w:ind w:left="567"/>
      </w:pPr>
      <w:r>
        <w:rPr>
          <w:rFonts w:ascii="Times New Roman" w:cs="Times New Roman" w:eastAsia="Times New Roman" w:hAnsi="Times New Roman"/>
          <w:color w:val="7F7F7F"/>
          <w:sz w:val="18"/>
          <w:szCs w:val="18"/>
        </w:rPr>
        <w:t xml:space="preserve">[Kontrol: ÇİNCE MAKALELER VE KİTAPLAR/20220606093330661619.pdf; PDF s. 3; basılı s. 8; birebir eşleşme: TAM]</w:t>
      </w:r>
      <w:r>
        <w:rPr>
          <w:rFonts w:ascii="Times New Roman" w:cs="Times New Roman" w:eastAsia="Times New Roman" w:hAnsi="Times New Roman"/>
          <w:color w:val="7F7F7F"/>
          <w:sz w:val="18"/>
          <w:szCs w:val="18"/>
        </w:rPr>
        <w:t xml:space="preserve">  Yardımcı Türkçe karşılık (yapay zekâ çevirisi; yazarca denetlenmeli): Ders anlayışı bakımından "yeni program" toplam beş ders ilkesi belirlemiştir; "ahlakla erdemi tesis edip insan yetiştirmeyi temel görev edinmek, dersin ideolojik yönlendirme işlevini ortaya çıkarmak" ilkesinin birinci sırada yer alması, onun konumunu ve önemini açıkça göstermektedir.</w:t>
      </w:r>
    </w:p>
    <w:p>
      <w:pPr>
        <w:spacing w:after="0" w:before="40" w:line="276"/>
        <w:ind w:left="567"/>
        <w:jc w:val="both"/>
      </w:pPr>
      <w:r>
        <w:rPr>
          <w:rFonts w:ascii="Times New Roman" w:cs="Times New Roman" w:eastAsia="Times New Roman" w:hAnsi="Times New Roman"/>
          <w:i/>
          <w:iCs/>
          <w:color w:val="404040"/>
          <w:sz w:val="20"/>
          <w:szCs w:val="20"/>
        </w:rPr>
        <w:t xml:space="preserve">“统编教材是当前义务教育阶段落实思政课功能的主要载体，也是“新课标”发布后教师可以用来感受和践行“新课标”理念的抓手。”</w:t>
      </w:r>
    </w:p>
    <w:p>
      <w:pPr>
        <w:spacing w:after="80" w:before="0" w:line="276"/>
        <w:ind w:left="567"/>
      </w:pPr>
      <w:r>
        <w:rPr>
          <w:rFonts w:ascii="Times New Roman" w:cs="Times New Roman" w:eastAsia="Times New Roman" w:hAnsi="Times New Roman"/>
          <w:color w:val="7F7F7F"/>
          <w:sz w:val="18"/>
          <w:szCs w:val="18"/>
        </w:rPr>
        <w:t xml:space="preserve">[Kontrol: ÇİNCE MAKALELER VE KİTAPLAR/20220606093330661619.pdf; PDF s. 4; basılı s. 9; birebir eşleşme: TAM]</w:t>
      </w:r>
      <w:r>
        <w:rPr>
          <w:rFonts w:ascii="Times New Roman" w:cs="Times New Roman" w:eastAsia="Times New Roman" w:hAnsi="Times New Roman"/>
          <w:color w:val="7F7F7F"/>
          <w:sz w:val="18"/>
          <w:szCs w:val="18"/>
        </w:rPr>
        <w:t xml:space="preserve">  Yardımcı Türkçe karşılık (yapay zekâ çevirisi; yazarca denetlenmeli): Ortak (devletçe birleştirilmiş) ders kitapları, bugün zorunlu eğitim aşamasında ideolojik-politik dersin işlevini yerine getirmenin başlıca taşıyıcısıdır; aynı zamanda "yeni program" yayımlandıktan sonra öğretmenlerin "yeni program"ın anlayışını kavramak ve uygulamak için tutunabilecekleri araçtır.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tasavvurun hukuki ve ideolojik çerçevesi Türkçe literatürde belli ölçüde ortaya konmuştur. Coşkun ve Çelikten (2020, s. 2987), Çin Anayasası ile 1995 tarihli Eğitim Kanunu’nda eğitimin sosyalist amaçlara hizmet etmesi gerektiğine dair yoğun bir vurgu bulunduğunu ve kanunun Marksizm-Leninizm, Mao Zedong Düşüncesi ve Çin’e özgü sosyalizmin inşası kuramlarını yol gösterici saydığını aktarır; aynı çalışmada eğitimde laikliğin de vurgulandığı, kanunun 8. maddesine göre devletin eğitimi dinden ayırdığı belirtilir (Coşkun &amp; Çelikten, 2020, s. 3004). Tanrısevdi ve Kıral ([YIL GÖRÜLEMEDİ], s. 225), Çin’in eğitim kanunlarında sayılan amaçlardan hareketle sistemin her yönüyle gelişmiş, iyi eğitimli ve kendi ideolojik düşünceleri doğrultusunda insan yetiştirmeyi amaçladığını belirtir. Devletin ideolojik normları eğitim sistemine yerleştirdiği, bu yerleştirmenin ilkokuldan doktora düzeyine kadar giderek azalarak da olsa sürdüğü (Yeniacun, [YIL GÖRÜLEMEDİ], s. 206) ve ortaokul ile lisedeki ahlak eğitimi ve sosyal bilgiler derslerinde Marksist teori ve felsefeye ilişkin içeriklerin öğretimin önemli bir parçası olduğu da kaydedilmektedir (Wang &amp; Peters, 2023, s. 878).</w:t>
      </w:r>
    </w:p>
    <w:p>
      <w:pPr>
        <w:spacing w:after="0" w:before="40" w:line="276"/>
        <w:ind w:left="567"/>
        <w:jc w:val="both"/>
      </w:pPr>
      <w:r>
        <w:rPr>
          <w:rFonts w:ascii="Times New Roman" w:cs="Times New Roman" w:eastAsia="Times New Roman" w:hAnsi="Times New Roman"/>
          <w:i/>
          <w:iCs/>
          <w:color w:val="404040"/>
          <w:sz w:val="20"/>
          <w:szCs w:val="20"/>
        </w:rPr>
        <w:t xml:space="preserve">“Hem Çin Anayasa’sında hem de 1995 Eğitim Kanunu’nda yoğun bir biçimde sosyalist amaçlara hizmet etme vurgusu olduğu görülmektedir. Eğitimin sosyalist amaçlara hizmet etmesi gerektiği ile ilgili maddeler şunlardır: Sosyalist eğitimi geliştirmek için, devlet Marksizm-Leninizm, Mao Zedong Düşüncesi ve sosyalizmin Çin karakteriyle inşası teorilerini yol gösterici olarak korur ve Anayasa’nın temel ilkelerine uyar (madde 3).”</w:t>
      </w:r>
    </w:p>
    <w:p>
      <w:pPr>
        <w:spacing w:after="80" w:before="0" w:line="276"/>
        <w:ind w:left="567"/>
      </w:pPr>
      <w:r>
        <w:rPr>
          <w:rFonts w:ascii="Times New Roman" w:cs="Times New Roman" w:eastAsia="Times New Roman" w:hAnsi="Times New Roman"/>
          <w:color w:val="7F7F7F"/>
          <w:sz w:val="18"/>
          <w:szCs w:val="18"/>
        </w:rPr>
        <w:t xml:space="preserve">[Kontrol: KAYNAKÇA ESERLER/in Halk Cumhuriyeti Eğitim Sistemi.pdf; PDF s. 6; basılı s. 2987;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“Sosyalizmin yanısıra eğitimde laiklik vurgulanmaktadır. Eğitim Kanunu (1995) 8. maddeye göre, devlet eğitimi dinden ayırır. Herhangi bir kurum ya da kişi dini, devletin eğitim sistemini engelleyecek biçimde kullanamaz.”</w:t>
      </w:r>
    </w:p>
    <w:p>
      <w:pPr>
        <w:spacing w:after="80" w:before="0" w:line="276"/>
        <w:ind w:left="567"/>
      </w:pPr>
      <w:r>
        <w:rPr>
          <w:rFonts w:ascii="Times New Roman" w:cs="Times New Roman" w:eastAsia="Times New Roman" w:hAnsi="Times New Roman"/>
          <w:color w:val="7F7F7F"/>
          <w:sz w:val="18"/>
          <w:szCs w:val="18"/>
        </w:rPr>
        <w:t xml:space="preserve">[Kontrol: KAYNAKÇA ESERLER/in Halk Cumhuriyeti Eğitim Sistemi.pdf; PDF s. 23; basılı s. 3004;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“Yukarda sayılan amaçlarda da görüldüğü gibi Çin eğitim sisteminde amaçlanan her yönüyle gelişmiş, iyi eğitimli ve kendi ideolojik düşünceleri doğrultusunda insan yetiştirmektir. Buna göre de eğitim sistemi şekillendirilmektedir.”</w:t>
      </w:r>
    </w:p>
    <w:p>
      <w:pPr>
        <w:spacing w:after="80" w:before="0" w:line="276"/>
        <w:ind w:left="567"/>
      </w:pPr>
      <w:r>
        <w:rPr>
          <w:rFonts w:ascii="Times New Roman" w:cs="Times New Roman" w:eastAsia="Times New Roman" w:hAnsi="Times New Roman"/>
          <w:color w:val="7F7F7F"/>
          <w:sz w:val="18"/>
          <w:szCs w:val="18"/>
        </w:rPr>
        <w:t xml:space="preserve">[Kontrol: KAYNAKÇA ESERLER/Çin ve Türk Eğitim Sisteminin Karşılaştırılması.pdf; PDF s. 3; basılı s. 225;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“Böylelikle eğitim sistemi her ne kadar enternasyonal bir çizgide tutulmaya çalışılsa da devlet, ideolojik normları eğitim sistemi içerisine entegre etmeyi başarmıştır. Bu entegrasyon ilkokuldan başlayıp doktora seviyesine kadar azalarak da olsa devam etmektedir.”</w:t>
      </w:r>
    </w:p>
    <w:p>
      <w:pPr>
        <w:spacing w:after="80" w:before="0" w:line="276"/>
        <w:ind w:left="567"/>
      </w:pPr>
      <w:r>
        <w:rPr>
          <w:rFonts w:ascii="Times New Roman" w:cs="Times New Roman" w:eastAsia="Times New Roman" w:hAnsi="Times New Roman"/>
          <w:color w:val="7F7F7F"/>
          <w:sz w:val="18"/>
          <w:szCs w:val="18"/>
        </w:rPr>
        <w:t xml:space="preserve">[Kontrol: KAYNAKÇA ESERLER/ÜKSELEN GÜÇ ÇİN’İN GENÇLİK POLİTİKALARI.pdf; PDF s. 4; basılı s. 206;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“Relatively speaking, there are many more schools of Marxism or departments of Marxist education than schools of philosophy or departments of philosophy, largely because the teaching work of the former targets all students in the colleague and universities, while the departments or the schools of philosophy are mainly geared toward the systematic teaching and study of philosophy. Additionally, in the moral education and social studies of junior and senior high schools, contents related to Marxist theory and philosophy are also an important part of teaching.”</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KİTAPLARI_TARİH_DİN/Contemporary Chinese Marxism  Disciplines  teaching plat.pdf; PDF s. 3; basılı s. 878; birebir eşleşme: TAM]</w:t>
      </w:r>
      <w:r>
        <w:rPr>
          <w:rFonts w:ascii="Times New Roman" w:cs="Times New Roman" w:eastAsia="Times New Roman" w:hAnsi="Times New Roman"/>
          <w:color w:val="7F7F7F"/>
          <w:sz w:val="18"/>
          <w:szCs w:val="18"/>
        </w:rPr>
        <w:t xml:space="preserve">  Yardımcı Türkçe karşılık (yapay zekâ çevirisi; yazarca denetlenmeli): Göreli olarak, Marksizm okulları ya da Marksist eğitim bölümleri, felsefe okulları ya da felsefe bölümlerinden çok daha fazladır; bunun başlıca nedeni, ilkinin öğretim çalışmasının yüksekokul ve üniversitelerdeki tüm öğrencileri hedeflemesi, felsefe bölüm ya da okullarının ise esas olarak felsefenin sistematik öğretim ve incelenmesine yönelik olmasıdır. Ayrıca ortaokul ve liselerin ahlak eğitimi ve sosyal bilgiler derslerinde Marksist teori ve felsefeyle ilgili içerikler de öğretimin önemli bir parçasıdır.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Ne var ki resmî ideolojinin bu tek boyutlu tablosu, son yirmi yılda belirginleşen bir başka akımı gözden kaçırma tehlikesi taşır: geleneksel kültürün, bilhassa Konfüçyüsçü mirasın yeniden itibar kazanması. Gökenç Gülez (2023, s. 325), Xi Jinping’in katıldığı uluslararası bir sempozyumda Konfüçyüs’e atıfta bulunmasını, modern dönem eğitim sisteminde Konfüçyüsçü eğitim modelinin yeniden canlanmasında bir etken olarak gösterir. Wang (2023, s. 326) bu canlanmayı hem hükûmet güdümlü bir “yukarıdan aşağıya” olgu hem de tabandan yükselen bir hareket olarak okur. Şevik (2022, s. 54), Konfüçyüs doktrinini eşitlikçi Marksist-Leninist düşünceyle uzlaştırmaya yönelik bu “radikal uzlaşma girişimi”nin, Konfüçyüsçülüğün Çin Komünist Partisi hükûmetinin siyasi beklentilerini karşıladığı sürece mümkün olmaya devam edeceği kanaatindedir. Ametbek (2023, s. 92) ise Parti tüzüğünde hem geleneksel kültürün hem sosyalist kültürün geliştirilmesine yapılan vurguyu Çin Komünist Partisi’nin geçmişle bir şekilde barışma süreci olarak değerlendirir; ona göre Çin bir yandan beş bin yıllık tarihiyle barışmaya çalışırken öte yandan sosyalist kimliğini sürdürme çabası içindedir.</w:t>
      </w:r>
    </w:p>
    <w:p>
      <w:pPr>
        <w:spacing w:after="0" w:before="40" w:line="276"/>
        <w:ind w:left="567"/>
        <w:jc w:val="both"/>
      </w:pPr>
      <w:r>
        <w:rPr>
          <w:rFonts w:ascii="Times New Roman" w:cs="Times New Roman" w:eastAsia="Times New Roman" w:hAnsi="Times New Roman"/>
          <w:i/>
          <w:iCs/>
          <w:color w:val="404040"/>
          <w:sz w:val="20"/>
          <w:szCs w:val="20"/>
        </w:rPr>
        <w:t xml:space="preserve">“Farklı alanlarda reformların yapıldığı 1978 yılından sonra, eğitimde sınav odaklı eğitim modelinden kalite odaklı (suzhi) eğitim modeline geçiş yapılması Konfuçyüsçü eğitim modelinin Çin eğitim sistemine olan bir yansımasıdır. Nitekim Suzhi eğitim modeli Konfuçyanizm eğitim düşüncesinin temelini oluşturan ahlak eğitimi ile yakından ilişkilidir. 21. yüzyılda Çin Devlet başkanı Xi Jinping’in katıldığı uluslararası bir sempozyumda Konfuçyüs’e atıfta bulunması modern dönem eğitim sisteminde Konfuçyüsçü eğitim modelinin yeniden canlanmasında bir etken olarak gösterilebilir.”</w:t>
      </w:r>
    </w:p>
    <w:p>
      <w:pPr>
        <w:spacing w:after="80" w:before="0" w:line="276"/>
        <w:ind w:left="567"/>
      </w:pPr>
      <w:r>
        <w:rPr>
          <w:rFonts w:ascii="Times New Roman" w:cs="Times New Roman" w:eastAsia="Times New Roman" w:hAnsi="Times New Roman"/>
          <w:color w:val="7F7F7F"/>
          <w:sz w:val="18"/>
          <w:szCs w:val="18"/>
        </w:rPr>
        <w:t xml:space="preserve">[Kontrol: KAYNAKÇA ESERLER/KONFUÇYÜSÇÜ EĞİTİMİN YENİDEN CANLANMASI.pdf; PDF s. 13; basılı s. 325;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“Confucian revival in contemporary China can be understood as both a top-down (government-driven) phenomenon and a bottom-up (grassroots-driven) movement.”</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KİTAPLARI_TARİH_DİN/Resurgence of Confucian education in contemporary China  Parental involvement  moral anxiety  and the pedagogy of memorisation.pdf; PDF s. 3; basılı s. 326; birebir eşleşme: TAM]</w:t>
      </w:r>
      <w:r>
        <w:rPr>
          <w:rFonts w:ascii="Times New Roman" w:cs="Times New Roman" w:eastAsia="Times New Roman" w:hAnsi="Times New Roman"/>
          <w:color w:val="7F7F7F"/>
          <w:sz w:val="18"/>
          <w:szCs w:val="18"/>
        </w:rPr>
        <w:t xml:space="preserve">  Yardımcı Türkçe karşılık (yapay zekâ çevirisi; yazarca denetlenmeli): Çağdaş Çin'deki Konfüçyüsçü canlanma hem yukarıdan aşağıya (hükûmet güdümlü) bir olgu hem de aşağıdan yukarıya (tabandan gelen) bir hareket olarak anlaşılabilir.</w:t>
      </w:r>
    </w:p>
    <w:p>
      <w:pPr>
        <w:spacing w:after="0" w:before="40" w:line="276"/>
        <w:ind w:left="567"/>
        <w:jc w:val="both"/>
      </w:pPr>
      <w:r>
        <w:rPr>
          <w:rFonts w:ascii="Times New Roman" w:cs="Times New Roman" w:eastAsia="Times New Roman" w:hAnsi="Times New Roman"/>
          <w:i/>
          <w:iCs/>
          <w:color w:val="404040"/>
          <w:sz w:val="20"/>
          <w:szCs w:val="20"/>
        </w:rPr>
        <w:t xml:space="preserve">“Sonuç olarak, Çin hükümeti son bin yılın hiyerarşik, sınıf-destekleyicisi bir öğreti olarak kabaca değerlendirilebilecek Konfüçyüs doktrinini, eşitlikçi Marksist-Leninist düşünceyle uzlaştırmaya niyetli görünmektedir. Kanımızca, son dönemin getirdiği bu radikal uzlaşma girişimi, Konfüçyüsçülük öğretisinin, ÇKP hükümetinin dönem itibariyle yönetimsel anlamda gerekli siyasi beklentisini karşılayabilen bir mahiyette kaldığı sürece mümkün olmaya devam ededecek izlenimi vermektedir.”</w:t>
      </w:r>
    </w:p>
    <w:p>
      <w:pPr>
        <w:spacing w:after="80" w:before="0" w:line="276"/>
        <w:ind w:left="567"/>
      </w:pPr>
      <w:r>
        <w:rPr>
          <w:rFonts w:ascii="Times New Roman" w:cs="Times New Roman" w:eastAsia="Times New Roman" w:hAnsi="Times New Roman"/>
          <w:color w:val="7F7F7F"/>
          <w:sz w:val="18"/>
          <w:szCs w:val="18"/>
        </w:rPr>
        <w:t xml:space="preserve">[Kontrol: KAYNAKÇA ESERLER/Çin toplumu ve Konfüçyüsün ruhu.pdf; PDF s. 64; basılı s. 54;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“Birinci cümlede hem geleneksel kültür hem sosyalist kültürün geliştirilmesine vurgu yapılmaktadır. Bir yanda da feodal yozlaşmış fikirlere karşı koymaktan bahsedilmektedir. Bu durum ÇKP’nin geçmişle bir şekilde barışma süreci olarak değerlendirilmektedir. Çin bir yandan kendisinin 5000 yıllık tarihi ile barışmaya çalışırken, diğer yandan sosyalist kimliğini de devam ettirme çabası içindedir.”</w:t>
      </w:r>
    </w:p>
    <w:p>
      <w:pPr>
        <w:spacing w:after="80" w:before="0" w:line="276"/>
        <w:ind w:left="567"/>
      </w:pPr>
      <w:r>
        <w:rPr>
          <w:rFonts w:ascii="Times New Roman" w:cs="Times New Roman" w:eastAsia="Times New Roman" w:hAnsi="Times New Roman"/>
          <w:color w:val="7F7F7F"/>
          <w:sz w:val="18"/>
          <w:szCs w:val="18"/>
        </w:rPr>
        <w:t xml:space="preserve">[Kontrol: KAYNAKÇA ESERLER/DOKTORA TEZİ_Çin ulusal kimliği'nin dış politikaya yansımas.pdf; PDF s. 102; basılı s. 92;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ikili yapı, bir din eğitimcisi için ayrı bir soru doğurur: Resmî olarak laik, ideolojik olarak Marksist bir müfredat, ahlakı hangi zemine istinat ettirir? Konfüçyüsçülüğün mahiyeti bu soruyu daha da derinleştirir. Kişi’ye (2021, s. 56) göre Konfüçyanizm özünde bir din değil, bir yaşam ve yönetim felsefesidir; Ma (2019, s. 82) ise Konfüçyanizmin ruhlar ve ahirete aldırmaksızın gerçek hayat üzerine yoğunlaştığını, ancak yalnızca yaşanılan dünyaya önem verdiği için halkın psikolojik ihtiyacını tek başına karşılayamadığını belirtir (Ma, 2019, s. 86). Dinin yerini başka bir kutsiyet kaynağının alıp alamayacağı sorusu da literatürde tartışılmaktadır; Kişi (2021, s. 18), milliyetçiliğin dine kıyasla vahiy kaynaklı değil daha dünyevi ve rasyonel olduğu hissini uyandırdığı için toplumlar nezdinde dinin yerini de alabildiğini kaydeder.</w:t>
      </w:r>
    </w:p>
    <w:p>
      <w:pPr>
        <w:spacing w:after="0" w:before="40" w:line="276"/>
        <w:ind w:left="567"/>
        <w:jc w:val="both"/>
      </w:pPr>
      <w:r>
        <w:rPr>
          <w:rFonts w:ascii="Times New Roman" w:cs="Times New Roman" w:eastAsia="Times New Roman" w:hAnsi="Times New Roman"/>
          <w:i/>
          <w:iCs/>
          <w:color w:val="404040"/>
          <w:sz w:val="20"/>
          <w:szCs w:val="20"/>
        </w:rPr>
        <w:t xml:space="preserve">“Özünde Konfüçyanizim bir din değil, bir yaşam ve yönetim felsefesidir. Toplumsal ve insani değerleri içererek, tanrıbilimsel temelin ötesinde bir yaşam biçimi sunmaya çalışır. Düzen, sadakat, ahlak ve sosyal fayda başlıca vurgulanan değerlerdir.”</w:t>
      </w:r>
    </w:p>
    <w:p>
      <w:pPr>
        <w:spacing w:after="80" w:before="0" w:line="276"/>
        <w:ind w:left="567"/>
      </w:pPr>
      <w:r>
        <w:rPr>
          <w:rFonts w:ascii="Times New Roman" w:cs="Times New Roman" w:eastAsia="Times New Roman" w:hAnsi="Times New Roman"/>
          <w:color w:val="7F7F7F"/>
          <w:sz w:val="18"/>
          <w:szCs w:val="18"/>
        </w:rPr>
        <w:t xml:space="preserve">[Kontrol: KAYNAKÇA ESERLER/DOKTORA_Çin milliyetçiliğinin sosyalizm ekseninde yükselişi.pdf; PDF s. 67; basılı s. 56;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“Konfüçyanizm, insanın ailesi ve sosyal sorumlulukları üzerinde durur. Konfüçyanizm ruhlar ve ahirete aldırmaksızın gerçek hayat üzerine yoğunlaşmaktadır. İslam'ın getirdiği bazı kuralar (yemek, evlilik ve cenaze gümrük. vb) Konfüçyanizm’in geleneklerinden oldukça farklıdır. Fakat iki kültür arasında benzerlikler de mevcuttur, Konfüçyanizm kültüründe yaratıcının tamamen reddedilmemesi ve Hanların daima Tanrı’ya saygı göstermesi, İslam kültürünün kabul edilmesi için önemli bir temeldir.”</w:t>
      </w:r>
    </w:p>
    <w:p>
      <w:pPr>
        <w:spacing w:after="80" w:before="0" w:line="276"/>
        <w:ind w:left="567"/>
      </w:pPr>
      <w:r>
        <w:rPr>
          <w:rFonts w:ascii="Times New Roman" w:cs="Times New Roman" w:eastAsia="Times New Roman" w:hAnsi="Times New Roman"/>
          <w:color w:val="7F7F7F"/>
          <w:sz w:val="18"/>
          <w:szCs w:val="18"/>
        </w:rPr>
        <w:t xml:space="preserve">[Kontrol: KAYNAKÇA ESERLER/Çin'de İslam'ı yeniden canlandırma çabaları.pdf; PDF s. 93; basılı s. 82;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“İnsanların dine ihtiyacı var, fakat Konfüçyanizm sadece “yaşanılan dünyaya” önem verip “yaşam sonrası” nın özelliklerinden bahsetmediği için Çin halkının psikolojik ihtiyacını tek başına karşılamak mümkün değildir. Bu nedenle, aslında Çin kültürü Konfüçyanizm, Budizm ve Taoizm ile karışık bir kültür olduğunu görmekteyiz. Yabancıların gözünde, belki Konfüçyanizm, Budizm ve Taoizm üç farklı dindir, fakat Çinlilere göre tek bir din oluşturduğunu söyleyebiliriz. İnsanlar genellikle bu üç dine aynı anda inanırlar.”</w:t>
      </w:r>
    </w:p>
    <w:p>
      <w:pPr>
        <w:spacing w:after="80" w:before="0" w:line="276"/>
        <w:ind w:left="567"/>
      </w:pPr>
      <w:r>
        <w:rPr>
          <w:rFonts w:ascii="Times New Roman" w:cs="Times New Roman" w:eastAsia="Times New Roman" w:hAnsi="Times New Roman"/>
          <w:color w:val="7F7F7F"/>
          <w:sz w:val="18"/>
          <w:szCs w:val="18"/>
        </w:rPr>
        <w:t xml:space="preserve">[Kontrol: KAYNAKÇA ESERLER/Çin'de İslam'ı yeniden canlandırma çabaları.pdf; PDF s. 97; basılı s. 86;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“Atfedilen değer ile milliyetçilik, toplumlar için dinin yerini de alabilmiştir. Bu durumdaki temel neden ise milliyetçiliğin sahip olmuş olduğu öz niteliğin, dine kıyas ile vahiy kaynaklı değil daha dünyevi ve rasyonel olduğu hissini uyandırmasıdır.”</w:t>
      </w:r>
    </w:p>
    <w:p>
      <w:pPr>
        <w:spacing w:after="80" w:before="0" w:line="276"/>
        <w:ind w:left="567"/>
      </w:pPr>
      <w:r>
        <w:rPr>
          <w:rFonts w:ascii="Times New Roman" w:cs="Times New Roman" w:eastAsia="Times New Roman" w:hAnsi="Times New Roman"/>
          <w:color w:val="7F7F7F"/>
          <w:sz w:val="18"/>
          <w:szCs w:val="18"/>
        </w:rPr>
        <w:t xml:space="preserve">[Kontrol: KAYNAKÇA ESERLER/DOKTORA_Çin milliyetçiliğinin sosyalizm ekseninde yükselişi.pdf; PDF s. 29; basılı s. 18;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Türkçe literatürdeki çalışmalar Çin eğitim sistemini çoğunlukla yapısal ve yönetsel boyutlarıyla ele almıştır. A. T. Aydın’ın (2024, s. 337) araştırma problemi, Çin eğitim sisteminin yönetsel yapılanmasının uluslararası sınav sonuçlarına nasıl yansıdığı ve Türk eğitim sistemi için hangi iyileştirme alanlarının bulunduğudur. Aimaiti (2023, s. 83), Türkiye literatüründe Çin eğitim sistemine dair kaynakların yetersiz olduğunu tespit eder; Coşkun ve Çelikten (2020, s. 3006) de yararlandıkları kaynakların İngilizce ya da Türkçe, genellikle uluslararası raporlar olduğunu belirterek özgün Çince kaynaklara ulaşılarak yapılacak çalışmaların ve eyalet düzeyindeki incelemelerin Çin eğitim sistemini daha iyi anlamaya katkı sağlayacağını ifade eder. Çin’deki alan yazını ise Ahlak ve Hukuk dersini daha çok öğretim yöntemi ve ders kitabı tasarımı bakımından tartışmaktadır; Sun (2019, s. [SAYFA GÖRÜLEMEDİ]), öğretim stratejilerinin araç niteliği taşımakla birlikte bununla sınırlı olmadığını, iyi bir öğretim stratejisinin ahlak eğitiminin anlayışını ve değer tutumunu da aktardığını ileri sürer; Gao ([YIL GÖRÜLEMEDİ], s. [SAYFA GÖRÜLEMEDİ]) ise yeni öğretim programı reformundan önceki ahlak ders kitaplarındaki gerekçelendirme-ispat yapısının ardında öğrenciyi ikna etmeye dayanan bir “eğitim tutumu” bulunduğunu söyler. Ders kitabının içeriğini değerler eğitimi ve din eğitimi bakış açısıyla, özgün Çince metin üzerinden inceleyen bir çalışmaya sağlanan belgelerde rastlanmamıştır.</w:t>
      </w:r>
    </w:p>
    <w:p>
      <w:pPr>
        <w:spacing w:after="0" w:before="40" w:line="276"/>
        <w:ind w:left="567"/>
        <w:jc w:val="both"/>
      </w:pPr>
      <w:r>
        <w:rPr>
          <w:rFonts w:ascii="Times New Roman" w:cs="Times New Roman" w:eastAsia="Times New Roman" w:hAnsi="Times New Roman"/>
          <w:i/>
          <w:iCs/>
          <w:color w:val="404040"/>
          <w:sz w:val="20"/>
          <w:szCs w:val="20"/>
        </w:rPr>
        <w:t xml:space="preserve">“ÇHC eğitim sisteminin yönetsel yapılanmasının ve süreç boyutlarının uluslararası sınav sonuçlarına nasıl yansıdığı ve bu bağlamda Türk eğitim sistemi için hangi iyileştirme alanlarının mevcut olduğu sorusu bu araştırmanın problemini oluşturmaktadır.”</w:t>
      </w:r>
    </w:p>
    <w:p>
      <w:pPr>
        <w:spacing w:after="80" w:before="0" w:line="276"/>
        <w:ind w:left="567"/>
      </w:pPr>
      <w:r>
        <w:rPr>
          <w:rFonts w:ascii="Times New Roman" w:cs="Times New Roman" w:eastAsia="Times New Roman" w:hAnsi="Times New Roman"/>
          <w:color w:val="7F7F7F"/>
          <w:sz w:val="18"/>
          <w:szCs w:val="18"/>
        </w:rPr>
        <w:t xml:space="preserve">[Kontrol: KAYNAKÇA ESERLER/Çin Halk Cumhuriyeti Eğitim Sisteminin Değerlendirilmesi.pdf; PDF s. 13; basılı s. 337;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“Türkiye literatüründe Çin ve Rusya eğitim sistemleri ile ilgili kaynaklar ve araştırmalar yetersiz bulunduğu gözlemlenmiştir. Bu sebepten dolayı Çin ve Rusya eğitim sistemlerini araştırırken en güncel kaynaklardan istifade edilerek alan yazına katkı sağlayacağı düşünülmektedir.”</w:t>
      </w:r>
    </w:p>
    <w:p>
      <w:pPr>
        <w:spacing w:after="80" w:before="0" w:line="276"/>
        <w:ind w:left="567"/>
      </w:pPr>
      <w:r>
        <w:rPr>
          <w:rFonts w:ascii="Times New Roman" w:cs="Times New Roman" w:eastAsia="Times New Roman" w:hAnsi="Times New Roman"/>
          <w:color w:val="7F7F7F"/>
          <w:sz w:val="18"/>
          <w:szCs w:val="18"/>
        </w:rPr>
        <w:t xml:space="preserve">[Kontrol: KAYNAKÇA ESERLER/TEZ TÜRKİYE, ÇİN VE RUSYA EĞİTİM SİSTEMLERİNİN KARŞILAŞTIRMALI OLARAK İNCELENMESİ.pdf; PDF s. 98; basılı s. 83;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“Bu çalışmada ekonomik gücüne rağmen, rejim gereği dış dünyaya uzun süre kapalı kalmış Çin Eğitim Sistemi detaylarıyla ele alınmış olsa da çalışmanın çeşitli sınırlılıkları mevcuttur. Öncelikle çalışmada yararlanılan kaynaklar İngilizce veya Türkçe dilinde, genellikle uluslararası raporlardır. Başka bir sınırlılık ise farklı eğitim politikaları olabilen eyaletlerin –örneğin Şangay- genel resim içerisinde kaybolmasıdır. Orijinal Çince kaynaklara ulaşılarak yapılacak çalışmalara ve eyalet düzeyinde incelemeler Çin Eğitim Sistemini daha iyi anlamak için yararlı olacaktır.”</w:t>
      </w:r>
    </w:p>
    <w:p>
      <w:pPr>
        <w:spacing w:after="80" w:before="0" w:line="276"/>
        <w:ind w:left="567"/>
      </w:pPr>
      <w:r>
        <w:rPr>
          <w:rFonts w:ascii="Times New Roman" w:cs="Times New Roman" w:eastAsia="Times New Roman" w:hAnsi="Times New Roman"/>
          <w:color w:val="7F7F7F"/>
          <w:sz w:val="18"/>
          <w:szCs w:val="18"/>
        </w:rPr>
        <w:t xml:space="preserve">[Kontrol: KAYNAKÇA ESERLER/in Halk Cumhuriyeti Eğitim Sistemi.pdf; PDF s. 25; basılı s. 3006;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教学策略与教学方法作为实现教育目标的一种途径，当然具有工具的性质。但是好的教学策略不只是引起学生的兴趣，而且传递着德育的理念与价值立场。教学设计的思路会对学生的道德思维产生潜移默化的影响，而道德思维本身是学生道德成长的重要内容，正是在这个意义上，我们说“策略即理念，方法即内容”。”</w:t>
      </w:r>
    </w:p>
    <w:p>
      <w:pPr>
        <w:spacing w:after="80" w:before="0" w:line="276"/>
        <w:ind w:left="567"/>
      </w:pPr>
      <w:r>
        <w:rPr>
          <w:rFonts w:ascii="Times New Roman" w:cs="Times New Roman" w:eastAsia="Times New Roman" w:hAnsi="Times New Roman"/>
          <w:color w:val="7F7F7F"/>
          <w:sz w:val="18"/>
          <w:szCs w:val="18"/>
        </w:rPr>
        <w:t xml:space="preserve">[Kontrol: ÇİNCE MAKALELER VE KİTAPLAR/20201126101534164.pdf; PDF s. 1; basılı s. [SAYFA GÖRÜLEMEDİ]; birebir eşleşme: TAM]</w:t>
      </w:r>
      <w:r>
        <w:rPr>
          <w:rFonts w:ascii="Times New Roman" w:cs="Times New Roman" w:eastAsia="Times New Roman" w:hAnsi="Times New Roman"/>
          <w:color w:val="7F7F7F"/>
          <w:sz w:val="18"/>
          <w:szCs w:val="18"/>
        </w:rPr>
        <w:t xml:space="preserve">  Yardımcı Türkçe karşılık (yapay zekâ çevirisi; yazarca denetlenmeli): Öğretim stratejileri ve öğretim yöntemleri, eğitim hedeflerine ulaşmanın bir yolu olarak elbette araç niteliği taşır. Ancak iyi bir öğretim stratejisi yalnızca öğrencilerin ilgisini uyandırmakla kalmaz, aynı zamanda ahlak eğitiminin (德育) anlayışını ve değer tutumunu da aktarır. Öğretim tasarımının düşünce çizgisi öğrencilerin ahlaki düşünmesi üzerinde fark ettirmeden sindirici bir etki yaratır; ahlaki düşünme ise bizatihi öğrencilerin ahlaki gelişiminin önemli bir içeriğidir. İşte tam bu anlamda 'strateji anlayıştır, yöntem içeriktir' diyoruz.</w:t>
      </w:r>
    </w:p>
    <w:p>
      <w:pPr>
        <w:spacing w:after="0" w:before="40" w:line="276"/>
        <w:ind w:left="567"/>
        <w:jc w:val="both"/>
      </w:pPr>
      <w:r>
        <w:rPr>
          <w:rFonts w:ascii="Times New Roman" w:cs="Times New Roman" w:eastAsia="Times New Roman" w:hAnsi="Times New Roman"/>
          <w:i/>
          <w:iCs/>
          <w:color w:val="404040"/>
          <w:sz w:val="20"/>
          <w:szCs w:val="20"/>
        </w:rPr>
        <w:t xml:space="preserve">“第二，论证说理结构背后所蕴含的教育范式或“教育姿态”是劝说，即观点的正确性不容置疑，教材所要做的就是劝说学生接受。我们知道，劝说作为教育方式并不是全然有效的，尤其是对于渴求独立自主、有或隐或显逆反倾向的青少年来说，劝说往往是无效的，即使说的全是正确的道理，但你“冒犯”了“我”的自主性，“我”偏偏不听你的。”</w:t>
      </w:r>
    </w:p>
    <w:p>
      <w:pPr>
        <w:spacing w:after="80" w:before="0" w:line="276"/>
        <w:ind w:left="567"/>
      </w:pPr>
      <w:r>
        <w:rPr>
          <w:rFonts w:ascii="Times New Roman" w:cs="Times New Roman" w:eastAsia="Times New Roman" w:hAnsi="Times New Roman"/>
          <w:color w:val="7F7F7F"/>
          <w:sz w:val="18"/>
          <w:szCs w:val="18"/>
        </w:rPr>
        <w:t xml:space="preserve">[Kontrol: ÇİNCE MAKALELER VE KİTAPLAR/20201230094939195.pdf; PDF s. 1; basılı s. [SAYFA GÖRÜLEMEDİ]; birebir eşleşme: TAM]</w:t>
      </w:r>
      <w:r>
        <w:rPr>
          <w:rFonts w:ascii="Times New Roman" w:cs="Times New Roman" w:eastAsia="Times New Roman" w:hAnsi="Times New Roman"/>
          <w:color w:val="7F7F7F"/>
          <w:sz w:val="18"/>
          <w:szCs w:val="18"/>
        </w:rPr>
        <w:t xml:space="preserve">  Yardımcı Türkçe karşılık (yapay zekâ çevirisi; yazarca denetlenmeli): İkincisi, gerekçelendirme-ispat yapısının ardında yatan eğitim paradigması ya da 'eğitim tutumu' iknadır; yani görüşün doğruluğu sorgulanamaz, ders kitabının yapması gereken şey öğrenciyi kabule ikna etmektir. Biliyoruz ki ikna, bir eğitim yöntemi olarak her zaman etkili değildir; özellikle bağımsızlık ve özerklik arayan, açık ya da örtük biçimde karşı koyma eğilimi taşıyan ergenler için ikna çoğu zaman etkisizdir; söylenenlerin hepsi doğru olsa bile, sen 'benim' özerkliğimi 'incittin', 'ben' de inadına seni dinlemem.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çalışmanın amacı, Çin’de zorunlu eğitimin son yılında okutulan 9. sınıf Ahlak ve Hukuk ders kitabının iki cildini değerler eğitimi ve din eğitimi bakış açısıyla incelemektir. Bu amaç doğrultusunda şu sorulara cevap aranmıştır: (1) Kitap hangi değerleri öğretmekte ve bu değerleri neye dayandırmaktadır? (2) Hukuk ve yurttaşlık içeriği nasıl kurgulanmıştır? (3) Ahlak öğretimi hangi ideolojik çerçeve içinde sunulmaktadır? (4) Kitapta din, inanç ve geleneğe hangi biçimlerde yer verilmektedir?</w:t>
      </w:r>
    </w:p>
    <w:p>
      <w:pPr>
        <w:spacing w:after="120" w:before="240" w:line="360"/>
        <w:jc w:val="center"/>
      </w:pPr>
      <w:r>
        <w:rPr>
          <w:rFonts w:ascii="Times New Roman" w:cs="Times New Roman" w:eastAsia="Times New Roman" w:hAnsi="Times New Roman"/>
          <w:b/>
          <w:bCs/>
          <w:i w:val="false"/>
          <w:iCs w:val="false"/>
          <w:sz w:val="24"/>
          <w:szCs w:val="24"/>
        </w:rPr>
        <w:t xml:space="preserve">Yöntem</w:t>
      </w:r>
    </w:p>
    <w:p>
      <w:pPr>
        <w:spacing w:after="120" w:before="120" w:line="360"/>
        <w:jc w:val="left"/>
      </w:pPr>
      <w:r>
        <w:rPr>
          <w:rFonts w:ascii="Times New Roman" w:cs="Times New Roman" w:eastAsia="Times New Roman" w:hAnsi="Times New Roman"/>
          <w:b/>
          <w:bCs/>
          <w:i w:val="false"/>
          <w:iCs w:val="false"/>
          <w:sz w:val="24"/>
          <w:szCs w:val="24"/>
        </w:rPr>
        <w:t xml:space="preserve">Araştırmanın Deseni</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Araştırma, nitel araştırma yaklaşımı içinde doküman incelemesine dayanan bir içerik analizi olarak tasarlanmıştır. Desenin tanımı ve gerekçesi yöntem literatürüne dayandırılmalıdır [SAĞLANAN BELGELERDE KAYNAK BULUNAMADI: doküman incelemesi ve nitel içerik analizine ilişkin yöntem kaynağı yazar tarafından eklenmeli].</w:t>
      </w:r>
    </w:p>
    <w:p>
      <w:pPr>
        <w:spacing w:after="120" w:before="120" w:line="360"/>
        <w:jc w:val="left"/>
      </w:pPr>
      <w:r>
        <w:rPr>
          <w:rFonts w:ascii="Times New Roman" w:cs="Times New Roman" w:eastAsia="Times New Roman" w:hAnsi="Times New Roman"/>
          <w:b/>
          <w:bCs/>
          <w:i w:val="false"/>
          <w:iCs w:val="false"/>
          <w:sz w:val="24"/>
          <w:szCs w:val="24"/>
        </w:rPr>
        <w:t xml:space="preserve">Veri Kaynağı</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Araştırmanın veri kaynağını, Çin Halk Cumhuriyeti Eğitim Bakanlığının organizasyonuyla hazırlanan (教育部组织编写) ve “birleşik baskı” (统编版) ibaresini taşıyan 9. sınıf Ahlak ve Hukuk ders kitabının iki cildi oluşturmaktadır. Birinci dönemde okutulan üst cilt (上册), 2021 yılı Haziran ayında yapılan ikinci baskıdır; genel editörü 朱小蔓, cilt editörleri 高国希 ve 杨一鸣’dir. İkinci dönemde okutulan alt cilt (下册), 2018 yılı Aralık ayında yapılan birinci baskının 2022 yılı Ocak ayındaki beşinci basımıdır; cilt editörleri 高国希, 吴蓉 ve 秦书珩’dir. Her iki cildin sonsözünde (后记) ders kitabının yayın işini 人民教育出版社’nin (People’s Education Press) üstlendiği belirtilmektedir. Metin içinde üst cilde “Jiaoyubu (2021)”, alt cilde “Jiaoyubu (2018)” biçiminde atıf yapılmıştır. Alt cildin incelenen basımı 2020 ve 2021 yıllarına ait verileri ve salgın dönemine ilişkin içerikleri de barındırdığından, bu cilde yapılan atıflar 2022 tarihli beşinci basımın metnine ve sayfalarına dayanmaktadır. Üst cilt dört ünite ve sekiz dersten, alt cilt üç ünite ve yedi dersten oluşmaktadır (Tablo 1).</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3400"/>
        <w:gridCol w:w="1400"/>
      </w:tblGrid>
      <w:tr>
        <w:tc>
          <w:tcPr>
            <w:tcW w:type="dxa" w:w="8800"/>
            <w:gridSpan w:val="4"/>
            <w:tcBorders>
              <w:top w:val="single" w:color="000000" w:sz="4"/>
              <w:left w:val="none" w:color="FFFFFF" w:sz="0"/>
              <w:bottom w:val="single" w:color="000000" w:sz="4"/>
              <w:right w:val="none" w:color="FFFFFF" w:sz="0"/>
            </w:tcBorders>
          </w:tcPr>
          <w:p>
            <w:pPr>
              <w:spacing w:after="40" w:before="40" w:line="240"/>
            </w:pPr>
            <w:r>
              <w:rPr>
                <w:rFonts w:ascii="Times New Roman" w:cs="Times New Roman" w:eastAsia="Times New Roman" w:hAnsi="Times New Roman"/>
                <w:sz w:val="20"/>
                <w:szCs w:val="20"/>
              </w:rPr>
              <w:t xml:space="preserve">Tablo 1. 9. Sınıf Ahlak ve Hukuk Ders Kitabının Ünite ve Ders Yapısı</w:t>
            </w:r>
          </w:p>
        </w:tc>
      </w:tr>
      <w:tr>
        <w:trPr>
          <w:tblHeader/>
        </w:trPr>
        <w:tc>
          <w:tcPr>
            <w:tcW w:type="dxa" w:w="13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Cilt</w:t>
            </w:r>
          </w:p>
        </w:tc>
        <w:tc>
          <w:tcPr>
            <w:tcW w:type="dxa" w:w="27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Ünite</w:t>
            </w:r>
          </w:p>
        </w:tc>
        <w:tc>
          <w:tcPr>
            <w:tcW w:type="dxa" w:w="34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Dersler</w:t>
            </w:r>
          </w:p>
        </w:tc>
        <w:tc>
          <w:tcPr>
            <w:tcW w:type="dxa" w:w="14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Basılı Sayfa</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Üst cilt (上册)</w:t>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富强与创新 (Refah ve Yenilik)</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踏上强国之路 (Güçlü Ülke Yoluna Çıkmak); 2. 创新驱动发展 (Yeniliğin Sürüklediği Kalkınma)</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1–28</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 民主与法治 (Demokrasi ve Hukuk Devleti)</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 追求民主价值 (Demokratik Değerin Peşinde); 4. 建设法治中国 (Hukuk Devleti Çin’i İnşa Etmek)</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29–56</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 文明与家园 (Medeniyet ve Yurt)</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 守望精神家园 (Mânevî Yurda Sahip Çıkmak); 6. 建设美丽中国 (Güzel Çin’i İnşa Etmek)</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57–88</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4. 和谐与梦想 (Uyum ve Rüya)</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7. 中华一家亲 (Çin Milleti Tek Aile); 8. 中国人 中国梦 (Çinliler ve Çin Rüyası)</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89–118</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Alt cilt (下册)</w:t>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我们共同的世界 (Ortak Dünyamız)</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同住地球村 (Aynı Küresel Köyde); 2. 构建人类命运共同体 (İnsanlığın Kader Ortaklığını Kurmak)</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1–26</w:t>
            </w:r>
          </w:p>
        </w:tc>
      </w:tr>
      <w:tr>
        <w:tc>
          <w:tcPr>
            <w:tcW w:type="dxa" w:w="13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
            </w:r>
          </w:p>
        </w:tc>
        <w:tc>
          <w:tcPr>
            <w:tcW w:type="dxa" w:w="2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 世界舞台上的中国 (Dünya Sahnesinde Çin)</w:t>
            </w:r>
          </w:p>
        </w:tc>
        <w:tc>
          <w:tcPr>
            <w:tcW w:type="dxa" w:w="3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 与世界紧相连 (Dünyayla Sıkı Bağ); 4. 与世界共发展 (Dünyayla Birlikte Kalkınmak)</w:t>
            </w:r>
          </w:p>
        </w:tc>
        <w:tc>
          <w:tcPr>
            <w:tcW w:type="dxa" w:w="1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27–52</w:t>
            </w:r>
          </w:p>
        </w:tc>
      </w:tr>
      <w:tr>
        <w:tc>
          <w:tcPr>
            <w:tcW w:type="dxa" w:w="13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
            </w:r>
          </w:p>
        </w:tc>
        <w:tc>
          <w:tcPr>
            <w:tcW w:type="dxa" w:w="27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 走向未来的少年 (Geleceğe Yürüyen Gençler)</w:t>
            </w:r>
          </w:p>
        </w:tc>
        <w:tc>
          <w:tcPr>
            <w:tcW w:type="dxa" w:w="34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 少年的担当 (Gençlerin Sorumluluğu); 6. 我的毕业季 (Mezuniyet Dönemim); 7. 从这里出发 (Buradan Yola Çıkmak)</w:t>
            </w:r>
          </w:p>
        </w:tc>
        <w:tc>
          <w:tcPr>
            <w:tcW w:type="dxa" w:w="14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53–91</w:t>
            </w:r>
          </w:p>
        </w:tc>
      </w:tr>
    </w:tbl>
    <w:p>
      <w:pPr>
        <w:spacing w:after="120" w:before="60" w:line="240"/>
      </w:pPr>
      <w:r>
        <w:rPr>
          <w:rFonts w:ascii="Times New Roman" w:cs="Times New Roman" w:eastAsia="Times New Roman" w:hAnsi="Times New Roman"/>
          <w:sz w:val="20"/>
          <w:szCs w:val="20"/>
        </w:rPr>
        <w:t xml:space="preserve">Not. Ünite ve ders adları ders kitaplarının içindekiler sayfalarından alınmıştır; Türkçe karşılıklar araştırmacıya aittir.</w:t>
      </w:r>
    </w:p>
    <w:p>
      <w:pPr>
        <w:spacing w:after="120" w:before="120" w:line="360"/>
        <w:jc w:val="left"/>
      </w:pPr>
      <w:r>
        <w:rPr>
          <w:rFonts w:ascii="Times New Roman" w:cs="Times New Roman" w:eastAsia="Times New Roman" w:hAnsi="Times New Roman"/>
          <w:b/>
          <w:bCs/>
          <w:i w:val="false"/>
          <w:iCs w:val="false"/>
          <w:sz w:val="24"/>
          <w:szCs w:val="24"/>
        </w:rPr>
        <w:t xml:space="preserve">Veri Toplama Süreci</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Ders kitaplarının PDF dosyalarının metni, sayfa sınırları korunarak çıkarılmış ve iki cildin tamamı baştan sona okunmuştur. Her iki ciltte de basılı sayfa numarasının PDF sayfa sırasından beş eksik olduğu, ünite açılış sayfaları dışında sayfa altlıklarından tek tek teyit edilmiştir. Atıflarda basılı sayfa numarası kullanılmış, basılı numarası bulunmayan ünite açılış sayfaları içindekiler sayfasındaki numarayla gösterilmiştir. Çince pasajların Türkçe karşılıkları araştırmacıya aittir; metinde doğrudan aktarılan her pasajın özgün Çince metni de verilmiştir.</w:t>
      </w:r>
    </w:p>
    <w:p>
      <w:pPr>
        <w:spacing w:after="120" w:before="120" w:line="360"/>
        <w:jc w:val="left"/>
      </w:pPr>
      <w:r>
        <w:rPr>
          <w:rFonts w:ascii="Times New Roman" w:cs="Times New Roman" w:eastAsia="Times New Roman" w:hAnsi="Times New Roman"/>
          <w:b/>
          <w:bCs/>
          <w:i w:val="false"/>
          <w:iCs w:val="false"/>
          <w:sz w:val="24"/>
          <w:szCs w:val="24"/>
        </w:rPr>
        <w:t xml:space="preserve">Verilerin Analizi</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Analiz, araştırma sorularından türetilen dört ana kategori etrafında belli bir usule göre yürütülmüştür: değerler, hukuk ve yurttaşlık, ideolojik çerçeve ile din, inanç ve gelenek. Her dersin özeti çıkarılmış; değer telkini, hukuki içerik, ideolojik göndermeler ve dinî-geleneksel atıflar sayfa numaralarıyla kodlanmıştır. Din ve gelenek kategorisinde 宗教 (din), 信仰 (inanç), 儒家 (Konfüçyüsçü okul), 孔子 (Konfüçyüs), 孟子 (Mencius), 传统美德 (geleneksel erdemler), 神圣 (kutsal), 灵魂 (ruh) ve 命运 (kader) gibi kavramlar bütün metinde ayrıca taranmış ve geçtikleri her yer bağlamı içinde okunmuştur. Seçilmiş kavramların gövde metnindeki geçiş sıklığı betikle sayılmış; sayımlarda sayfa altlıklarındaki ünite ve ders adları dışarıda bırakılmıştır. Sıklıklar yorumun yerine geçmemekte, nitel bulguları destekleyen yardımcı bir göstergede kalmaktadır. Kodlamanın geçerlik ve güvenirliğine ilişkin tedbirler: [YAZAR TARAFINDAN TAMAMLANACAK: kodlamayı kimin yaptığı, ikinci kodlayıcı ya da uzman görüşü bulunup bulunmadığı, uyuşum hesabı].</w:t>
      </w:r>
    </w:p>
    <w:p>
      <w:pPr>
        <w:spacing w:after="120" w:before="240" w:line="360"/>
        <w:jc w:val="center"/>
      </w:pPr>
      <w:r>
        <w:rPr>
          <w:rFonts w:ascii="Times New Roman" w:cs="Times New Roman" w:eastAsia="Times New Roman" w:hAnsi="Times New Roman"/>
          <w:b/>
          <w:bCs/>
          <w:i w:val="false"/>
          <w:iCs w:val="false"/>
          <w:sz w:val="24"/>
          <w:szCs w:val="24"/>
        </w:rPr>
        <w:t xml:space="preserve">Bulgular</w:t>
      </w:r>
    </w:p>
    <w:p>
      <w:pPr>
        <w:spacing w:after="120" w:before="120" w:line="360"/>
        <w:jc w:val="left"/>
      </w:pPr>
      <w:r>
        <w:rPr>
          <w:rFonts w:ascii="Times New Roman" w:cs="Times New Roman" w:eastAsia="Times New Roman" w:hAnsi="Times New Roman"/>
          <w:b/>
          <w:bCs/>
          <w:i w:val="false"/>
          <w:iCs w:val="false"/>
          <w:sz w:val="24"/>
          <w:szCs w:val="24"/>
        </w:rPr>
        <w:t xml:space="preserve">Kitabın Yapısı ve Pedagojik Kurgusu</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Ders kitabı bilgi aktarımını kısa bir ana metne bırakmakta, sayfaların büyük kısmını etkinlik ve bilgi çerçevelerine ayırmaktadır. Her alt başlık öğrencinin kendi tecrübesinden hareket eden bir “Deneyimini Kullan” etkinliğiyle açılmakta, “Genişletme Alanı” ile kapanmaktadır. Aradaki en yaygın çerçeve “Araştır ve Paylaş” etkinliğidir; bu çerçeve üst ciltte 68, alt ciltte 70 kez yer almaktadır (Tablo 2). Üst ciltte 48 kez görülen “İlgili Bağlantı” kutuları çoğunlukla yasa maddelerini, Parti belgelerini ve lider sözlerini aktarmaktadır; alt ciltte bu çerçevenin yalnızca 7 kez kullanılması, ikinci dönemin dış dünyaya ve öğrencinin geleceğine yönelen anlatısıyla uyumludur.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600"/>
        <w:gridCol w:w="1600"/>
      </w:tblGrid>
      <w:tr>
        <w:tc>
          <w:tcPr>
            <w:tcW w:type="dxa" w:w="8800"/>
            <w:gridSpan w:val="4"/>
            <w:tcBorders>
              <w:top w:val="single" w:color="000000" w:sz="4"/>
              <w:left w:val="none" w:color="FFFFFF" w:sz="0"/>
              <w:bottom w:val="single" w:color="000000" w:sz="4"/>
              <w:right w:val="none" w:color="FFFFFF" w:sz="0"/>
            </w:tcBorders>
          </w:tcPr>
          <w:p>
            <w:pPr>
              <w:spacing w:after="40" w:before="40" w:line="240"/>
            </w:pPr>
            <w:r>
              <w:rPr>
                <w:rFonts w:ascii="Times New Roman" w:cs="Times New Roman" w:eastAsia="Times New Roman" w:hAnsi="Times New Roman"/>
                <w:sz w:val="20"/>
                <w:szCs w:val="20"/>
              </w:rPr>
              <w:t xml:space="preserve">Tablo 2. Ders Kitabındaki Etkinlik ve Bilgi Çerçevelerinin Sayısı</w:t>
            </w:r>
          </w:p>
        </w:tc>
      </w:tr>
      <w:tr>
        <w:trPr>
          <w:tblHeader/>
        </w:trPr>
        <w:tc>
          <w:tcPr>
            <w:tcW w:type="dxa" w:w="20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Çerçeve</w:t>
            </w:r>
          </w:p>
        </w:tc>
        <w:tc>
          <w:tcPr>
            <w:tcW w:type="dxa" w:w="36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Türkçe Karşılığı</w:t>
            </w:r>
          </w:p>
        </w:tc>
        <w:tc>
          <w:tcPr>
            <w:tcW w:type="dxa" w:w="16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Üst Cilt</w:t>
            </w:r>
          </w:p>
        </w:tc>
        <w:tc>
          <w:tcPr>
            <w:tcW w:type="dxa" w:w="16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Alt Cilt</w:t>
            </w:r>
          </w:p>
        </w:tc>
      </w:tr>
      <w:t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运用你的经验</w:t>
            </w:r>
          </w:p>
        </w:tc>
        <w:tc>
          <w:tcPr>
            <w:tcW w:type="dxa" w:w="3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Deneyimini Kullan</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16</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14</w:t>
            </w:r>
          </w:p>
        </w:tc>
      </w:tr>
      <w:t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探究与分享</w:t>
            </w:r>
          </w:p>
        </w:tc>
        <w:tc>
          <w:tcPr>
            <w:tcW w:type="dxa" w:w="3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Araştır ve Paylaş</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68</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70</w:t>
            </w:r>
          </w:p>
        </w:tc>
      </w:tr>
      <w:t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相关链接</w:t>
            </w:r>
          </w:p>
        </w:tc>
        <w:tc>
          <w:tcPr>
            <w:tcW w:type="dxa" w:w="3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İlgili Bağlantı</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48</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7</w:t>
            </w:r>
          </w:p>
        </w:tc>
      </w:tr>
      <w:t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阅读感悟</w:t>
            </w:r>
          </w:p>
        </w:tc>
        <w:tc>
          <w:tcPr>
            <w:tcW w:type="dxa" w:w="3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Oku ve Düşün</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9</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10</w:t>
            </w:r>
          </w:p>
        </w:tc>
      </w:tr>
      <w:t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方法与技能</w:t>
            </w:r>
          </w:p>
        </w:tc>
        <w:tc>
          <w:tcPr>
            <w:tcW w:type="dxa" w:w="3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Yöntem ve Beceri</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w:t>
            </w:r>
          </w:p>
        </w:tc>
      </w:tr>
      <w:tr>
        <w:tc>
          <w:tcPr>
            <w:tcW w:type="dxa" w:w="20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拓展空间</w:t>
            </w:r>
          </w:p>
        </w:tc>
        <w:tc>
          <w:tcPr>
            <w:tcW w:type="dxa" w:w="36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Genişletme Alanı</w:t>
            </w:r>
          </w:p>
        </w:tc>
        <w:tc>
          <w:tcPr>
            <w:tcW w:type="dxa" w:w="16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16</w:t>
            </w:r>
          </w:p>
        </w:tc>
        <w:tc>
          <w:tcPr>
            <w:tcW w:type="dxa" w:w="16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14</w:t>
            </w:r>
          </w:p>
        </w:tc>
      </w:tr>
    </w:tbl>
    <w:p>
      <w:pPr>
        <w:spacing w:after="120" w:before="60" w:line="240"/>
      </w:pPr>
      <w:r>
        <w:rPr>
          <w:rFonts w:ascii="Times New Roman" w:cs="Times New Roman" w:eastAsia="Times New Roman" w:hAnsi="Times New Roman"/>
          <w:sz w:val="20"/>
          <w:szCs w:val="20"/>
        </w:rPr>
        <w:t xml:space="preserve">Not. Sayılar, gövde metninde (üst cilt PDF s. 6–123, alt cilt PDF s. 6–96) çerçeve adının geçtiği yerlerin betikle sayılmasıyla elde edilmiştir.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Etkinlikler görünüşte açık uçludur: Öğrencilerden münazara yapmaları, forumlara yorum yazmaları, birbiriyle çatışan görüş balonlarını değerlendirmeleri istenir. Bununla birlikte incelenen örneklerde sorular çoğu zaman ana metinde ulaşılmış hükme doğru yönlendirilmektedir; bunun bütün etkinliklerdeki oranı ayrıca kodlanarak hesaplanmamıştır. Yasaya neden uyulması gerektiği sorulduğunda dört görüş sıralanır; bunlardan biri “özgürlük ancak yasayla vardır, bilinçli olarak yasaya uymayı seçiyorum” şeklindedir (我守法，是因为有法律才有自由; Jiaoyubu, 2021, s. 54); öteki seçenekler zahmetten kaçınma, korku ve kurala uyma gerekçelerine dayanır, aşkın bir gerekçe ise seçenekler arasında yer almaz. Benzer biçimde, Çin’de söylenegelen “öne çıkan kuşu tüfek vurur”, “ormanda sivrilen ağacı rüzgâr mutlaka kırar” sözleri yenilik kıvılcımını söndüren bir “kültürel psikoloji” olarak tartışmaya açılır (Jiaoyubu, 2021, s. 28).</w:t>
      </w:r>
    </w:p>
    <w:p>
      <w:pPr>
        <w:spacing w:after="0" w:before="40" w:line="276"/>
        <w:ind w:left="567"/>
        <w:jc w:val="both"/>
      </w:pPr>
      <w:r>
        <w:rPr>
          <w:rFonts w:ascii="Times New Roman" w:cs="Times New Roman" w:eastAsia="Times New Roman" w:hAnsi="Times New Roman"/>
          <w:i/>
          <w:iCs/>
          <w:color w:val="404040"/>
          <w:sz w:val="20"/>
          <w:szCs w:val="20"/>
        </w:rPr>
        <w:t xml:space="preserve">“我守法，是因为有法律才有自由”</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59; basılı s. 54;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“中国有“枪打出头鸟”“木秀于林，风必摧之”的说法，这样的文化心理，会浇灭创新的火花”</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33; basılı s. 28;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Kitabın değer öğretiminde en sık başvurduğu araçlardan biri örnek şahsiyettir. Bilim insanları, sınır karakolundaki askerler, hayırseverler, devrim şehitleri ve “Çin’in iyi insanları” derslerin her yerinde karşımıza çıkar. Yenilik dersinde cerrah Wu Mengchao ile hocası Qiu Fazu’nun yenilikçiliğinin anlatıldığı bir etkinlikte, Uluslararası Küçük Gezegen Merkezinin 17606 numaralı küçük gezegene “kalıcı olarak” “Wu Mengchao Yıldızı” adını verdiği bilgisi bilimsel başarının uluslararası tanınmasının bir nişanesi olarak aktarılır (Jiaoyubu, 2021, s. 27). Alt ciltte ise Güney Sudan’da barış gücü görevi sırasında bir saldırıda yaralanıp kurtarılamayarak şehit düşen (牺牲) asker Yang Shupeng’in örneği, Çin’in barış gücü harekâtındaki sorumluluğu bağlamında verilir (Jiaoyubu, 2018, s. 29); fotoğraf altındaki yazıda kendisinden “şehit” (烈士) olarak söz edilir. Bu örneklerde ölüm ve fedakârlık bir ahiret inancına bağlanmadan millî ve insani bir ideal içinde anlamlandırılmaktadır.</w:t>
      </w:r>
    </w:p>
    <w:p>
      <w:pPr>
        <w:spacing w:after="0" w:before="40" w:line="276"/>
        <w:ind w:left="567"/>
        <w:jc w:val="both"/>
      </w:pPr>
      <w:r>
        <w:rPr>
          <w:rFonts w:ascii="Times New Roman" w:cs="Times New Roman" w:eastAsia="Times New Roman" w:hAnsi="Times New Roman"/>
          <w:i/>
          <w:iCs/>
          <w:color w:val="404040"/>
          <w:sz w:val="20"/>
          <w:szCs w:val="20"/>
        </w:rPr>
        <w:t xml:space="preserve">“将第 17606 号小行星永久命名为“吴孟超星””</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32; basılı s. 27;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“杨树朋在南苏丹遇袭事件中受伤，经抢救无效牺牲”</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34; basılı s. 29; birebir eşleşme: TAM]</w:t>
      </w:r>
    </w:p>
    <w:p>
      <w:pPr>
        <w:spacing w:after="120" w:before="120" w:line="360"/>
        <w:jc w:val="left"/>
      </w:pPr>
      <w:r>
        <w:rPr>
          <w:rFonts w:ascii="Times New Roman" w:cs="Times New Roman" w:eastAsia="Times New Roman" w:hAnsi="Times New Roman"/>
          <w:b/>
          <w:bCs/>
          <w:i w:val="false"/>
          <w:iCs w:val="false"/>
          <w:sz w:val="24"/>
          <w:szCs w:val="24"/>
        </w:rPr>
        <w:t xml:space="preserve">Değerler: Ahlakın Dayanağı ve Erdem Kataloğu</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Kitabın ilk ünitesi, ahlaki öznenin içinde konumlanacağı tarihî anlatıyı kurar. Çin’in beş bin yılı aşkın bir medeniyet tarihine sahip olduğu, yakın çağda ise Batılı güçlerin istilası ve feodal yönetimin çürümüşlüğü yüzünden daha önce görülmemiş acılar çektiği anlatılır (Jiaoyubu, 2021, s. 3). Bu acıdan çıkışın öznesi Çin Komünist Partisi’dir: Partinin önderliğinde Çin milleti “ayağa kalkmaktan zenginleşmeye ve güçlenmeye uzanan büyük sıçramayı” yaşamıştır (Jiaoyubu, 2021, s. 1). “Çin’i ancak sosyalizm kurtarabilir” hükmü (Jiaoyubu, 2021, s. 5) ve reform ile dışa açılmanın “çağdaş Çin’in kaderini belirleyen kilit hamle” sayılması (Jiaoyubu, 2021, s. 5), ahlakın kendisinden beslendiği zemini tarih, millet ve Parti üçlüsü olarak belirler. Bu üçlünün dışında, ahlakın vahiy, ilahî emir ya da Gök (天) iradesi gibi aşkın bir kaynağa dayandırıldığı bir pasaja üst ciltte rastlanmamıştır; “Gök durmaksızın hareket eder, erdemli kişi de durmaksızın kendini güçlendirir” gibi kozmolojik benzetmeler ise yalnızca alıntı listelerinde ve açıklanmadan yer alır (Jiaoyubu, 2021, s. 70).</w:t>
      </w:r>
    </w:p>
    <w:p>
      <w:pPr>
        <w:spacing w:after="0" w:before="40" w:line="276"/>
        <w:ind w:left="567"/>
        <w:jc w:val="both"/>
      </w:pPr>
      <w:r>
        <w:rPr>
          <w:rFonts w:ascii="Times New Roman" w:cs="Times New Roman" w:eastAsia="Times New Roman" w:hAnsi="Times New Roman"/>
          <w:i/>
          <w:iCs/>
          <w:color w:val="404040"/>
          <w:sz w:val="20"/>
          <w:szCs w:val="20"/>
        </w:rPr>
        <w:t xml:space="preserve">“近代以后，由于西方列强的入侵、封建统治的腐败，中华民族遭受了前所未有的苦难”</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8; basılı s. 3;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“在中国共产党的领导下，中华民族迎来了从站起来、富起来到强起来的伟大飞跃”</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6; basılı s. 1 (sayfada basılı numara yok; 目录'ye göre);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“只有社会主义才能救中国”</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10; basılı s. 5;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“天行健，君子以自强不息”</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75; basılı s. 70;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Değerlerin ölçütü açıkça tanımlanmıştır. Kitap, anayasanın devletin sosyalist çekirdek değerleri savunduğu hükmünü hatırlattıktan sonra “sosyalist çekirdek değerler, çağdaş Çinlilerin doğruyu ve yanlışı değerlendirme ölçütüdür” der (社会主义核心价值观是当代中国人评判是非曲直的价值标准; Jiaoyubu, 2021, s. 71). İyilik, doğruluk ve dürüstlük gibi değerlerin insanlığın temel ortaklığını taşıdığı kabul edilir (Jiaoyubu, 2021, s. 70); fakat ardından değerlerin milletlere ve çağlara göre belirgin biçimde farklılaştığı vurgulanır ve Çin’in özgün kültürel geleneği, özgün tarihî kaderi ve özgün ulusal şartlarının, Çin kültürünün verimli toprağında kök salmış ve çağdaş Çin’e özgü değerlere bağlı kalmayı “kaçınılmaz kıldığı” belirtilir (注定我们必然坚守植根于中华文化沃土又具有当代中国特色的价值观; Jiaoyubu, 2021, s. 70). Kitap aynı yerde sosyalist çekirdek değerlerin dünya medeniyetinin faydalı birikimini de özümsediğini ekler (Jiaoyubu, 2021, s. 70). Evrensel olan böylece kabul edilmekte, fakat felsefi bir temellendirme yerine millî ve tarihî farklılık gerekçesiyle millî bir zorunluluğa bağlanmaktadır.</w:t>
      </w:r>
    </w:p>
    <w:p>
      <w:pPr>
        <w:spacing w:after="0" w:before="40" w:line="276"/>
        <w:ind w:left="567"/>
        <w:jc w:val="both"/>
      </w:pPr>
      <w:r>
        <w:rPr>
          <w:rFonts w:ascii="Times New Roman" w:cs="Times New Roman" w:eastAsia="Times New Roman" w:hAnsi="Times New Roman"/>
          <w:i/>
          <w:iCs/>
          <w:color w:val="404040"/>
          <w:sz w:val="20"/>
          <w:szCs w:val="20"/>
        </w:rPr>
        <w:t xml:space="preserve">“社会主义核心价值观是当代中国人评判是非曲直的价值标准”</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76; basılı s. 71;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“许多价值具有人类的基本共性，如善良、正直、诚信”</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75; basılı s. 70;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Erdem kataloğu ise geleneğin dilini taşır. Üçüncü ünitede Çin geleneksel erdemleri “Çin kültürünün özü” olarak tanımlanır (Jiaoyubu, 2021, s. 62); ülke ve halk için kaygılanan vatan sevgisi, çalışkanlık ve kendini durmaksızın güçlendirme, yardımlaşma, dürüstlük ve kanuna bağlılık ile birlikte “anne babaya hürmet ve öğretmene saygı” gibi ahlak kuralları sayılır (Jiaoyubu, 2021, s. 63). Bu erdemlerin, uzun tarihî birikim sonucunda milletin düşünme biçimine, değer anlayışına, davranış biçimine ve örf ve âdetine karışarak “bir kültür geni” hâline geldiği ifade edilir (Jiaoyubu, 2021, s. 64). “Gen” benzetmesi erdemi gerekçelendirilecek bir şey olmaktan çıkarıp Çinli olmanın tabii bir uzantısı gibi sunmaktadır; kitap bununla birlikte erdemin gücünün uygulamada olduğunu ve gençlerin onu bizzat yaşaması gerektiğini de vurgular (Jiaoyubu, 2021, s. 65).</w:t>
      </w:r>
    </w:p>
    <w:p>
      <w:pPr>
        <w:spacing w:after="0" w:before="40" w:line="276"/>
        <w:ind w:left="567"/>
        <w:jc w:val="both"/>
      </w:pPr>
      <w:r>
        <w:rPr>
          <w:rFonts w:ascii="Times New Roman" w:cs="Times New Roman" w:eastAsia="Times New Roman" w:hAnsi="Times New Roman"/>
          <w:i/>
          <w:iCs/>
          <w:color w:val="404040"/>
          <w:sz w:val="20"/>
          <w:szCs w:val="20"/>
        </w:rPr>
        <w:t xml:space="preserve">“中华传统美德是中华文化的精髓”</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67; basılı s. 62;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“有孝敬父母、尊敬师长的伦理规范”</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68; basılı s. 63;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“中华传统美德已经融入中华民族的思维方式、价值观念、行为方式和风俗习惯，成为一种文化基因”</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69; basılı s. 64;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“美德的力量在于践行”</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70; basılı s. 65;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Vatanseverlik bu katalogda merkezî konumdadır ve siyasi bir sadakatle özdeşleştirilir: “Çağdaş Çin’de vatanseverliğin özü, vatanı sevmek ile Parti’yi ve sosyalizmi sevmenin yüksek bir birliğini korumaktır” (当代中国，爱国主义的本质就是坚持爱国和爱党、爱社会主义高度统一; Jiaoyubu, 2021, s. 67). Erdem böylece tek bir siyasal merkeze bağlanmakta, ahlaki öznenin bağlılığı Parti’ye uzanan bir zincire eklemlenmektedir. Mutluluk sorusu da aynı dünyevi çerçevede tartışılır: “Maddi hayat iyileşince insan mutlu olur mu?” konulu bir çevrimiçi forum etkinliğinde aktarılan internet kullanıcısı görüşlerinden biri, maddi zenginliğin mutluluğa yardım ettiğini, fakat hayatın amacıyla bir tutulamayacağını söyler (Jiaoyubu, 2021, s. 13); son ünitede ise ana metin “ancak mücadele eden bir hayatın mutlu bir hayat sayılabileceği” hükmüne ulaşır (Jiaoyubu, 2021, s. 114).</w:t>
      </w:r>
    </w:p>
    <w:p>
      <w:pPr>
        <w:spacing w:after="0" w:before="40" w:line="276"/>
        <w:ind w:left="567"/>
        <w:jc w:val="both"/>
      </w:pPr>
      <w:r>
        <w:rPr>
          <w:rFonts w:ascii="Times New Roman" w:cs="Times New Roman" w:eastAsia="Times New Roman" w:hAnsi="Times New Roman"/>
          <w:i/>
          <w:iCs/>
          <w:color w:val="404040"/>
          <w:sz w:val="20"/>
          <w:szCs w:val="20"/>
        </w:rPr>
        <w:t xml:space="preserve">“当代中国，爱国主义的本质就是坚持爱国和爱党、爱社会主义高度统一”</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72; basılı s. 67;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“物质财富有助于人实现幸福这个目标，但不能把物质财富与人生目标等同”</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18; basılı s. 13;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“只有奋斗的人生才称得上幸福的人生”</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119; basılı s. 114;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Üst cildin ekoloji dersi, doğa ile insan arasındaki ilişkiyi de aynı içkin çerçevede ahlakileştirir. İnsanın doğayı işleyip kullanabileceği, fakat doğanın üstüne keyfince çıkamayacağı belirtilir ve “doğadan yalnızca alıp durursak mutlaka onun cezasına uğrarız” denir (如果我们对自然只是一味地索取，必然受到它的惩罚; Jiaoyubu, 2021, s. 82). Çevreyi korumak “yeniden doğuşa”, çevreyi tahrip etmek ise “kendi kendini yok etmeye” giden yol olarak tasvir edilir (Jiaoyubu, 2021, s. 79). Ceza, yeniden doğuş ve helak çağrışımları taşıyan bu dil, yaratıcı ya da kutsal bir referansa bağlanmaz; ölçüt doğa yasası ve medeniyetin bekasıdır: “Ekoloji gelişirse medeniyet gelişir, ekoloji gerilerse medeniyet geriler” (Jiaoyubu, 2021, s. 82). Tao Yuanming’in “Bunda hakiki bir mana var; anlatmak istedim, sözü unuttum” dizesiyle biten şiiri de, “hakiki mana”nın (真意) felsefi ya da Daoist içeriğine değinilmeden, “insan ile doğanın uyum içinde birlikte var olması” başlığı altında bir yaşam tablosu ve şiirsel atmosfer (意境) örneği olarak okutulur (Jiaoyubu, 2021, s. 81).</w:t>
      </w:r>
    </w:p>
    <w:p>
      <w:pPr>
        <w:spacing w:after="0" w:before="40" w:line="276"/>
        <w:ind w:left="567"/>
        <w:jc w:val="both"/>
      </w:pPr>
      <w:r>
        <w:rPr>
          <w:rFonts w:ascii="Times New Roman" w:cs="Times New Roman" w:eastAsia="Times New Roman" w:hAnsi="Times New Roman"/>
          <w:i/>
          <w:iCs/>
          <w:color w:val="404040"/>
          <w:sz w:val="20"/>
          <w:szCs w:val="20"/>
        </w:rPr>
        <w:t xml:space="preserve">“如果我们对自然只是一味地索取，必然受到它的惩罚”</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87; basılı s. 82;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“人类关爱和保护环境就是走向重生，漠视和破坏环境就是走向自我毁灭”</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84; basılı s. 79;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“此中有真意，欲辨已忘言”</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86; basılı s. 81;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Alt ciltte değer öğretiminin ölçeği millî sınırları aşarak insanlığa açılır. Barış, kalkınma, hakkaniyet, adalet, demokrasi ve özgürlük “bütün insanlığın ortak değerleri” olarak sunulur; bu değerleri yüceltenin ve “insanlığın ilerleme akımına öncülük edenin” Çin olduğu belirtilir (Jiaoyubu, 2018, s. 24). Evrensel ahlakın en açık biçimde temellendirildiği pasajda ise ölçüt hayatın değeridir: Hayata özen göstermek ve hayatın değerine saygı duymak, insanın yalnızca kendisine iyi davranmasını değil, ilgisini dünyaya yöneltmesini de sağlar (Jiaoyubu, 2018, s. 25). Bununla birlikte alt ciltte sorumluluk, barışseverlik ve içtenlik gibi erdemler çoğu zaman bireyden çok kolektif bir aktör olarak Çin devletine yüklenir; Çin’in “kadim bir medeniyet ülkesinin bilgeliği ve yükselen bir büyük ülkenin sorumluluğuyla” günümüz dünyasının barış ve kalkınmasında giderek daha önemli bir rol oynadığı anlatılır (Jiaoyubu, 2018, s. 28). Öğrenci çoğu etkinlikte bu erdemlerin taşıyıcısı olmaktan çok devletin tutumunu açıklayan ve gerekçelendiren, kimi etkinliklerde de bunu yabancılara anlatan bir konumda kurgulanmaktadır (Jiaoyubu, 2018, s. 30).</w:t>
      </w:r>
    </w:p>
    <w:p>
      <w:pPr>
        <w:spacing w:after="0" w:before="40" w:line="276"/>
        <w:ind w:left="567"/>
        <w:jc w:val="both"/>
      </w:pPr>
      <w:r>
        <w:rPr>
          <w:rFonts w:ascii="Times New Roman" w:cs="Times New Roman" w:eastAsia="Times New Roman" w:hAnsi="Times New Roman"/>
          <w:i/>
          <w:iCs/>
          <w:color w:val="404040"/>
          <w:sz w:val="20"/>
          <w:szCs w:val="20"/>
        </w:rPr>
        <w:t xml:space="preserve">“中国积极开展中国特色大国外交，推动建设新型国际关系，推动构建人类命运共同体，弘扬和平、发展、公平、正义、民主、自由的全人类共同价值，引领人类进步潮流”</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29; basılı s. 24;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“关怀生命、尊重生命的价值，能够让我们不仅善待自己，而且把关切的目光投向世界”</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30; basılı s. 25;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“中国正在以文明古国的智慧和新兴大国的责任”</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33; basılı s. 28;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“给国外的友人介绍中国减贫的成绩和经验”</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35; basılı s. 30; birebir eşleşme: TAM]</w:t>
      </w:r>
    </w:p>
    <w:p>
      <w:pPr>
        <w:spacing w:after="120" w:before="120" w:line="360"/>
        <w:jc w:val="left"/>
      </w:pPr>
      <w:r>
        <w:rPr>
          <w:rFonts w:ascii="Times New Roman" w:cs="Times New Roman" w:eastAsia="Times New Roman" w:hAnsi="Times New Roman"/>
          <w:b/>
          <w:bCs/>
          <w:i w:val="false"/>
          <w:iCs w:val="false"/>
          <w:sz w:val="24"/>
          <w:szCs w:val="24"/>
        </w:rPr>
        <w:t xml:space="preserve">Hukuk ve Yurttaşlık</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Kitabın ikinci ünitesi demokrasi ve hukuk devletine ayrılmıştır. 法治 kavramı üst cildin gövde metninde 141 kez geçmekte, bunların 134’ü bu ünitede yer almaktadır (Tablo 3). Hukukun üstünlüğü “insan toplumunun modern medeniyete girişinin önemli işareti” sayılır (Jiaoyubu, 2021, s. 44) ve insan yönetimi düşüncesiyle karşılaştırılır: “İnsan yönetimi düşüncesi bireyin iradesini en yüksek otorite sayar; hukuk yönetimi düşüncesi yasayı en yüksek otorite sayar” (Jiaoyubu, 2021, s. 46). Demokrasinin kökü ise geleneğe bağlanır; “demokrasi” sözcüğünün ilk kez 《尚书》’da geçtiği ve geleneksel kültürdeki halk merkezli düşüncenin Çin’in demokrasi arayışının önemli bir kaynağı olduğu belirtilir (Jiaoyubu, 2021, s. 30).</w:t>
      </w:r>
    </w:p>
    <w:p>
      <w:pPr>
        <w:spacing w:after="0" w:before="40" w:line="276"/>
        <w:ind w:left="567"/>
        <w:jc w:val="both"/>
      </w:pPr>
      <w:r>
        <w:rPr>
          <w:rFonts w:ascii="Times New Roman" w:cs="Times New Roman" w:eastAsia="Times New Roman" w:hAnsi="Times New Roman"/>
          <w:i/>
          <w:iCs/>
          <w:color w:val="404040"/>
          <w:sz w:val="20"/>
          <w:szCs w:val="20"/>
        </w:rPr>
        <w:t xml:space="preserve">“法治是人类社会进入现代文明的重要标志”</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49; basılı s. 44;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“人治思维奉个人的意志为最高权威；法治思维以法律为最高权威”</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51; basılı s. 46;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“在中国，“民主”一词最早出自《尚书》”</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35; basılı s. 30;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Din eğitimi bakımından ünitenin en dikkat çekici cümlesi, kaynağı gösterilmeyen klasik bir vecizedir: “Yasa ne gökten iner ne yerden çıkar; insanlar arasında doğar ve yalnızca insan gönlüne uyar” (法，非从天下，非从地出，发于人间，合乎人心而已; Jiaoyubu, 2021, s. 55). Bu cümle hukukun kaynağını açıkça içkin bir alana yerleştirmekte, ilahî veya kozmik bir menşe ihtimalini kapatmaktadır. Hukuk ile ahlak arasındaki ilişki de içkin bir döngü olarak kurulur: Hukuk ahlaki anlayışı taşır, ahlak hukuk ruhunu besler; “hukuk ile ahlak birbirini tamamlar, hukukla yönetim ile erdemle yönetim birbirini güçlendirir” (法律与道德相辅相成，法治与德治相得益彰; Jiaoyubu, 2021, s. 55). Konfüçyüsçü kökenli “erdemle yönetim” (德治) kavramı böylece hukuk devleti söylemine mezcedilmektedir.</w:t>
      </w:r>
    </w:p>
    <w:p>
      <w:pPr>
        <w:spacing w:after="0" w:before="40" w:line="276"/>
        <w:ind w:left="567"/>
        <w:jc w:val="both"/>
      </w:pPr>
      <w:r>
        <w:rPr>
          <w:rFonts w:ascii="Times New Roman" w:cs="Times New Roman" w:eastAsia="Times New Roman" w:hAnsi="Times New Roman"/>
          <w:i/>
          <w:iCs/>
          <w:color w:val="404040"/>
          <w:sz w:val="20"/>
          <w:szCs w:val="20"/>
        </w:rPr>
        <w:t xml:space="preserve">“法，非从天下，非从地出，发于人间，合乎人心而已”</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60; basılı s. 55;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Yurttaşın hukuka bağlılığı ise dinî bağlılığı çağrıştıran bir sözcük dağarıyla anlatılır. Demokrasi düşüncesinin ve hukuk ruhunun yurttaşın “bilinçli inancı” (自觉信仰) hâline gelmesi istenir (Jiaoyubu, 2021, s. 42); her yurttaşın hukukun “sadık yücelticisi, bilinçli riayet edeni ve kararlı savunucusu” olması hedeflenir (Jiaoyubu, 2021, s. 49); ünite de hukukun üstünlüğünün “yüce bir toplumsal ideal” olduğu cümlesiyle kapanır (Jiaoyubu, 2021, s. 56). İnanç, sadakat ve yücelik bildiren bu kelimeler aşkın bir varlığa değil, hukuk düzenine yöneltilmektedir. Alt ciltte ise hukuk içeriği belirgin biçimde azalır; 法治 gövde metninde yalnızca iki kez geçer ve anayasaya hiç atıf yapılmaz (Tablo 3).</w:t>
      </w:r>
    </w:p>
    <w:p>
      <w:pPr>
        <w:spacing w:after="0" w:before="40" w:line="276"/>
        <w:ind w:left="567"/>
        <w:jc w:val="both"/>
      </w:pPr>
      <w:r>
        <w:rPr>
          <w:rFonts w:ascii="Times New Roman" w:cs="Times New Roman" w:eastAsia="Times New Roman" w:hAnsi="Times New Roman"/>
          <w:i/>
          <w:iCs/>
          <w:color w:val="404040"/>
          <w:sz w:val="20"/>
          <w:szCs w:val="20"/>
        </w:rPr>
        <w:t xml:space="preserve">“使民主思想和法治精神成为公民的自觉信仰”</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47; basılı s. 42;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“使每一位公民都成为法治的忠实崇尚者、自觉遵守者和坚定捍卫者”</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54; basılı s. 49;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“法治既是崇高的社会理想”</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61; basılı s. 56; birebir eşleşme: TAM]</w:t>
      </w:r>
    </w:p>
    <w:p>
      <w:pPr>
        <w:spacing w:after="120" w:before="120" w:line="360"/>
        <w:jc w:val="left"/>
      </w:pPr>
      <w:r>
        <w:rPr>
          <w:rFonts w:ascii="Times New Roman" w:cs="Times New Roman" w:eastAsia="Times New Roman" w:hAnsi="Times New Roman"/>
          <w:b/>
          <w:bCs/>
          <w:i w:val="false"/>
          <w:iCs w:val="false"/>
          <w:sz w:val="24"/>
          <w:szCs w:val="24"/>
        </w:rPr>
        <w:t xml:space="preserve">İdeolojik Çerçeve</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Tablo 3’teki sıklıklar ideolojik yoğunluğun üst ciltte toplandığını göstermektedir: Çin Komünist Partisi adı 31, Xi Jinping adı 18, “Çin Rüyası” kavramı 25 kez geçmektedir.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1600"/>
        <w:gridCol w:w="1600"/>
      </w:tblGrid>
      <w:tr>
        <w:tc>
          <w:tcPr>
            <w:tcW w:type="dxa" w:w="8800"/>
            <w:gridSpan w:val="4"/>
            <w:tcBorders>
              <w:top w:val="single" w:color="000000" w:sz="4"/>
              <w:left w:val="none" w:color="FFFFFF" w:sz="0"/>
              <w:bottom w:val="single" w:color="000000" w:sz="4"/>
              <w:right w:val="none" w:color="FFFFFF" w:sz="0"/>
            </w:tcBorders>
          </w:tcPr>
          <w:p>
            <w:pPr>
              <w:spacing w:after="40" w:before="40" w:line="240"/>
            </w:pPr>
            <w:r>
              <w:rPr>
                <w:rFonts w:ascii="Times New Roman" w:cs="Times New Roman" w:eastAsia="Times New Roman" w:hAnsi="Times New Roman"/>
                <w:sz w:val="20"/>
                <w:szCs w:val="20"/>
              </w:rPr>
              <w:t xml:space="preserve">Tablo 3. Seçilmiş Kavramların Gövde Metnindeki Geçiş Sıklığı</w:t>
            </w:r>
          </w:p>
        </w:tc>
      </w:tr>
      <w:tr>
        <w:trPr>
          <w:tblHeader/>
        </w:trPr>
        <w:tc>
          <w:tcPr>
            <w:tcW w:type="dxa" w:w="24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Kavram</w:t>
            </w:r>
          </w:p>
        </w:tc>
        <w:tc>
          <w:tcPr>
            <w:tcW w:type="dxa" w:w="32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Türkçe Karşılığı</w:t>
            </w:r>
          </w:p>
        </w:tc>
        <w:tc>
          <w:tcPr>
            <w:tcW w:type="dxa" w:w="16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Üst Cilt</w:t>
            </w:r>
          </w:p>
        </w:tc>
        <w:tc>
          <w:tcPr>
            <w:tcW w:type="dxa" w:w="1600"/>
            <w:tcBorders>
              <w:top w:val="single" w:color="000000" w:sz="4"/>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bCs/>
                <w:sz w:val="20"/>
                <w:szCs w:val="20"/>
              </w:rPr>
              <w:t xml:space="preserve">Alt Cilt</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宗教</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din</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信仰</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inanç</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4</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儒家 / 孔子 / 孟子</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Konfüçyüsçü okul / Konfüçyüs / Mencius</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 / 0 / 4</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 3 / 0</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论语 / 礼记</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Konuşmalar / Törenler Kitabı</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 1</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 / 1</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传统美德</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geleneksel erdemler</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中华优秀传统文化</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Çin’in üstün geleneksel kültürü</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7</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社会主义核心价值观</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sosyalist çekirdek değerler</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14</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民族精神</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millî ruh</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18</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中国共产党</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Çin Komünist Partisi</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31</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习近平</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Xi Jinping</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18</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6</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中国梦</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Çin Rüyası</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25</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6</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法治</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hukuk devleti / hukukun üstünlüğü</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141</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宪法</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anayasa</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27</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民族团结</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etnik gruplar (milletler) arası birlik</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22</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w:t>
            </w:r>
          </w:p>
        </w:tc>
      </w:tr>
      <w:tr>
        <w:tc>
          <w:tcPr>
            <w:tcW w:type="dxa" w:w="24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人类命运共同体</w:t>
            </w:r>
          </w:p>
        </w:tc>
        <w:tc>
          <w:tcPr>
            <w:tcW w:type="dxa" w:w="3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insanlığın kader ortaklığı</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0</w:t>
            </w:r>
          </w:p>
        </w:tc>
        <w:tc>
          <w:tcPr>
            <w:tcW w:type="dxa" w:w="1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10</w:t>
            </w:r>
          </w:p>
        </w:tc>
      </w:tr>
      <w:tr>
        <w:tc>
          <w:tcPr>
            <w:tcW w:type="dxa" w:w="24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命运</w:t>
            </w:r>
          </w:p>
        </w:tc>
        <w:tc>
          <w:tcPr>
            <w:tcW w:type="dxa" w:w="32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kader</w:t>
            </w:r>
          </w:p>
        </w:tc>
        <w:tc>
          <w:tcPr>
            <w:tcW w:type="dxa" w:w="16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13</w:t>
            </w:r>
          </w:p>
        </w:tc>
        <w:tc>
          <w:tcPr>
            <w:tcW w:type="dxa" w:w="1600"/>
            <w:tcBorders>
              <w:top w:val="none" w:color="FFFFFF" w:sz="0"/>
              <w:left w:val="none" w:color="FFFFFF" w:sz="0"/>
              <w:bottom w:val="single" w:color="000000" w:sz="4"/>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28</w:t>
            </w:r>
          </w:p>
        </w:tc>
      </w:tr>
    </w:tbl>
    <w:p>
      <w:pPr>
        <w:spacing w:after="120" w:before="60" w:line="240"/>
      </w:pPr>
      <w:r>
        <w:rPr>
          <w:rFonts w:ascii="Times New Roman" w:cs="Times New Roman" w:eastAsia="Times New Roman" w:hAnsi="Times New Roman"/>
          <w:sz w:val="20"/>
          <w:szCs w:val="20"/>
        </w:rPr>
        <w:t xml:space="preserve">Not. Sayımlarda sayfa altlıklarındaki ünite ve ders adları ile 道德与法治 ve 民主与法治 adlarındaki 法治 geçişleri dışarıda bırakılmıştır. Üst ciltteki 141 法治 geçişinin 134’ü ikinci ünitededir. Alt ciltteki 人类命运共同体 sayısına 2. dersin başlığındaki bir geçiş dâhildir; akan metinde kavram dokuz kez geçer. 命运 sayısı 人类命运共同体 geçişlerini de içerir.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Üst cildin son dersi (中国人 中国梦) bu yoğunluğun doruğudur. Dersin ilk bölümünde, 小康 kavramının kökenini açıklayan bir “İlgili Bağlantı” kutusunda gelecek toplum tasavvuru 《礼记·礼运》’daki “büyük yol hüküm sürdüğünde dünya herkesindir” pasajıyla verilir (Jiaoyubu, 2021, s. 105); ana metin ise bu kadim idealin gerçekleşmesini Parti’nin önderliğindeki millî diriliş mücadelesine bağlar. Öğrenciden Çin’e özgü sosyalizm yolunun “insan dünyasının doğru yolu” (人间正道) olduğuna kesinlikle inanması beklenir (Jiaoyubu, 2021, s. 116); dersin kapanış bölümünde bugünün dünyasında özgüven duymaya en çok hakkı olanların Çin Komünist Partisi, Çin Halk Cumhuriyeti ve Çin milleti olduğu söylenir (Jiaoyubu, 2021, s. 118) ve ders gençlere yeni çağın Çinlisinin özgüvenini sergileme çağrısıyla sona erer. Alt ciltte ise ideolojik dil doktriner olmaktan çok diplomatik bir hüviyet kazanır: “Sosyalist çekirdek değerler” yalnızca iki kez anılırken “insanlığın kader ortaklığı” (人类命运共同体) kavramı akan metinde dokuz kez geçer, ayrıca bir dersin adını oluşturur (Tablo 3). İnsanlığın kaderlerinin birbirine bağlı olduğu vurgulanır (Jiaoyubu, 2018, s. 16); Xi Jinping’in 2014’te dört Latin Amerika ülkesinin basınına verdiği ortak bir röportajdan aktarılan “dünyanın kaderi bütün ülkelerin halklarınca birlikte tayin edilmelidir” sözü ise (Jiaoyubu, 2018, s. 11), çok kutupluluk ve uluslararası ilişkilerin demokratikleşmesi talebiyle birlikte, Çin’in dünya sahnesindeki rolünü diplomatik ve ahlaki bir dil içinde sunar.</w:t>
      </w:r>
    </w:p>
    <w:p>
      <w:pPr>
        <w:spacing w:after="0" w:before="40" w:line="276"/>
        <w:ind w:left="567"/>
        <w:jc w:val="both"/>
      </w:pPr>
      <w:r>
        <w:rPr>
          <w:rFonts w:ascii="Times New Roman" w:cs="Times New Roman" w:eastAsia="Times New Roman" w:hAnsi="Times New Roman"/>
          <w:i/>
          <w:iCs/>
          <w:color w:val="404040"/>
          <w:sz w:val="20"/>
          <w:szCs w:val="20"/>
        </w:rPr>
        <w:t xml:space="preserve">“《礼记·礼运》描绘了关于未来社会的美好愿景”</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110; basılı s. 105;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“坚信中国特色社会主义道路就是人间正道”</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121; basılı s. 116;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“那中国共产党、中华人民共和国、中华民族是最有理由自信的”</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123; basılı s. 118;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“人类的命运彼此相依”</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21; basılı s. 16;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“我们主张世界的命运必须由各国人民共同掌握”</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16; basılı s. 11; birebir eşleşme: TAM]</w:t>
      </w:r>
    </w:p>
    <w:p>
      <w:pPr>
        <w:spacing w:after="120" w:before="120" w:line="360"/>
        <w:jc w:val="left"/>
      </w:pPr>
      <w:r>
        <w:rPr>
          <w:rFonts w:ascii="Times New Roman" w:cs="Times New Roman" w:eastAsia="Times New Roman" w:hAnsi="Times New Roman"/>
          <w:b/>
          <w:bCs/>
          <w:i w:val="false"/>
          <w:iCs w:val="false"/>
          <w:sz w:val="24"/>
          <w:szCs w:val="24"/>
        </w:rPr>
        <w:t xml:space="preserve">Din, İnanç ve Gelenek</w:t>
      </w:r>
    </w:p>
    <w:p>
      <w:pPr>
        <w:spacing w:after="120" w:before="120" w:line="360"/>
        <w:ind w:firstLine="284"/>
        <w:jc w:val="both"/>
      </w:pPr>
      <w:r>
        <w:rPr>
          <w:rFonts w:ascii="Times New Roman" w:cs="Times New Roman" w:eastAsia="Times New Roman" w:hAnsi="Times New Roman"/>
          <w:b/>
          <w:bCs/>
          <w:i/>
          <w:iCs/>
          <w:sz w:val="24"/>
          <w:szCs w:val="24"/>
        </w:rPr>
        <w:t xml:space="preserve">Dinin doğrudan anılışı. </w:t>
      </w:r>
      <w:r>
        <w:rPr>
          <w:rFonts w:ascii="Times New Roman" w:cs="Times New Roman" w:eastAsia="Times New Roman" w:hAnsi="Times New Roman"/>
          <w:b w:val="false"/>
          <w:bCs w:val="false"/>
          <w:i w:val="false"/>
          <w:iCs w:val="false"/>
          <w:sz w:val="24"/>
          <w:szCs w:val="24"/>
        </w:rPr>
        <w:t xml:space="preserve">İki ciltte 宗教 (din) kelimesi gövde metninde toplam üç kez geçmektedir (Tablo 3). Birincisinde din, etnik çeşitliliğin bir unsuru olarak nötr biçimde anılır: Ülkedeki her milletin, örf ve âdetleri ve dinî inançları ne kadar farklı olursa olsun, sosyalist büyük ailenin eşit bir üyesi olduğu belirtilir (Jiaoyubu, 2021, s. 91). İkincisinde din bir güvenlik meselesi olarak görünür; bölücülüğe karşı çıkmanın “özellikle millet ve din adına yürütülen şiddet ve terör faaliyetlerine kararlılıkla karşı çıkmak” anlamına geldiği vurgulanır (Jiaoyubu, 2021, s. 98). Üçüncüsü alt ciltte, barışı tehdit eden etkenler arasında hegemonyacılık, etnik sorunlar ve terörizmle birlikte sayılan “dinî çatışmalar”dır (Jiaoyubu, 2018, s. 18). Kitapta herhangi bir dinin inanç esaslarına ya da ahlak öğretisine yer verilmez. İbadet ve ayin ise yalnızca aşağıda ele alınan Mazu pasajında ve 2010 Yushu depreminde her milletten insanın afet bölgesindeki halk için çeşitli yollarla “bereket dilediği” (祈福) bilgisinde, içeriği açıklanmadan görünür (Jiaoyubu, 2021, s. 93). Budist bir keşiş olan Jianzhen’in Japonya yolculuğu bile, keşişin kimliğine değinilmeden, tarihteki büyük yolculuklar tablosunda yalnızca bir satır olarak geçer (Jiaoyubu, 2018, s. 12).</w:t>
      </w:r>
    </w:p>
    <w:p>
      <w:pPr>
        <w:spacing w:after="0" w:before="40" w:line="276"/>
        <w:ind w:left="567"/>
        <w:jc w:val="both"/>
      </w:pPr>
      <w:r>
        <w:rPr>
          <w:rFonts w:ascii="Times New Roman" w:cs="Times New Roman" w:eastAsia="Times New Roman" w:hAnsi="Times New Roman"/>
          <w:i/>
          <w:iCs/>
          <w:color w:val="404040"/>
          <w:sz w:val="20"/>
          <w:szCs w:val="20"/>
        </w:rPr>
        <w:t xml:space="preserve">“风俗习惯和宗教信仰有多大差异”</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96; basılı s. 91;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“尤其要坚决反对借民族和宗教之名搞暴力恐怖活动”</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103; basılı s. 98;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“霸权主义、强权政治、民族问题、宗教冲突、领土争端和恐怖主义”</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23; basılı s. 18;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“各族群众以各种方式为灾区人民祈福”</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98; basılı s. 93;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“鉴真东渡日本”</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17; basılı s. 12; birebir eşleşme: TAM]</w:t>
      </w:r>
    </w:p>
    <w:p>
      <w:pPr>
        <w:spacing w:after="120" w:before="120" w:line="360"/>
        <w:ind w:firstLine="284"/>
        <w:jc w:val="both"/>
      </w:pPr>
      <w:r>
        <w:rPr>
          <w:rFonts w:ascii="Times New Roman" w:cs="Times New Roman" w:eastAsia="Times New Roman" w:hAnsi="Times New Roman"/>
          <w:b/>
          <w:bCs/>
          <w:i/>
          <w:iCs/>
          <w:sz w:val="24"/>
          <w:szCs w:val="24"/>
        </w:rPr>
        <w:t xml:space="preserve">Halk inancının kültüre dönüştürülmesi. </w:t>
      </w:r>
      <w:r>
        <w:rPr>
          <w:rFonts w:ascii="Times New Roman" w:cs="Times New Roman" w:eastAsia="Times New Roman" w:hAnsi="Times New Roman"/>
          <w:b w:val="false"/>
          <w:bCs w:val="false"/>
          <w:i w:val="false"/>
          <w:iCs w:val="false"/>
          <w:sz w:val="24"/>
          <w:szCs w:val="24"/>
        </w:rPr>
        <w:t xml:space="preserve">Kitapta bir inanç geleneğinin ayrıntılı biçimde anlatıldığı tek yer, Tayvan bahsinin sonundaki Mazu (妈祖) pasajıdır. Rivayete göre Song döneminde yaşamış, hayatını darda kalana yardım ederek geçirmiş olan Lin Mo, ölümünden sonra “Mazu” olarak yüceltilmiş, onu anmak için Meizhou adasında tapınak kurularak kurban sunulmuştur (Jiaoyubu, 2021, s. 103). Metin Mazu inancının yayıldığını, dünyada beş binden fazla Mazu tapınağı ve iki yüz milyonu aşkın inananı bulunduğunu ve “Mazu inanç âdetlerinin” insanlığın somut olmayan kültürel mirası listesine alındığını aktarır; ardından Mazu kültürünü yurt içindeki ve dışındaki Çinlileri birleştiren “önemli bir mânevî bağ” olarak tanımlar (妈祖文化日益成为凝聚海内外华人、华侨的重要精神纽带; Jiaoyubu, 2021, s. 103). Öğrenciye yöneltilen soru, bu kültürün “vatanın birleşmesi için ne tür bir ilham” verdiğidir (Jiaoyubu, 2021, s. 103). Din burada hakikat iddiası ve ibadet boyutu üzerinden değil, toplumu bir arada tutan işlevi üzerinden öğretilmekte; inanç önce “kültür” ve “miras” kategorisine taşınmakta, sonra millî birliğin hizmetine sunulmaktadır.</w:t>
      </w:r>
    </w:p>
    <w:p>
      <w:pPr>
        <w:spacing w:after="0" w:before="40" w:line="276"/>
        <w:ind w:left="567"/>
        <w:jc w:val="both"/>
      </w:pPr>
      <w:r>
        <w:rPr>
          <w:rFonts w:ascii="Times New Roman" w:cs="Times New Roman" w:eastAsia="Times New Roman" w:hAnsi="Times New Roman"/>
          <w:i/>
          <w:iCs/>
          <w:color w:val="404040"/>
          <w:sz w:val="20"/>
          <w:szCs w:val="20"/>
        </w:rPr>
        <w:t xml:space="preserve">“为了纪念她，人们在湄洲岛建庙祭祀”</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108; basılı s. 103; birebir eşleşme: TAM]</w:t>
      </w:r>
    </w:p>
    <w:p>
      <w:pPr>
        <w:spacing w:after="120" w:before="120" w:line="360"/>
        <w:ind w:firstLine="284"/>
        <w:jc w:val="both"/>
      </w:pPr>
      <w:r>
        <w:rPr>
          <w:rFonts w:ascii="Times New Roman" w:cs="Times New Roman" w:eastAsia="Times New Roman" w:hAnsi="Times New Roman"/>
          <w:b/>
          <w:bCs/>
          <w:i/>
          <w:iCs/>
          <w:sz w:val="24"/>
          <w:szCs w:val="24"/>
        </w:rPr>
        <w:t xml:space="preserve">Konfüçyüsçü klasiklerin seçici kullanımı. </w:t>
      </w:r>
      <w:r>
        <w:rPr>
          <w:rFonts w:ascii="Times New Roman" w:cs="Times New Roman" w:eastAsia="Times New Roman" w:hAnsi="Times New Roman"/>
          <w:b w:val="false"/>
          <w:bCs w:val="false"/>
          <w:i w:val="false"/>
          <w:iCs w:val="false"/>
          <w:sz w:val="24"/>
          <w:szCs w:val="24"/>
        </w:rPr>
        <w:t xml:space="preserve">Üst cildin “Mânevî Yurda Sahip Çıkmak” dersi, klasik kaynaklara en geniş yer veren derstir. Mengzi’den ve Fan Zhongyan’dan halkın sevinci ve kaygısını paylaşmaya dair iki metin okutulur, 《朱子家训》’ten tutumluluk ve aile ahlakına ilişkin öğütler aktarılır; “erdem klasikleri” okuma listesinin ilk sırasına konan 《论语》 için “Konfüçyüsçü etik-ahlak düşüncesinin temsilci eseri” denir (这是一部儒家伦理道德思想的代表作; Jiaoyubu, 2021, s. 65). Aynı listenin dördüncü sırasında ise “komünist savaşçı” Lei Feng’in günlüğü yer alır (Jiaoyubu, 2021, s. 66); klasik kanon ile devrimci şahsiyetlerin metinleri aynı düzlemde buluşturulmaktadır. Geleneğin nasıl devralınacağı da bir usule bağlanır: Eskiyi bugüne, yabancıyı Çin’e hizmet ettirmek, olumsuz unsurları atıp olumlu düşünceleri devralmak (Jiaoyubu, 2021, s. 61). Alt ciltte de 《礼记》’den “on bin şey birlikte yetişir de birbirine zarar vermez, yollar yan yana yürür de birbirine aykırı düşmez” sözü (Jiaoyubu, 2018, s. 52) ile Konfüçyüs’ün “öğrenip zaman zaman tekrarlamak ne hoştur” sözü (Jiaoyubu, 2018, s. 73) alıntılanır. Bu alıntılarda Gök (天), Yol (道) ve ritüel (礼) kavramlarının kozmik ve dinî içerikleri açıklanmaz; klasikler ahlaki ve siyasi vecize kaynağı olarak kullanılır. Ana metne serpiştirilen klasik özdeyişler ise çoğunlukla kaynak belirtilmeden verilir, kaynağı gösterilenler genellikle ek okuma kutularında yer alır; örneğin yukarıda anılan “yasa ne gökten iner ne yerden çıkar” cümlesinin hangi eserden alındığı kitapta yazmaz.</w:t>
      </w:r>
    </w:p>
    <w:p>
      <w:pPr>
        <w:spacing w:after="0" w:before="40" w:line="276"/>
        <w:ind w:left="567"/>
        <w:jc w:val="both"/>
      </w:pPr>
      <w:r>
        <w:rPr>
          <w:rFonts w:ascii="Times New Roman" w:cs="Times New Roman" w:eastAsia="Times New Roman" w:hAnsi="Times New Roman"/>
          <w:i/>
          <w:iCs/>
          <w:color w:val="404040"/>
          <w:sz w:val="20"/>
          <w:szCs w:val="20"/>
        </w:rPr>
        <w:t xml:space="preserve">“这是一部儒家伦理道德思想的代表作”</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70; basılı s. 65;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“推荐四：《雷锋日记》”</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71; basılı s. 66;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“古为今用、洋为中用，辩证取舍、推陈出新，摒弃消极因素，继承积极思想”</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66; basılı s. 61;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“万物并育而不相害，道并行而不相悖”</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57; basılı s. 52;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“孔子说：“学而时习之，不亦说乎？””</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78; basılı s. 73; birebir eşleşme: TAM]</w:t>
      </w:r>
    </w:p>
    <w:p>
      <w:pPr>
        <w:spacing w:after="120" w:before="120" w:line="360"/>
        <w:ind w:firstLine="284"/>
        <w:jc w:val="both"/>
      </w:pPr>
      <w:r>
        <w:rPr>
          <w:rFonts w:ascii="Times New Roman" w:cs="Times New Roman" w:eastAsia="Times New Roman" w:hAnsi="Times New Roman"/>
          <w:b/>
          <w:bCs/>
          <w:i/>
          <w:iCs/>
          <w:sz w:val="24"/>
          <w:szCs w:val="24"/>
        </w:rPr>
        <w:t xml:space="preserve">Dinî kelime dağarcığının sekülerleşmesi. </w:t>
      </w:r>
      <w:r>
        <w:rPr>
          <w:rFonts w:ascii="Times New Roman" w:cs="Times New Roman" w:eastAsia="Times New Roman" w:hAnsi="Times New Roman"/>
          <w:b w:val="false"/>
          <w:bCs w:val="false"/>
          <w:i w:val="false"/>
          <w:iCs w:val="false"/>
          <w:sz w:val="24"/>
          <w:szCs w:val="24"/>
        </w:rPr>
        <w:t xml:space="preserve">Kitapta dinî dilin kalıpları korunmakta, içerikleri millî ve siyasi bir anlamla doldurulmaktadır. Kültür “bir ülkenin, bir milletin ruhu (灵魂)” olarak tanımlanır (Jiaoyubu, 2021, s. 60); yenilikçilik de “bir milletin ilerlemesinin ruhu”dur (Jiaoyubu, 2021, s. 14). Etnik gruplar (milletler) arasındaki birliği korumak ve geliştirmek her yurttaşın “kutsal görevi ve şerefli ödevi” sayılır (维护和促进民族团结，是每个公民的神圣职责和光荣义务; Jiaoyubu, 2021, s. 96); Tayvan, anayasaya göre Çin Halk Cumhuriyeti’nin “kutsal topraklarının” bir parçasıdır (Jiaoyubu, 2021, s. 102). Son derste “halkın inancı olursa devletin gücü, milletin umudu olur” denir (人民有信仰，国家有力量，民族有希望; Jiaoyubu, 2021, s. 114); bu inancın muhtevası tanımlanmaz. Çin Rüyası ile ilgili okuma parçası 中华世纪坛序 ise “toprak ve tahıl sunakları (yani devlet) bin güz, atalar yüz kuşak” (Jiaoyubu, 2021, s. 106) ve “medeniyetin kutsal ateşi” (Jiaoyubu, 2021, s. 106) gibi geleneksel kült imgelerini millî diriliş anlatısının hizmetine sunar. Kader (命运) kavramı da metafizik bir takdir olarak değil, siyasi kararların ve insan iradesinin belirlediği tarihî bir yazgı olarak işlenir; reform ve dışa açılma “Çin’in kaderini belirleyen” hamle, insanlığın kader ortaklığı ise kurulması gereken bir projedir.</w:t>
      </w:r>
    </w:p>
    <w:p>
      <w:pPr>
        <w:spacing w:after="0" w:before="40" w:line="276"/>
        <w:ind w:left="567"/>
        <w:jc w:val="both"/>
      </w:pPr>
      <w:r>
        <w:rPr>
          <w:rFonts w:ascii="Times New Roman" w:cs="Times New Roman" w:eastAsia="Times New Roman" w:hAnsi="Times New Roman"/>
          <w:i/>
          <w:iCs/>
          <w:color w:val="404040"/>
          <w:sz w:val="20"/>
          <w:szCs w:val="20"/>
        </w:rPr>
        <w:t xml:space="preserve">“文化是一个国家、一个民族的灵魂”</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65; basılı s. 60;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“创新是一个民族进步的灵魂”</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19; basılı s. 14;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“维护和促进民族团结，是每个公民的神圣职责和光荣义务”</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101; basılı s. 96;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“我国宪法规定，台湾是中华人民共和国的神圣领土的一部分”</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107; basılı s. 102;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“人民有信仰，国家有力量，民族有希望”</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119; basılı s. 114;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“社稷千秋，祖宗百世”</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111; basılı s. 106; birebir eşleşme: TAM]</w:t>
      </w:r>
    </w:p>
    <w:p>
      <w:pPr>
        <w:spacing w:after="120" w:before="120" w:line="360"/>
        <w:jc w:val="left"/>
      </w:pPr>
      <w:r>
        <w:rPr>
          <w:rFonts w:ascii="Times New Roman" w:cs="Times New Roman" w:eastAsia="Times New Roman" w:hAnsi="Times New Roman"/>
          <w:b/>
          <w:bCs/>
          <w:i w:val="false"/>
          <w:iCs w:val="false"/>
          <w:sz w:val="24"/>
          <w:szCs w:val="24"/>
        </w:rPr>
        <w:t xml:space="preserve">Gençlik, İdeal ve Hayatın Anlamı</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Alt cildin son ünitesi, mezuniyet eşiğindeki öğrenciye hayatının anlamını ve yönünü sorar ve bu sorulara verilen cevaplar kitabın ahlak tasavvurunu bir kez daha görünür kılar. Ünitenin ilk dersi (少年的担当), “gençlik güçlü olursa ülke güçlü olur” cümlesiyle açılır ve kuşaklar boyu gençlerin ülkenin ve toplumun gelişmesine, Çin milletinin büyük dirilişine katkısını anar (Jiaoyubu, 2018, s. 54). Bireyin kaderi ülkenin kaderine, bireyin geleceği milletin geleceğine sıkı sıkıya bağlı olarak tanımlanır (个人的命运与国家的命运息息相关，个人的未来与民族的未来紧密相连; Jiaoyubu, 2018, s. 60). Öğrenciden “ideal ve inancında sarsılmaz olması” ve Çin Rüyası’nı gerçekleştirme yolunda başarı kazanması beklenir (Jiaoyubu, 2018, s. 62); ünitede 信念 (inanç) kelimesinin geçtiği tek yer burasıdır ve inancın nesnesi vatanın inşasıdır.</w:t>
      </w:r>
    </w:p>
    <w:p>
      <w:pPr>
        <w:spacing w:after="0" w:before="40" w:line="276"/>
        <w:ind w:left="567"/>
        <w:jc w:val="both"/>
      </w:pPr>
      <w:r>
        <w:rPr>
          <w:rFonts w:ascii="Times New Roman" w:cs="Times New Roman" w:eastAsia="Times New Roman" w:hAnsi="Times New Roman"/>
          <w:i/>
          <w:iCs/>
          <w:color w:val="404040"/>
          <w:sz w:val="20"/>
          <w:szCs w:val="20"/>
        </w:rPr>
        <w:t xml:space="preserve">“少年强则国强。多少年来”</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59; basılı s. 54;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“个人的命运与国家的命运息息相关，个人的未来与民族的未来紧密相连”</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65; basılı s. 60;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“我们要坚定理想信念，志存高远”</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67; basılı s. 62;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Hayatın anlamı emek ve hizmetle tarif edilir. Meslek, toplumsal iş bölümünün gereği olduğu kadar bireyin topluma katkıda bulunmasının ve “hayatının değerini gerçekleştirmesinin temel yolu”dur (Jiaoyubu, 2018, s. 74); “emek bütün mutluluğun kaynağıdır” (劳动是一切幸福的源泉; Jiaoyubu, 2018, s. 78). Uçak imalatçısı bir ustanın öğretmeninden duyduğu “Uçak yapmayı öğrenmek ikinci sırada, insan olmayı öğrenmek birinci sıradadır; iş yaparken vicdanına göre davranmalı” sözü (Jiaoyubu, 2018, s. 80) 良心 (vicdan) kelimesinin iki ciltte geçtiği tek yerdir; vicdan da burada bir meslek ahlakı çerçevesinde kalır. Geleneksel öz terbiye anlayışı da korunur ve Konfüçyüsçü okulun “kendini terbiye etmek, aileyi düzene koymak, devleti yönetmek, dünyaya barış getirmek” sıralaması anılır (Jiaoyubu, 2018, s. 63). Zhou Enlai’ye ait ve çoğu çalışma ve yaşam düzenine ilişkin maddelerden oluşan “öz terbiye kuralları” (修养要则) listesinde ise “kendimin ve başkalarının her türlü yanlış düşünce ve bilincine karşı ilke düzeyinde kararlı bir mücadele vermek” gibi siyasi bir öz denetim maddesine de yer verilir (Jiaoyubu, 2018, s. 69).</w:t>
      </w:r>
    </w:p>
    <w:p>
      <w:pPr>
        <w:spacing w:after="0" w:before="40" w:line="276"/>
        <w:ind w:left="567"/>
        <w:jc w:val="both"/>
      </w:pPr>
      <w:r>
        <w:rPr>
          <w:rFonts w:ascii="Times New Roman" w:cs="Times New Roman" w:eastAsia="Times New Roman" w:hAnsi="Times New Roman"/>
          <w:i/>
          <w:iCs/>
          <w:color w:val="404040"/>
          <w:sz w:val="20"/>
          <w:szCs w:val="20"/>
        </w:rPr>
        <w:t xml:space="preserve">“也是个人为社会作贡献、实现人生价值的基本路径”</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79; basılı s. 74;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“劳动是一切幸福的源泉”</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83; basılı s. 78;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“学飞机制造技术是次位，学做人是首位。干活儿，要凭良心”</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85; basılı s. 80;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“修身齐家治国平天下”</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68; basılı s. 63;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“要与自己的他人的一切不正确的思想意识作原则上坚决的斗争”</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74; basılı s. 69;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Kitabın son sayfası, Liang Qichao’nun 《少年中国说》 metninden alınan bir parçayla biter ve bu parça “Ne güzel, benim genç Çin’im, gökle birlikte yaşlanmaz! Ne yüce, benim Çinli gençliğim, vatanla birlikte sınırsızdır!” cümlesiyle sona erer (美哉，我少年中国，与天不老！壮哉，我中国少年，与国无疆！; Jiaoyubu, 2018, s. 91). Öğrenciden bu metni yüksek sesle okuyup Çin Rüyası için ondan hangi gücü alabileceğini düşünmesi istenir. Ünitenin hedefi ise öğrencinin “ahlak, akıl, beden, estetik ve emek yönünden çok yönlü gelişmiş sosyalizmin inşacısı ve vârisi” olmasıdır (Jiaoyubu, 2018, s. 90). Ölüm ve fedakârlık bu ünitede de yalnızca millet ve dava uğruna anlam kazanır; ölümsüzlük bireye değil, gökle birlikte yaşlanmayan “genç Çin”e atfedilir. Hayatın anlamı, mutluluk ve ideal gibi din eğitiminin merkezindeki sorular kitapta sorulmakta, fakat cevapları dünyevi bir ufukta ve bireysel gelişimi de içermekle birlikte ağırlıkla millî ve kolektif hedeflere bağlanarak verilmektedir (Jiaoyubu, 2018, s. 88).</w:t>
      </w:r>
    </w:p>
    <w:p>
      <w:pPr>
        <w:spacing w:after="0" w:before="40" w:line="276"/>
        <w:ind w:left="567"/>
        <w:jc w:val="both"/>
      </w:pPr>
      <w:r>
        <w:rPr>
          <w:rFonts w:ascii="Times New Roman" w:cs="Times New Roman" w:eastAsia="Times New Roman" w:hAnsi="Times New Roman"/>
          <w:i/>
          <w:iCs/>
          <w:color w:val="404040"/>
          <w:sz w:val="20"/>
          <w:szCs w:val="20"/>
        </w:rPr>
        <w:t xml:space="preserve">“美哉，我少年中国，与天不老！壮哉，我中国少年，与国无疆！”</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96; basılı s. 91;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“努力成为德智体美劳全面发展的社会主义建设者和接班人”</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95; basılı s. 90;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“畅想未来是为了丰富自己的生命”</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93; basılı s. 88; birebir eşleşme: TAM]</w:t>
      </w:r>
    </w:p>
    <w:p>
      <w:pPr>
        <w:spacing w:after="120" w:before="240" w:line="360"/>
        <w:jc w:val="center"/>
      </w:pPr>
      <w:r>
        <w:rPr>
          <w:rFonts w:ascii="Times New Roman" w:cs="Times New Roman" w:eastAsia="Times New Roman" w:hAnsi="Times New Roman"/>
          <w:b/>
          <w:bCs/>
          <w:i w:val="false"/>
          <w:iCs w:val="false"/>
          <w:sz w:val="24"/>
          <w:szCs w:val="24"/>
        </w:rPr>
        <w:t xml:space="preserve">Tartışma</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Bulgular, 9. sınıf Ahlak ve Hukuk kitabında ahlakın tümüyle içkin bir zemine dayandırıldığını göstermektedir. Ahlaki yükümlülüğün kaynakları tarih, millet, Parti, anayasa ve seçilerek devralınmış gelenektir; değerlerin ölçütü anayasada yer alan sosyalist çekirdek değerlerdir. Bu tablo, Çin eğitim sisteminin yasal çerçevesine dair Türkçe literatürdeki tespitlerle örtüşmektedir: Eğitimin sosyalist amaçlara hizmet etmesi ve dinden ayrılması kanunla belirlenmiştir (Coşkun &amp; Çelikten, 2020, s. 2987, 3004). Ne var ki kitap, ideolojiyi kuru bir doktrin olarak değil, gelenek, aile, kahramanlık ve mutluluk anlatılarıyla örülmüş bir ahlak dili içinde sunmaktadır. Hsu (2024, s. 154) tarih ders kitaplarını hâkim ideolojilerin taşıyıcısı olarak nitelendirir; bu tespiti özellikle ders kitaplarının toplumun baskın görüşlerini yansıttığı demokratik ülkeler için yapsa da, söz konusu nitelendirme farklı bir siyasal bağlamda ve farklı bir derste bu kitap için de geçerli görünmektedir. Bununla birlikte ideolojinin burada ahlakî bir terbiye dilinin içine yerleştirildiği dikkati çekmektedir.</w:t>
      </w:r>
    </w:p>
    <w:p>
      <w:pPr>
        <w:spacing w:after="0" w:before="40" w:line="276"/>
        <w:ind w:left="567"/>
        <w:jc w:val="both"/>
      </w:pPr>
      <w:r>
        <w:rPr>
          <w:rFonts w:ascii="Times New Roman" w:cs="Times New Roman" w:eastAsia="Times New Roman" w:hAnsi="Times New Roman"/>
          <w:i/>
          <w:iCs/>
          <w:color w:val="404040"/>
          <w:sz w:val="20"/>
          <w:szCs w:val="20"/>
        </w:rPr>
        <w:t xml:space="preserve">“Hem Çin Anayasa’sında hem de 1995 Eğitim Kanunu’nda yoğun bir biçimde sosyalist amaçlara hizmet etme vurgusu olduğu görülmektedir. Eğitimin sosyalist amaçlara hizmet etmesi gerektiği ile ilgili maddeler şunlardır: Sosyalist eğitimi geliştirmek için, devlet Marksizm-Leninizm, Mao Zedong Düşüncesi ve sosyalizmin Çin karakteriyle inşası teorilerini yol gösterici olarak korur ve Anayasa’nın temel ilkelerine uyar (madde 3).”</w:t>
      </w:r>
    </w:p>
    <w:p>
      <w:pPr>
        <w:spacing w:after="80" w:before="0" w:line="276"/>
        <w:ind w:left="567"/>
      </w:pPr>
      <w:r>
        <w:rPr>
          <w:rFonts w:ascii="Times New Roman" w:cs="Times New Roman" w:eastAsia="Times New Roman" w:hAnsi="Times New Roman"/>
          <w:color w:val="7F7F7F"/>
          <w:sz w:val="18"/>
          <w:szCs w:val="18"/>
        </w:rPr>
        <w:t xml:space="preserve">[Kontrol: KAYNAKÇA ESERLER/in Halk Cumhuriyeti Eğitim Sistemi.pdf; PDF s. 6; basılı s. 2987;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“Sosyalizmin yanısıra eğitimde laiklik vurgulanmaktadır. Eğitim Kanunu (1995) 8. maddeye göre, devlet eğitimi dinden ayırır. Herhangi bir kurum ya da kişi dini, devletin eğitim sistemini engelleyecek biçimde kullanamaz.”</w:t>
      </w:r>
    </w:p>
    <w:p>
      <w:pPr>
        <w:spacing w:after="80" w:before="0" w:line="276"/>
        <w:ind w:left="567"/>
      </w:pPr>
      <w:r>
        <w:rPr>
          <w:rFonts w:ascii="Times New Roman" w:cs="Times New Roman" w:eastAsia="Times New Roman" w:hAnsi="Times New Roman"/>
          <w:color w:val="7F7F7F"/>
          <w:sz w:val="18"/>
          <w:szCs w:val="18"/>
        </w:rPr>
        <w:t xml:space="preserve">[Kontrol: KAYNAKÇA ESERLER/in Halk Cumhuriyeti Eğitim Sistemi.pdf; PDF s. 23; basılı s. 3004;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“History textbooks serve as conduits for prevailing ideologies, particularly evident in democratic nations, where they often reflect the dominant views of the population. Taiwan’s de-Chinseslization textbooks exemplify a bottom-up approach to constructing a distinct Taiwanese historical perspective, breaking from past authority and emphasizing orthodox legitimacy. The education reform has significantly shaped post-martial law generations’ national identity.”</w:t>
      </w:r>
    </w:p>
    <w:p>
      <w:pPr>
        <w:spacing w:after="80" w:before="0" w:line="276"/>
        <w:ind w:left="567"/>
      </w:pPr>
      <w:r>
        <w:rPr>
          <w:rFonts w:ascii="Times New Roman" w:cs="Times New Roman" w:eastAsia="Times New Roman" w:hAnsi="Times New Roman"/>
          <w:color w:val="7F7F7F"/>
          <w:sz w:val="18"/>
          <w:szCs w:val="18"/>
        </w:rPr>
        <w:t xml:space="preserve">[Kontrol: KAYNAKÇA ESERLER/__DOKTORA TEZİ_Tayvan'da Çin kimliğinden uzaklaşma ile Türkiye'de Müslüman kimliğinden uzaklaşma.pdf; PDF s. 168; basılı s. 154; birebir eşleşme: TAM]</w:t>
      </w:r>
      <w:r>
        <w:rPr>
          <w:rFonts w:ascii="Times New Roman" w:cs="Times New Roman" w:eastAsia="Times New Roman" w:hAnsi="Times New Roman"/>
          <w:color w:val="7F7F7F"/>
          <w:sz w:val="18"/>
          <w:szCs w:val="18"/>
        </w:rPr>
        <w:t xml:space="preserve">  Yardımcı Türkçe karşılık (yapay zekâ çevirisi; yazarca denetlenmeli): Tarih ders kitapları hâkim ideolojilerin taşıyıcısı işlevi görür; bu özellikle, ders kitaplarının çoğu zaman nüfusun baskın görüşlerini yansıttığı demokratik ülkelerde belirgindir. Tayvan'ın Çinlilikten arındırma ders kitapları, geçmiş otoriteden kopan ve ortodoks meşruiyeti vurgulayan, kendine özgü bir Tayvan tarih perspektifi kurmaya yönelik aşağıdan yukarı bir yaklaşımın örneğidir. Eğitim reformu, sıkıyönetim sonrası kuşakların ulusal kimliğini önemli ölçüde biçimlendirmiştir. [Claude çevirisi]</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Konfüçyüsçü mirasın kitaptaki yeri, literatürdeki “seçici canlanma” tespitini doğrulamaktadır. Şevik’e (2022, s. 64) göre Konfüçyüsçü öğreti, uygulamada yarar sağlayacak ve komünist doktrinle çelişmeyecek kısımları vurgulanarak yeniden yorumlanmış bir hâlde halka sunulmaktadır. Kitapta 《论语》’nün okuma listesinin başına konması ile Lei Feng’in günlüğünün aynı listede yer alması, geleneğin “olumsuzu atıp olumluyu devralma” usulüyle süzülmesi ve Konfüçyüsçü 德治 kavramının hukuk devletiyle eşleştirilmesi bu seçici yeniden yorumun ders kitabı düzeyindeki somut görünümleridir. Çin’de Ahlak ve Hukuk öğretmenlerine yönelik yazılarda da aynı yaklaşım görülür. J. Zhang ([YIL GÖRÜLEMEDİ], s. 217), devletçe birleştirilmiş ortaokul Ahlak ve Hukuk kitabının Çin’in üstün geleneksel kültürüne ait çok sayıda malzemeyi bünyesine kattığını ve bu yolla öğrencilerin ahlaki gelişimini desteklemeyi hedeflediğini belirtir ve öğretim ilkesi olarak klasik vecizelerin “ölçülü” ele alınmasını, ne önemsizleştirilmesini ne de asıl konunun önüne geçecek biçimde aşırı yorumlanmasını ister (J. Zhang, [YIL GÖRÜLEMEDİ], s. 218). Klasikler, kendi başına bir hakikat kaynağı olarak değil, ders kitabının belirlediği ahlaki hedefe hizmet eden bir malzeme olarak konumlandırılmaktadır. Ancak geleneğin dinî ve kozmolojik boyutu kitapta sessizlikle geçiştirilmektedir: Gök, Yol ve ritüel kavramları ahlaki vecizelere indirgenmiş, ata ve Gök saygısı gibi ritüel ödevler erdem kataloğuna alınmamıştır. Ametbek’in (2023, s. 95) Çin medeniyetinin belki de en önemli yönünün dışarıdan gelen değerleri Çinlileştirmesi olduğu, bunun en iyi örneğinin Çin Komünist Partisi olduğu ve Partinin kendi yönetim tarzını meşrulaştırmak için Çin tarihine, kültürüne ve medeniyetine atıfta bulunduğu yorumu, kitaptaki gelenek kullanımının işlevini açıklamak bakımından anlamlıdır.</w:t>
      </w:r>
    </w:p>
    <w:p>
      <w:pPr>
        <w:spacing w:after="0" w:before="40" w:line="276"/>
        <w:ind w:left="567"/>
        <w:jc w:val="both"/>
      </w:pPr>
      <w:r>
        <w:rPr>
          <w:rFonts w:ascii="Times New Roman" w:cs="Times New Roman" w:eastAsia="Times New Roman" w:hAnsi="Times New Roman"/>
          <w:i/>
          <w:iCs/>
          <w:color w:val="404040"/>
          <w:sz w:val="20"/>
          <w:szCs w:val="20"/>
        </w:rPr>
        <w:t xml:space="preserve">“Mevcut haliyle Konfüçyüsçü öğreti uygulamada yarar sağlayacak ve kominist doktrinle çelişmeyecek kısımları vurgulanarak yeniden yorumlanarak halka sunulan bir öğreti halindedir ki bu durumun ne kadar sürdürülebileceği ya da toplumun kominist değerler ve konfüçyüsçü ahlak ilkeleri zemininde uzlaşmasının sağlanıp sağlanamayacağı ise ayrı bir tartışma konusu olarak belirsizliğini korumaktadır.”</w:t>
      </w:r>
    </w:p>
    <w:p>
      <w:pPr>
        <w:spacing w:after="80" w:before="0" w:line="276"/>
        <w:ind w:left="567"/>
      </w:pPr>
      <w:r>
        <w:rPr>
          <w:rFonts w:ascii="Times New Roman" w:cs="Times New Roman" w:eastAsia="Times New Roman" w:hAnsi="Times New Roman"/>
          <w:color w:val="7F7F7F"/>
          <w:sz w:val="18"/>
          <w:szCs w:val="18"/>
        </w:rPr>
        <w:t xml:space="preserve">[Kontrol: KAYNAKÇA ESERLER/Çin toplumu ve Konfüçyüsün ruhu.pdf; PDF s. 74; basılı s. 64;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“统编初中《道德与法治》教材融入了大量中华优秀传统文化素材，注重通过中华优秀传统文化教育来促进初中学生品德发展，落实立德树人根本任务。”</w:t>
      </w:r>
    </w:p>
    <w:p>
      <w:pPr>
        <w:spacing w:after="80" w:before="0" w:line="276"/>
        <w:ind w:left="567"/>
      </w:pPr>
      <w:r>
        <w:rPr>
          <w:rFonts w:ascii="Times New Roman" w:cs="Times New Roman" w:eastAsia="Times New Roman" w:hAnsi="Times New Roman"/>
          <w:color w:val="7F7F7F"/>
          <w:sz w:val="18"/>
          <w:szCs w:val="18"/>
        </w:rPr>
        <w:t xml:space="preserve">[Kontrol: ÇİNCE MAKALELER VE KİTAPLAR/56d8dc3c-28ba-47ca-8121-fa5b3c41720a.pdf; PDF s. 1; basılı s. 217; birebir eşleşme: TAM]</w:t>
      </w:r>
      <w:r>
        <w:rPr>
          <w:rFonts w:ascii="Times New Roman" w:cs="Times New Roman" w:eastAsia="Times New Roman" w:hAnsi="Times New Roman"/>
          <w:color w:val="7F7F7F"/>
          <w:sz w:val="18"/>
          <w:szCs w:val="18"/>
        </w:rPr>
        <w:t xml:space="preserve">  Yardımcı Türkçe karşılık (yapay zekâ çevirisi; yazarca denetlenmeli): Birleşik ortaokul 'Ahlak ve Hukuk' ders kitabı Çin'in üstün geleneksel kültürüne ait çok sayıda malzemeyi bünyesine katmış; Çin'in üstün geleneksel kültür eğitimi aracılığıyla ortaokul öğrencilerinin ahlaki karakter gelişimini desteklemeye ve 'erdemi tesis edip insan yetiştirme' temel görevini yerine getirmeye özen göstermiştir.</w:t>
      </w:r>
    </w:p>
    <w:p>
      <w:pPr>
        <w:spacing w:after="0" w:before="40" w:line="276"/>
        <w:ind w:left="567"/>
        <w:jc w:val="both"/>
      </w:pPr>
      <w:r>
        <w:rPr>
          <w:rFonts w:ascii="Times New Roman" w:cs="Times New Roman" w:eastAsia="Times New Roman" w:hAnsi="Times New Roman"/>
          <w:i/>
          <w:iCs/>
          <w:color w:val="404040"/>
          <w:sz w:val="20"/>
          <w:szCs w:val="20"/>
        </w:rPr>
        <w:t xml:space="preserve">“古诗文经典名句作为《道德与法治》教材的组成部分，在教学中要把握好度，既不能淡化，失去优秀传统文化教育的意义，也不能过度解读，喧宾夺主。”</w:t>
      </w:r>
    </w:p>
    <w:p>
      <w:pPr>
        <w:spacing w:after="80" w:before="0" w:line="276"/>
        <w:ind w:left="567"/>
      </w:pPr>
      <w:r>
        <w:rPr>
          <w:rFonts w:ascii="Times New Roman" w:cs="Times New Roman" w:eastAsia="Times New Roman" w:hAnsi="Times New Roman"/>
          <w:color w:val="7F7F7F"/>
          <w:sz w:val="18"/>
          <w:szCs w:val="18"/>
        </w:rPr>
        <w:t xml:space="preserve">[Kontrol: ÇİNCE MAKALELER VE KİTAPLAR/56d8dc3c-28ba-47ca-8121-fa5b3c41720a.pdf; PDF s. 2; basılı s. 218; birebir eşleşme: TAM]</w:t>
      </w:r>
      <w:r>
        <w:rPr>
          <w:rFonts w:ascii="Times New Roman" w:cs="Times New Roman" w:eastAsia="Times New Roman" w:hAnsi="Times New Roman"/>
          <w:color w:val="7F7F7F"/>
          <w:sz w:val="18"/>
          <w:szCs w:val="18"/>
        </w:rPr>
        <w:t xml:space="preserve">  Yardımcı Türkçe karşılık (yapay zekâ çevirisi; yazarca denetlenmeli): Klasik şiir ve metinlerden alınmış meşhur vecizeler 'Ahlak ve Hukuk' ders kitabının bir parçası olarak öğretimde ölçülü ele alınmalıdır: Ne önemsizleştirilerek üstün geleneksel kültür eğitimi anlamını yitirmeli ne de aşırı yorumlanarak asıl konunun önüne geçmelidir (misafirin sesi ev sahibininkini bastırmamalıdır).</w:t>
      </w:r>
    </w:p>
    <w:p>
      <w:pPr>
        <w:spacing w:after="0" w:before="40" w:line="276"/>
        <w:ind w:left="567"/>
        <w:jc w:val="both"/>
      </w:pPr>
      <w:r>
        <w:rPr>
          <w:rFonts w:ascii="Times New Roman" w:cs="Times New Roman" w:eastAsia="Times New Roman" w:hAnsi="Times New Roman"/>
          <w:i/>
          <w:iCs/>
          <w:color w:val="404040"/>
          <w:sz w:val="20"/>
          <w:szCs w:val="20"/>
        </w:rPr>
        <w:t xml:space="preserve">“Yukarıda da bahsettiğimiz gibi, Çin medeniyetinin belki de en önemli yönü, dışarıdan gelen değerleri Çinlileştirmesidir. Bunun en güzel örneği de ÇKP’dir. ÇKP kendi yönetim tarzının meşrulaştırmak için de Çin tarihi, kültürü ve medeniyetine atıfta bulunması önemlidir.”</w:t>
      </w:r>
    </w:p>
    <w:p>
      <w:pPr>
        <w:spacing w:after="80" w:before="0" w:line="276"/>
        <w:ind w:left="567"/>
      </w:pPr>
      <w:r>
        <w:rPr>
          <w:rFonts w:ascii="Times New Roman" w:cs="Times New Roman" w:eastAsia="Times New Roman" w:hAnsi="Times New Roman"/>
          <w:color w:val="7F7F7F"/>
          <w:sz w:val="18"/>
          <w:szCs w:val="18"/>
        </w:rPr>
        <w:t xml:space="preserve">[Kontrol: KAYNAKÇA ESERLER/DOKTORA TEZİ_Çin ulusal kimliği'nin dış politikaya yansımas.pdf; PDF s. 105; basılı s. 95;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Devlet okulundaki ahlak eğitiminin toplumda nasıl karşılandığı da ayrıca düşünülmesi gereken bir meseledir. Wang’ın (2023, s. 332) görüştüğü ebeveynler devlet okullarını öğrencilerin ahlaki karakterini geliştiremeyecek kadar araçsal bulmuş, devlet eğitimini “bilgi için eğitim”, Konfüçyüsçü eğitimi “ahlak için eğitim” olarak nitelemiştir. Li ve Li’nin (2022, s. 12), Ahlak ve Hukuk dersinde “ilkokulda değerlendirme yok, ortaokulda yalnızca ezber var” sorununun çözülmesi gereken kilit bir mesele olduğunu belirtmesi ve Gao’nun ([YIL GÖRÜLEMEDİ], s. [SAYFA GÖRÜLEMEDİ]) ahlak eğitimi derslerinin ve ders kitaplarının gerekçelendirme-ispata indirgenmesini, yani ahlak eğitiminin doğa bilimlerindeki bilgi öğrenme biçimiyle yürütülmesini “ahlak eğitiminin yabancılaşması” olarak nitelemesi, kitabın yönlendirilmiş tartışma etkinliklerinin öğrenci üzerindeki etkisinin ayrıca araştırılması gerektiğini düşündürmektedir.</w:t>
      </w:r>
    </w:p>
    <w:p>
      <w:pPr>
        <w:spacing w:after="0" w:before="40" w:line="276"/>
        <w:ind w:left="567"/>
        <w:jc w:val="both"/>
      </w:pPr>
      <w:r>
        <w:rPr>
          <w:rFonts w:ascii="Times New Roman" w:cs="Times New Roman" w:eastAsia="Times New Roman" w:hAnsi="Times New Roman"/>
          <w:i/>
          <w:iCs/>
          <w:color w:val="404040"/>
          <w:sz w:val="20"/>
          <w:szCs w:val="20"/>
        </w:rPr>
        <w:t xml:space="preserve">“They regarded state schools as too instrumentally oriented to develop students’ moral character and emphasised that the transformative dimension of moral education should take precedence over indoctrinating students with purely instrumental knowledge. They thus described state education as ‘education for knowledge’ and Confucian education as ‘education for morality’. The latter, they argued, is superior, as it prioritises moral cultivation, self-transformation, and the refinement of one’s moral character.”</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KİTAPLARI_TARİH_DİN/Resurgence of Confucian education in contemporary China  Parental involvement  moral anxiety  and the pedagogy of memorisation.pdf; PDF s. 9; basılı s. 332; birebir eşleşme: TAM]</w:t>
      </w:r>
      <w:r>
        <w:rPr>
          <w:rFonts w:ascii="Times New Roman" w:cs="Times New Roman" w:eastAsia="Times New Roman" w:hAnsi="Times New Roman"/>
          <w:color w:val="7F7F7F"/>
          <w:sz w:val="18"/>
          <w:szCs w:val="18"/>
        </w:rPr>
        <w:t xml:space="preserve">  Yardımcı Türkçe karşılık (yapay zekâ çevirisi; yazarca denetlenmeli): Devlet okullarını öğrencilerin ahlaki karakterini geliştiremeyecek kadar araçsal odaklı buluyor ve ahlak eğitiminin dönüştürücü boyutunun, öğrencilere salt araçsal bilgi aşılamaktan önce gelmesi gerektiğini vurguluyorlardı. Bu nedenle devlet eğitimini 'bilgi için eğitim', Konfüçyüsçü eğitimi ise 'ahlak için eğitim' olarak tanımladılar. İkincisinin, ahlaki terbiyeye, benliğin dönüşümüne ve kişinin ahlaki karakterinin inceltilmesine öncelik verdiği için üstün olduğunu ileri sürdüler.</w:t>
      </w:r>
    </w:p>
    <w:p>
      <w:pPr>
        <w:spacing w:after="0" w:before="40" w:line="276"/>
        <w:ind w:left="567"/>
        <w:jc w:val="both"/>
      </w:pPr>
      <w:r>
        <w:rPr>
          <w:rFonts w:ascii="Times New Roman" w:cs="Times New Roman" w:eastAsia="Times New Roman" w:hAnsi="Times New Roman"/>
          <w:i/>
          <w:iCs/>
          <w:color w:val="404040"/>
          <w:sz w:val="20"/>
          <w:szCs w:val="20"/>
        </w:rPr>
        <w:t xml:space="preserve">“就道德与法治课程来说，如何解决原来“小学没有评价，初中只是背书”的问题，是当前道德与法治课程迫切需要解决的关键问题。”</w:t>
      </w:r>
    </w:p>
    <w:p>
      <w:pPr>
        <w:spacing w:after="80" w:before="0" w:line="276"/>
        <w:ind w:left="567"/>
      </w:pPr>
      <w:r>
        <w:rPr>
          <w:rFonts w:ascii="Times New Roman" w:cs="Times New Roman" w:eastAsia="Times New Roman" w:hAnsi="Times New Roman"/>
          <w:color w:val="7F7F7F"/>
          <w:sz w:val="18"/>
          <w:szCs w:val="18"/>
        </w:rPr>
        <w:t xml:space="preserve">[Kontrol: ÇİNCE MAKALELER VE KİTAPLAR/20220606093330661619.pdf; PDF s. 7; basılı s. 12; birebir eşleşme: TAM]</w:t>
      </w:r>
      <w:r>
        <w:rPr>
          <w:rFonts w:ascii="Times New Roman" w:cs="Times New Roman" w:eastAsia="Times New Roman" w:hAnsi="Times New Roman"/>
          <w:color w:val="7F7F7F"/>
          <w:sz w:val="18"/>
          <w:szCs w:val="18"/>
        </w:rPr>
        <w:t xml:space="preserve">  Yardımcı Türkçe karşılık (yapay zekâ çevirisi; yazarca denetlenmeli): Ahlak ve Hukuk dersi açısından, eskiden beri süren "ilkokulda değerlendirme yok, ortaokulda yalnızca ezber var" sorununun nasıl çözüleceği, bugün Ahlak ve Hukuk dersinin acilen çözmesi gereken kilit sorundur.</w:t>
      </w:r>
    </w:p>
    <w:p>
      <w:pPr>
        <w:spacing w:after="0" w:before="40" w:line="276"/>
        <w:ind w:left="567"/>
        <w:jc w:val="both"/>
      </w:pPr>
      <w:r>
        <w:rPr>
          <w:rFonts w:ascii="Times New Roman" w:cs="Times New Roman" w:eastAsia="Times New Roman" w:hAnsi="Times New Roman"/>
          <w:i/>
          <w:iCs/>
          <w:color w:val="404040"/>
          <w:sz w:val="20"/>
          <w:szCs w:val="20"/>
        </w:rPr>
        <w:t xml:space="preserve">“德育课程与教材的说理论证化，其实是按照科学知识的学习方式来进行道德教育。学校教育与道德教育不排斥科学思维及其教育方式，但“人世”不是自然，伦理道德也不是自然科学，用自然科学的知识学习方式来进行道德教育实际上是道德教育的异化。德育课程与教材的叙事思维转向实际上是将这一教育回归到道德与道德教育的本然位置的一种尝试。”</w:t>
      </w:r>
    </w:p>
    <w:p>
      <w:pPr>
        <w:spacing w:after="80" w:before="0" w:line="276"/>
        <w:ind w:left="567"/>
      </w:pPr>
      <w:r>
        <w:rPr>
          <w:rFonts w:ascii="Times New Roman" w:cs="Times New Roman" w:eastAsia="Times New Roman" w:hAnsi="Times New Roman"/>
          <w:color w:val="7F7F7F"/>
          <w:sz w:val="18"/>
          <w:szCs w:val="18"/>
        </w:rPr>
        <w:t xml:space="preserve">[Kontrol: ÇİNCE MAKALELER VE KİTAPLAR/20201230094939195.pdf; PDF s. 12; basılı s. [SAYFA GÖRÜLEMEDİ]; birebir eşleşme: TAM]</w:t>
      </w:r>
      <w:r>
        <w:rPr>
          <w:rFonts w:ascii="Times New Roman" w:cs="Times New Roman" w:eastAsia="Times New Roman" w:hAnsi="Times New Roman"/>
          <w:color w:val="7F7F7F"/>
          <w:sz w:val="18"/>
          <w:szCs w:val="18"/>
        </w:rPr>
        <w:t xml:space="preserve">  Yardımcı Türkçe karşılık (yapay zekâ çevirisi; yazarca denetlenmeli): Ahlak eğitimi derslerinin ve ders kitaplarının gerekçelendirme-ispata dayandırılması, aslında ahlak eğitimini bilimsel bilginin öğrenilme biçimine göre yürütmektir. Okul eğitimi ve ahlak eğitimi bilimsel düşünceyi ve onun eğitim yöntemlerini dışlamaz; ancak 'insan dünyası' (人世) doğa değildir, ahlak da doğa bilimi değildir; doğa bilimlerinin bilgi öğrenme yöntemiyle ahlak eğitimi yapmak aslında ahlak eğitiminin yabancılaşmasıdır. Ahlak eğitimi derslerinin ve ders kitaplarının anlatı düşüncesine yönelmesi, aslında bu eğitimi ahlakın ve ahlak eğitiminin asli yerine döndürme girişimidir.</w:t>
      </w:r>
    </w:p>
    <w:p>
      <w:pPr>
        <w:spacing w:after="120" w:before="120" w:line="360"/>
        <w:jc w:val="left"/>
      </w:pPr>
      <w:r>
        <w:rPr>
          <w:rFonts w:ascii="Times New Roman" w:cs="Times New Roman" w:eastAsia="Times New Roman" w:hAnsi="Times New Roman"/>
          <w:b/>
          <w:bCs/>
          <w:i w:val="false"/>
          <w:iCs w:val="false"/>
          <w:sz w:val="24"/>
          <w:szCs w:val="24"/>
        </w:rPr>
        <w:t xml:space="preserve">Seküler Kutsallaştırma ve Örtük Bir İlahiyat İmkânı</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Din eğitimi bakış açısından kitabın belki en dikkat çekici yönü, dinin doğrudan anıldığı yerlerden çok, dinî dilin kalıplarının seküler nesnelere aktarıldığı yerlerdir. İnanç (信仰) hukuk ruhuna ve halkın mücadelesine, kutsallık (神圣) millî birliğe ve toprağa, ruh (灵魂) kültüre ve yenilikçiliğe, doğru yol (正道) ise Çin’e özgü sosyalizme yöneltilmektedir. Kişi’nin (2021, s. 87) Zhang ve Ong’un çalışmasından hareketle vardığı, Çin halkı için sosyalizmin ilerleyen dönemde bir “manevi değerler bütününe” dönüştüğü yorumu ve milliyetçiliğin toplumlar nezdinde dinin yerini alabildiği yorumu (Kişi, 2021, s. 18) bu bulguyu anlamlandırmaya yardımcı olmaktadır. Peters (2017, s. 1303), Amerikan Rüyası’nda olduğu gibi Çin Rüyası anlatısında da rüyayı bizzat insanlık adına konuşma düzeyine yükselten “seçilmişlik”in aşkın gücüne dikkat çeker ve anlatının hem kendini yaratma aracı hem de egemen ideolojilerin taşıyıcısı olabileceğini hatırlatır. Ergül (2025, s. 124) ise Çin Rüyası’nın toplumsal hayatın kendiliğinden ürettiği bir hayal olmaktan çok liderin yukarıdan aşağıya tasarladığı bir rota olduğunu ileri sürer. Kitapta Çin Rüyası’nın “devletin, milletin ve her Çinlinin rüyası” olarak sunulması, bu tasarlanmış ufkun öğrencinin kişisel hayat tasavvuruna da eklemlenmek istendiğini göstermektedir.</w:t>
      </w:r>
    </w:p>
    <w:p>
      <w:pPr>
        <w:spacing w:after="0" w:before="40" w:line="276"/>
        <w:ind w:left="567"/>
        <w:jc w:val="both"/>
      </w:pPr>
      <w:r>
        <w:rPr>
          <w:rFonts w:ascii="Times New Roman" w:cs="Times New Roman" w:eastAsia="Times New Roman" w:hAnsi="Times New Roman"/>
          <w:i/>
          <w:iCs/>
          <w:color w:val="404040"/>
          <w:sz w:val="20"/>
          <w:szCs w:val="20"/>
        </w:rPr>
        <w:t xml:space="preserve">“Her ne kadar başlangıç aşamasında sosyalist bilinç maddi boyutlar ile oluşturulmaya çalışılsa da ilerleyen dönemde Çin halkı için sosyalizm bir manevi değerler bütününe dönüşmüştür.”</w:t>
      </w:r>
    </w:p>
    <w:p>
      <w:pPr>
        <w:spacing w:after="80" w:before="0" w:line="276"/>
        <w:ind w:left="567"/>
      </w:pPr>
      <w:r>
        <w:rPr>
          <w:rFonts w:ascii="Times New Roman" w:cs="Times New Roman" w:eastAsia="Times New Roman" w:hAnsi="Times New Roman"/>
          <w:color w:val="7F7F7F"/>
          <w:sz w:val="18"/>
          <w:szCs w:val="18"/>
        </w:rPr>
        <w:t xml:space="preserve">[Kontrol: KAYNAKÇA ESERLER/DOKTORA_Çin milliyetçiliğinin sosyalizm ekseninde yükselişi.pdf; PDF s. 98; basılı s. 87;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“Atfedilen değer ile milliyetçilik, toplumlar için dinin yerini de alabilmiştir. Bu durumdaki temel neden ise milliyetçiliğin sahip olmuş olduğu öz niteliğin, dine kıyas ile vahiy kaynaklı değil daha dünyevi ve rasyonel olduğu hissini uyandırmasıdır.”</w:t>
      </w:r>
    </w:p>
    <w:p>
      <w:pPr>
        <w:spacing w:after="80" w:before="0" w:line="276"/>
        <w:ind w:left="567"/>
      </w:pPr>
      <w:r>
        <w:rPr>
          <w:rFonts w:ascii="Times New Roman" w:cs="Times New Roman" w:eastAsia="Times New Roman" w:hAnsi="Times New Roman"/>
          <w:color w:val="7F7F7F"/>
          <w:sz w:val="18"/>
          <w:szCs w:val="18"/>
        </w:rPr>
        <w:t xml:space="preserve">[Kontrol: KAYNAKÇA ESERLER/DOKTORA_Çin milliyetçiliğinin sosyalizm ekseninde yükselişi.pdf; PDF s. 29; basılı s. 18;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“Like Rorty, and the construction of the American Dream, the accent is on the transcendental force of ‘chosenness’ that elevates the dream to talk in the name of humanity itself. The difference between Xi and Rorty is that where Xi turns to the historical trace of humiliation as a spur to future nation building, Rorty returns to a narrative strategy of ‘national pride’, democracy and pragmatic self-improvement. Both enjoy the resources of ‘rejuvenation’ of past glories.”</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KİTAPLARI_TARİH_DİN/The Chinese Dream  Xi Jinping thought on Socialism with.pdf; PDF s. 6; basılı s. 1303; birebir eşleşme: TAM]</w:t>
      </w:r>
      <w:r>
        <w:rPr>
          <w:rFonts w:ascii="Times New Roman" w:cs="Times New Roman" w:eastAsia="Times New Roman" w:hAnsi="Times New Roman"/>
          <w:color w:val="7F7F7F"/>
          <w:sz w:val="18"/>
          <w:szCs w:val="18"/>
        </w:rPr>
        <w:t xml:space="preserve">  Yardımcı Türkçe karşılık (yapay zekâ çevirisi; yazarca denetlenmeli): Rorty’de ve Amerikan Rüyası’nın inşasında olduğu gibi vurgu, rüyayı bizzat insanlık adına konuşma düzeyine yükselten ‘seçilmişlik’in aşkın gücü üzerindedir. Xi ile Rorty arasındaki fark şudur: Xi, aşağılanmanın tarihsel izini gelecekteki ulus inşası için bir dürtü olarak kullanırken, Rorty ‘ulusal gurur’, demokrasi ve pragmatik kendini geliştirme şeklindeki bir anlatı stratejisine döner. Her ikisi de geçmiş ihtişamın ‘yeniden canlandırılması’ kaynaklarından yararlanır.</w:t>
      </w:r>
    </w:p>
    <w:p>
      <w:pPr>
        <w:spacing w:after="0" w:before="40" w:line="276"/>
        <w:ind w:left="567"/>
        <w:jc w:val="both"/>
      </w:pPr>
      <w:r>
        <w:rPr>
          <w:rFonts w:ascii="Times New Roman" w:cs="Times New Roman" w:eastAsia="Times New Roman" w:hAnsi="Times New Roman"/>
          <w:i/>
          <w:iCs/>
          <w:color w:val="404040"/>
          <w:sz w:val="20"/>
          <w:szCs w:val="20"/>
        </w:rPr>
        <w:t xml:space="preserve">“Narratives can create and transmit cultural traditions, and build the values and beliefs that define our cultural identities. While narrative is an instrument of self-creation, at the same time narrative can be a vehicle of dominant ideologies and an instrument of power.”</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KİTAPLARI_TARİH_DİN/The Chinese Dream  Xi Jinping thought on Socialism with.pdf; PDF s. 6; basılı s. 1303; birebir eşleşme: TAM]</w:t>
      </w:r>
      <w:r>
        <w:rPr>
          <w:rFonts w:ascii="Times New Roman" w:cs="Times New Roman" w:eastAsia="Times New Roman" w:hAnsi="Times New Roman"/>
          <w:color w:val="7F7F7F"/>
          <w:sz w:val="18"/>
          <w:szCs w:val="18"/>
        </w:rPr>
        <w:t xml:space="preserve">  Yardımcı Türkçe karşılık (yapay zekâ çevirisi; yazarca denetlenmeli): Anlatılar kültürel gelenekleri yaratıp aktarabilir ve kültürel kimliklerimizi tanımlayan değer ve inançları inşa edebilir. Anlatı bir kendini yaratma aracı olmakla birlikte, aynı zamanda egemen ideolojilerin taşıyıcısı ve bir iktidar aracı da olabilir.</w:t>
      </w:r>
    </w:p>
    <w:p>
      <w:pPr>
        <w:spacing w:after="0" w:before="40" w:line="276"/>
        <w:ind w:left="567"/>
        <w:jc w:val="both"/>
      </w:pPr>
      <w:r>
        <w:rPr>
          <w:rFonts w:ascii="Times New Roman" w:cs="Times New Roman" w:eastAsia="Times New Roman" w:hAnsi="Times New Roman"/>
          <w:i/>
          <w:iCs/>
          <w:color w:val="404040"/>
          <w:sz w:val="20"/>
          <w:szCs w:val="20"/>
        </w:rPr>
        <w:t xml:space="preserve">“Xi tarafından sunulan “Çin Rüyası” doğal olarak yaşanan toplumsal hayatın bir parçası olan hayal olmaktan ziyade bir anlamda lider tarafından yukarıdan aşağıya tasarlanan bir rotadır. Genellikle karşılaştırıldığı “Amerikan Rüyası” ise, “Çin Rüyası” gibi devlet yöneticileri ya da parti tarafından pazarlanan bir stratejiden ziyade özellikle göçmenler ve halk tarafından yaşayan bir simgesel anlamı vardır. Xi’nin rüyası daha çok ülkesinin neleri başardığını atıf yapmakta ve bu başarıları bir “rüya” olarak sunarak bir anlamda partinin propagandası olarak tanımlanmaktadır.”</w:t>
      </w:r>
    </w:p>
    <w:p>
      <w:pPr>
        <w:spacing w:after="80" w:before="0" w:line="276"/>
        <w:ind w:left="567"/>
      </w:pPr>
      <w:r>
        <w:rPr>
          <w:rFonts w:ascii="Times New Roman" w:cs="Times New Roman" w:eastAsia="Times New Roman" w:hAnsi="Times New Roman"/>
          <w:color w:val="7F7F7F"/>
          <w:sz w:val="18"/>
          <w:szCs w:val="18"/>
        </w:rPr>
        <w:t xml:space="preserve">[Kontrol: KAYNAKÇA ESERLER/tez çin rüyası.pdf; PDF s. 139; basılı s. 124;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içkinlik, Çin düşünce geleneğinin kendisiyle de bağlantılıdır. C. Aydın (2022, s. 100), Çin düşüncesinde ahlakın pratik bir yapıya sahip olduğunu, insan ile evren arasındaki ilişkinin denge ve düzen temeline oturtulduğunu belirtir. Bu açıdan kitabın dünyevi ahlak dili yalnızca modern bir ideolojik tercih değil, Çin düşüncesindeki bu-dünyacı eğilimin seçici bir devamı olarak da okunabilir. Ma’nın (2019, s. 86) belirttiği gibi Çin kültüründe din de dâhil hiçbir otorite imparatorun gücünün üstüne çıkamamış; bu durum Çin halkında dinî inançların güçlü olmamasına ve dine karşı geniş bir açıklığa yol açmış, dinî inanç insan hayatının yalnızca bir kısmı olarak kalmıştır. Bu açıklama bu-dünyacı eğilimden çok din ile siyasi otorite arasındaki tarihî ilişkiye dayanmakla birlikte, kitabın dine ayırdığı dar alanı anlamaya yardım etmektedir.</w:t>
      </w:r>
    </w:p>
    <w:p>
      <w:pPr>
        <w:spacing w:after="0" w:before="40" w:line="276"/>
        <w:ind w:left="567"/>
        <w:jc w:val="both"/>
      </w:pPr>
      <w:r>
        <w:rPr>
          <w:rFonts w:ascii="Times New Roman" w:cs="Times New Roman" w:eastAsia="Times New Roman" w:hAnsi="Times New Roman"/>
          <w:i/>
          <w:iCs/>
          <w:color w:val="404040"/>
          <w:sz w:val="20"/>
          <w:szCs w:val="20"/>
        </w:rPr>
        <w:t xml:space="preserve">“Çin düşüncesinde ahlak, pratik bir yapıya sahiptir. İnsan ile evren arasındaki ilişki, denge ve düzen temeline oturtularak ahlaki, toplumsal ve siyasal konular çerçevesinde şekillendirilmiştir.”</w:t>
      </w:r>
    </w:p>
    <w:p>
      <w:pPr>
        <w:spacing w:after="80" w:before="0" w:line="276"/>
        <w:ind w:left="567"/>
      </w:pPr>
      <w:r>
        <w:rPr>
          <w:rFonts w:ascii="Times New Roman" w:cs="Times New Roman" w:eastAsia="Times New Roman" w:hAnsi="Times New Roman"/>
          <w:color w:val="7F7F7F"/>
          <w:sz w:val="18"/>
          <w:szCs w:val="18"/>
        </w:rPr>
        <w:t xml:space="preserve">[Kontrol: KAYNAKÇA ESERLER/Kadim Çin düşüncesinde ahlak.pdf; PDF s. 117; basılı s. 100;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“Dolayısıyla, Çin kültüründe hiçbir otorite imparatorun gücünün üstüne çıkamaz ve bunun içinde tabi ki din de hariç değildir. Bu durum Çin halkında dini inançlarının güçlü olmamasına, din konusunda büyük bir açıklığa sahip olmasına ve farklı dini inançların kabul edilmesine neden olmuştur. Büyük ölçüde Çinlilerin dini inancı konusunda rastgelelik vardır. Yani gerek görülmediğinde terk edilebilir, dini inanç insan hayatının sadece bir kısmıdır.”</w:t>
      </w:r>
    </w:p>
    <w:p>
      <w:pPr>
        <w:spacing w:after="80" w:before="0" w:line="276"/>
        <w:ind w:left="567"/>
      </w:pPr>
      <w:r>
        <w:rPr>
          <w:rFonts w:ascii="Times New Roman" w:cs="Times New Roman" w:eastAsia="Times New Roman" w:hAnsi="Times New Roman"/>
          <w:color w:val="7F7F7F"/>
          <w:sz w:val="18"/>
          <w:szCs w:val="18"/>
        </w:rPr>
        <w:t xml:space="preserve">[Kontrol: KAYNAKÇA ESERLER/Çin'de İslam'ı yeniden canlandırma çabaları.pdf; PDF s. 97; basılı s. 86;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bulgular, kitabın derin yapısında bir tür “örtük ilahiyat” barındırdığı şeklinde ihtiyatla yorumlanabilir. Kitap ahlaka aşkın bir dayanak göstermemekte, fakat dinin toplum hayatındaki bazı işlevlerini, yani kutsallık atfetmeyi, sadakat ve adanmışlık talep etmeyi, örnek şahsiyetler sunmayı ve geleceğe dönük bir kurtuluş ufku çizmeyi millet, Parti ve millî diriliş fikrine devretmektedir. Alt ciltte medeniyetler arası alışveriş ve karşılıklı öğrenme yoluyla insan toplumunun gelişmesine “mânevî destek ve gönül tesellisi” sağlanması gerektiğinin söylenmesi (Jiaoyubu, 2018, s. 39), geleneksel olarak dine atfedilen bir işlevin hümanist bir kültür alışverişine yüklenmesi bakımından aynı örüntüye işaret etmektedir. Bununla birlikte bu yorumun sınırları açıktır: Kitap bir ilahiyat iddiası taşımaz, Tanrı, vahiy ve ahiret kavramlarına hiç başvurmaz; “örtük ilahiyat” ifadesi kitabın kendi dili değil, dinin işlevlerini esas alan bir din eğitimcisinin okumasıdır. Bu okumanın ilgili kuramsal literatürle temellendirilmesi gerekmektedir [SAĞLANAN BELGELERDE KAYNAK BULUNAMADI: sivil din, seküler kutsallık ve işlevsel din tanımlarına ilişkin kuramsal kaynak].</w:t>
      </w:r>
    </w:p>
    <w:p>
      <w:pPr>
        <w:spacing w:after="0" w:before="40" w:line="276"/>
        <w:ind w:left="567"/>
        <w:jc w:val="both"/>
      </w:pPr>
      <w:r>
        <w:rPr>
          <w:rFonts w:ascii="Times New Roman" w:cs="Times New Roman" w:eastAsia="Times New Roman" w:hAnsi="Times New Roman"/>
          <w:i/>
          <w:iCs/>
          <w:color w:val="404040"/>
          <w:sz w:val="20"/>
          <w:szCs w:val="20"/>
        </w:rPr>
        <w:t xml:space="preserve">“通过文明的交流互鉴，为人类社会发展提供精神支撑和心灵慰藉”</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sınıf_2. kitap_alt cilt ikinci dönem kitabı.pdf; PDF s. 44; basılı s. 39;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Dinî azınlıkların sessizliği de bu çerçevede değerlendirilmelidir. Kitapta Tibetliler, Uygurlar ve diğer milletler etnik ve ekonomik aktörler olarak görünür, ancak dinî kimlikleri adlandırılmaz; din yalnızca eşitlik ilkesinin bir unsuru, bir güvenlik tehdidi ya da kültürel mirasın bir parçası olarak yer alır. Karacadagli (2019, s. 5), kaynak göstermeksizin, Çin’de insanların büyük çoğunluğunun dinî inancı bulunmadığını ve inananların büyük kısmının azınlık milletlere mensup olduğunu belirtir. Bu ifade, ihtiyatla karşılanması gerekmekle birlikte, dinin kitapta neden milletler arası eşitlik bahsinde ve etnik çeşitliliğin bir unsuru olarak anıldığını anlamaya yardımcı olabilir: Kitabın dili dini, çoğunluğun değil azınlıkların “farklılığı” olarak konumlandırmaktadır. Literatürdeki bazı çalışmalar bu sessizliğin eğitim politikasındaki karşılıklarına dikkat çekmektedir. Tuncer (2021, s. 2267), Doğu Türkistan’da eğitimin tamamen Çin Komünist Partisi’nin tekelinde yürütüldüğünü ileri sürer ve bölgede eğitim hakkının bir baskı ve asimilasyon aracına dönüştüğü sonucuna varır (Tuncer, 2021, s. 2269). Ma (2019, s. 122) ise cami eğitiminin bugün de Çinli Müslümanların yaşadığı bazı bölgelerde sürdüğünü ve cami eğitimi ile Han kitap hareketinin bugünkü Çinli Müslümanlar üzerindeki en önemli etkisinin, onların hem Çinli hem de dindar Müslüman olmalarını ifade eden çifte kimliği biçimlendirmek olduğunu belirtir. Bu çalışmalar, resmî ders kitabının sessiz kaldığı alanda dinî kimliğin okul dışı kurumlarla yaşatıldığını düşündürmektedir; ancak bu durumun ders kitabıyla ilişkisi bu çalışmanın verileriyle sınanamamaktadır.</w:t>
      </w:r>
    </w:p>
    <w:p>
      <w:pPr>
        <w:spacing w:after="0" w:before="40" w:line="276"/>
        <w:ind w:left="567"/>
        <w:jc w:val="both"/>
      </w:pPr>
      <w:r>
        <w:rPr>
          <w:rFonts w:ascii="Times New Roman" w:cs="Times New Roman" w:eastAsia="Times New Roman" w:hAnsi="Times New Roman"/>
          <w:i/>
          <w:iCs/>
          <w:color w:val="404040"/>
          <w:sz w:val="20"/>
          <w:szCs w:val="20"/>
        </w:rPr>
        <w:t xml:space="preserve">“中国是一个宗教自由的国家。它有着世界上大多数的宗教信仰。在中国信仰人数最多的宗教有三个，它们分别是佛教，基督教和伊斯兰教。也有许多其他不同的宗教。但是大多部分人没有宗教信仰。有信仰的大部分是属于少数民族。”</w:t>
      </w:r>
    </w:p>
    <w:p>
      <w:pPr>
        <w:spacing w:after="80" w:before="0" w:line="276"/>
        <w:ind w:left="567"/>
      </w:pPr>
      <w:r>
        <w:rPr>
          <w:rFonts w:ascii="Times New Roman" w:cs="Times New Roman" w:eastAsia="Times New Roman" w:hAnsi="Times New Roman"/>
          <w:color w:val="7F7F7F"/>
          <w:sz w:val="18"/>
          <w:szCs w:val="18"/>
        </w:rPr>
        <w:t xml:space="preserve">[Kontrol: KAYNAKÇA ESERLER/ÖZETLE A comparative study on Chinese hui muslims and Turkish muslims.pdf; PDF s. 13; basılı s. 5; birebir eşleşme: TAM]</w:t>
      </w:r>
      <w:r>
        <w:rPr>
          <w:rFonts w:ascii="Times New Roman" w:cs="Times New Roman" w:eastAsia="Times New Roman" w:hAnsi="Times New Roman"/>
          <w:color w:val="7F7F7F"/>
          <w:sz w:val="18"/>
          <w:szCs w:val="18"/>
        </w:rPr>
        <w:t xml:space="preserve">  Yardımcı Türkçe karşılık (yapay zekâ çevirisi; yazarca denetlenmeli): Çin din özgürlüğü olan bir ülkedir. Dünyadaki dinî inançların çoğu Çin'de vardır. Çin'de en çok inananı olan üç din vardır: Budizm, Hristiyanlık ve İslam. Başka pek çok farklı din de vardır. Ancak insanların büyük çoğunluğunun dinî inancı yoktur. İnananların büyük kısmı azınlık milliyetlere mensuptur.</w:t>
      </w:r>
    </w:p>
    <w:p>
      <w:pPr>
        <w:spacing w:after="0" w:before="40" w:line="276"/>
        <w:ind w:left="567"/>
        <w:jc w:val="both"/>
      </w:pPr>
      <w:r>
        <w:rPr>
          <w:rFonts w:ascii="Times New Roman" w:cs="Times New Roman" w:eastAsia="Times New Roman" w:hAnsi="Times New Roman"/>
          <w:i/>
          <w:iCs/>
          <w:color w:val="404040"/>
          <w:sz w:val="20"/>
          <w:szCs w:val="20"/>
        </w:rPr>
        <w:t xml:space="preserve">“Doğu Türkistan’da eğitim tamamen Çin Komünist Partisi’nin tekelinde ve onun belirlediği prensipler doğrultusunda yürütülmektedir. Zaman zaman ulusal menfaatler adı altında kişilerin eğitim hakları ile ilgili keyfi uygulamaları hayata geçirmektedir.”</w:t>
      </w:r>
    </w:p>
    <w:p>
      <w:pPr>
        <w:spacing w:after="80" w:before="0" w:line="276"/>
        <w:ind w:left="567"/>
      </w:pPr>
      <w:r>
        <w:rPr>
          <w:rFonts w:ascii="Times New Roman" w:cs="Times New Roman" w:eastAsia="Times New Roman" w:hAnsi="Times New Roman"/>
          <w:color w:val="7F7F7F"/>
          <w:sz w:val="18"/>
          <w:szCs w:val="18"/>
        </w:rPr>
        <w:t xml:space="preserve">[Kontrol: KAYNAKÇA ESERLER/DOĞU TÜRKİSTAN’DA ÇİN MODELİ EĞİTİM SİSTEMİ.pdf; PDF s. 6; basılı s. 2267;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“Bir insan hakkı olan eğitim hakkı, Doğu Türkistan’da hak olmaktan öteye geçmiş, bir baskı ve asimilasyon aracı haline gelmiştir. Çözüm ise uluslararası antlaşmalara imza atmış Çin üzerinde kamuoyu baskısının oluşturulması ve yaptırımlar uygulanmasıdır.”</w:t>
      </w:r>
    </w:p>
    <w:p>
      <w:pPr>
        <w:spacing w:after="80" w:before="0" w:line="276"/>
        <w:ind w:left="567"/>
      </w:pPr>
      <w:r>
        <w:rPr>
          <w:rFonts w:ascii="Times New Roman" w:cs="Times New Roman" w:eastAsia="Times New Roman" w:hAnsi="Times New Roman"/>
          <w:color w:val="7F7F7F"/>
          <w:sz w:val="18"/>
          <w:szCs w:val="18"/>
        </w:rPr>
        <w:t xml:space="preserve">[Kontrol: KAYNAKÇA ESERLER/DOĞU TÜRKİSTAN’DA ÇİN MODELİ EĞİTİM SİSTEMİ.pdf; PDF s. 8; basılı s. 2269;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“Günümüzde Çinli Müslümanların yaşadığı bazı bölgelerde hala cami eğitimi modeli kullanılmaktadır. Hatta modern İslam eğitimi bile cami eğitimini temel alarak gelişmiştir.”</w:t>
      </w:r>
    </w:p>
    <w:p>
      <w:pPr>
        <w:spacing w:after="80" w:before="0" w:line="276"/>
        <w:ind w:left="567"/>
      </w:pPr>
      <w:r>
        <w:rPr>
          <w:rFonts w:ascii="Times New Roman" w:cs="Times New Roman" w:eastAsia="Times New Roman" w:hAnsi="Times New Roman"/>
          <w:color w:val="7F7F7F"/>
          <w:sz w:val="18"/>
          <w:szCs w:val="18"/>
        </w:rPr>
        <w:t xml:space="preserve">[Kontrol: KAYNAKÇA ESERLER/Çin'de İslam'ı yeniden canlandırma çabaları.pdf; PDF s. 133; basılı s. 122;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“Cami eğitimi ve Han kitap hareketinin bugünkü Çinli Müslümanlar üzerindeki en önemli etkisi, Çinli Müslümanların çifte kimliğini ve ikili kültürel kimliklerini biçimlendirmesidir. Başka bir deyişle, bir Çinli Müslüman, hem Çinli hem de dindar bir Müslümandır. O Çin kültürünü kabul ederken İslam kültürünü de kabul etmektedir.”</w:t>
      </w:r>
    </w:p>
    <w:p>
      <w:pPr>
        <w:spacing w:after="80" w:before="0" w:line="276"/>
        <w:ind w:left="567"/>
      </w:pPr>
      <w:r>
        <w:rPr>
          <w:rFonts w:ascii="Times New Roman" w:cs="Times New Roman" w:eastAsia="Times New Roman" w:hAnsi="Times New Roman"/>
          <w:color w:val="7F7F7F"/>
          <w:sz w:val="18"/>
          <w:szCs w:val="18"/>
        </w:rPr>
        <w:t xml:space="preserve">[Kontrol: KAYNAKÇA ESERLER/Çin'de İslam'ı yeniden canlandırma çabaları.pdf; PDF s. 133; basılı s. 122; birebir eşleşme: TAM]</w:t>
      </w:r>
    </w:p>
    <w:p>
      <w:pPr>
        <w:spacing w:after="120" w:before="120" w:line="360"/>
        <w:jc w:val="left"/>
      </w:pPr>
      <w:r>
        <w:rPr>
          <w:rFonts w:ascii="Times New Roman" w:cs="Times New Roman" w:eastAsia="Times New Roman" w:hAnsi="Times New Roman"/>
          <w:b/>
          <w:bCs/>
          <w:i w:val="false"/>
          <w:iCs w:val="false"/>
          <w:sz w:val="24"/>
          <w:szCs w:val="24"/>
        </w:rPr>
        <w:t xml:space="preserve">Türkiye ile Karşılaştırma</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Kitabın bulguları Türkiye’deki din ve ahlak öğretimiyle karşılaştırıldığında en belirgin fark, ahlakın dayanağında ortaya çıkmaktadır. Türkiye’de Din Kültürü ve Ahlak Bilgisi dersi ilkokulun 4. sınıfından itibaren okutulmakta, ortaokulda buna din ve ahlak alanında seçmeli dersler eklenmektedir [SAĞLANAN BELGELERDE KAYNAK BULUNAMADI: MEB haftalık ders çizelgesi ve seçmeli ders listesi; bu bilgi sağlanan belgelerden birinde başka kaynaklardan aktarılarak geçtiği için o esere atıf yapılmamıştır]. Türkiye’de ahlak, dinî kaynaklarla da ilişkilendirilerek öğretilirken Çin kitabında aynı erdemler, yani anne babaya hürmet, büyüklere saygı, yardımlaşma ve dürüstlük, millî gelenek ve sosyalist değerler üzerinden temellendirilmektedir [SAĞLANAN BELGELERDE KAYNAK BULUNAMADI: Türkiye’deki Din Kültürü ve Ahlak Bilgisi öğretim programının ahlakı temellendirme biçimine ilişkin birincil kaynak]. Bu fark tarihî bir ayrışmanın da izini taşır: Adilijiang’a (2019, s. 67) göre Osmanlı İmparatorluğu sultanın halife sıfatını taşıdığı bir devlet, Qing İmparatorluğu ise laik bir krallık devletiydi ve bu fark iki ülkenin modernleşme yollarını da farklılaştırdı. Terzi (2024, s. 53) ise iki imparatorluğun da devletini güçlendirmek için savunmacı bir modernleşmeye giriştiğini, Çin’de Kendini Güçlendirme Hareketi’nin, Osmanlı’da Tanzimat reformlarının bu çabanın ifadesi olduğunu ve her iki toplumda eski kimlik ve değerlere güçlü bir bağlılığın modernleşmeye direnç doğurduğunu belirtir. Terzi’ye göre iki ülkede de amaç Batı’nın teknolojik ve bilimsel ilerlemelerini benimserken kültürel gelenekleri korumaktı ve Çin’de bu arayış “Çin özü, Batı kullanımı” (中体西用) söylemine yansımıştı (Terzi, 2024, s. 53). Bu arayışın iki ülkenin bugünkü değerler eğitiminde de farklı biçimlerde sürdüğü düşünülebilir.</w:t>
      </w:r>
    </w:p>
    <w:p>
      <w:pPr>
        <w:spacing w:after="0" w:before="40" w:line="276"/>
        <w:ind w:left="567"/>
        <w:jc w:val="both"/>
      </w:pPr>
      <w:r>
        <w:rPr>
          <w:rFonts w:ascii="Times New Roman" w:cs="Times New Roman" w:eastAsia="Times New Roman" w:hAnsi="Times New Roman"/>
          <w:i/>
          <w:iCs/>
          <w:color w:val="404040"/>
          <w:sz w:val="20"/>
          <w:szCs w:val="20"/>
        </w:rPr>
        <w:t xml:space="preserve">“Buradaki fark da açıktır: Osmanlı İmparatorluğu başta sultanın halife sıfatını taşıdığı bir devlettir. Qing İmparatorluğu ise laik bir krallık devletidir. Bu iki rejimin doğasındaki farklılık kaçınılmaz olarak gelecekteki modernleşmelerinde de farklılıklara yol açmıştır.”</w:t>
      </w:r>
    </w:p>
    <w:p>
      <w:pPr>
        <w:spacing w:after="80" w:before="0" w:line="276"/>
        <w:ind w:left="567"/>
      </w:pPr>
      <w:r>
        <w:rPr>
          <w:rFonts w:ascii="Times New Roman" w:cs="Times New Roman" w:eastAsia="Times New Roman" w:hAnsi="Times New Roman"/>
          <w:color w:val="7F7F7F"/>
          <w:sz w:val="18"/>
          <w:szCs w:val="18"/>
        </w:rPr>
        <w:t xml:space="preserve">[Kontrol: KAYNAKÇA ESERLER/1908 Jön Türk devrimi ile 1911 Çin devriminin karşılıklı analizi.pdf; PDF s. 76; basılı s. 67;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“Both empires launched defensive modernization efforts to strengthen their states and preserve their independence. In China, the Self-Strengthening Movement (自强运动) sought to adopt Western technology and military systems. In the Ottoman Empire, the Tanzimat reforms included legal and military modernization efforts. In both societies, there was a strong adherence to old identities and values, which created resistance to modernization efforts.”</w:t>
      </w:r>
    </w:p>
    <w:p>
      <w:pPr>
        <w:spacing w:after="80" w:before="0" w:line="276"/>
        <w:ind w:left="567"/>
      </w:pPr>
      <w:r>
        <w:rPr>
          <w:rFonts w:ascii="Times New Roman" w:cs="Times New Roman" w:eastAsia="Times New Roman" w:hAnsi="Times New Roman"/>
          <w:color w:val="7F7F7F"/>
          <w:sz w:val="18"/>
          <w:szCs w:val="18"/>
        </w:rPr>
        <w:t xml:space="preserve">[Kontrol: KAYNAKÇA ESERLER/Modern eğitim için yurtdışına gönderilen osmanlı ve çin öğrencilerinin karşılaştırılması.pdf; PDF s. 64; basılı s. 53; birebir eşleşme: TAM]</w:t>
      </w:r>
      <w:r>
        <w:rPr>
          <w:rFonts w:ascii="Times New Roman" w:cs="Times New Roman" w:eastAsia="Times New Roman" w:hAnsi="Times New Roman"/>
          <w:color w:val="7F7F7F"/>
          <w:sz w:val="18"/>
          <w:szCs w:val="18"/>
        </w:rPr>
        <w:t xml:space="preserve">  Yardımcı Türkçe karşılık (yapay zekâ çevirisi; yazarca denetlenmeli): Her iki imparatorluk da devletlerini güçlendirmek ve bağımsızlıklarını korumak için savunmacı modernleşme çabaları başlattı. Çin'de Kendini Güçlendirme Hareketi (自强运动) Batı teknolojisini ve askerî sistemlerini benimsemeye çalıştı. Osmanlı İmparatorluğu'nda Tanzimat reformları hukuki ve askerî modernleşme çabalarını içeriyordu. Her iki toplumda da eski kimlik ve değerlere güçlü bir bağlılık vardı ve bu da modernleşme çabalarına karşı direnç doğurdu.</w:t>
      </w:r>
    </w:p>
    <w:p>
      <w:pPr>
        <w:spacing w:after="0" w:before="40" w:line="276"/>
        <w:ind w:left="567"/>
        <w:jc w:val="both"/>
      </w:pPr>
      <w:r>
        <w:rPr>
          <w:rFonts w:ascii="Times New Roman" w:cs="Times New Roman" w:eastAsia="Times New Roman" w:hAnsi="Times New Roman"/>
          <w:i/>
          <w:iCs/>
          <w:color w:val="404040"/>
          <w:sz w:val="20"/>
          <w:szCs w:val="20"/>
        </w:rPr>
        <w:t xml:space="preserve">“In both the Ottoman Empire and China, the aim was to preserve their cultural traditions while embracing Western technological and scientific advances. This was reflected in discourses like “Chinese essence, Western use” (中体西用), which emphasized the integration of Western innovations without compromising Confucian values.”</w:t>
      </w:r>
    </w:p>
    <w:p>
      <w:pPr>
        <w:spacing w:after="80" w:before="0" w:line="276"/>
        <w:ind w:left="567"/>
      </w:pPr>
      <w:r>
        <w:rPr>
          <w:rFonts w:ascii="Times New Roman" w:cs="Times New Roman" w:eastAsia="Times New Roman" w:hAnsi="Times New Roman"/>
          <w:color w:val="7F7F7F"/>
          <w:sz w:val="18"/>
          <w:szCs w:val="18"/>
        </w:rPr>
        <w:t xml:space="preserve">[Kontrol: KAYNAKÇA ESERLER/Modern eğitim için yurtdışına gönderilen osmanlı ve çin öğrencilerinin karşılaştırılması.pdf; PDF s. 64; basılı s. 53; birebir eşleşme: TAM]</w:t>
      </w:r>
      <w:r>
        <w:rPr>
          <w:rFonts w:ascii="Times New Roman" w:cs="Times New Roman" w:eastAsia="Times New Roman" w:hAnsi="Times New Roman"/>
          <w:color w:val="7F7F7F"/>
          <w:sz w:val="18"/>
          <w:szCs w:val="18"/>
        </w:rPr>
        <w:t xml:space="preserve">  Yardımcı Türkçe karşılık (yapay zekâ çevirisi; yazarca denetlenmeli): Hem Osmanlı İmparatorluğu’nda hem Çin’de amaç, Batı’nın teknolojik ve bilimsel ilerlemelerini benimserken kültürel gelenekleri korumaktı. Bu, Batılı yenilikleri Konfüçyüsçü değerlerden ödün vermeden bünyeye katmayı vurgulayan “Çin özü, Batı kullanımı” (中体西用) gibi söylemlere yansımıştı.</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Bununla birlikte iki sistem arasında yapısal benzerlikler de vardır. Kişi (2021, s. 3), Çin’in 20. yüzyılda yaşadığı dönüşümün özü itibarıyla Cumhuriyet Türkiyesi’nin dönüşümüne benzediğini, ancak Çin örneğinde bu sürecin sosyalizm ekseninde ilerlediğini belirtir. Hsu (2024, s. 117) da Türkiye’de modernleşme ve laikleşmeyle iç içe geçen milliyetçiliğin bayrak, marş ve zafer anlatıları gibi sembollerle yeni bir din işlevi görmesinin hedeflendiğini ileri sürer. Klasik özdeyişlerle değer aktarımı, örnek şahsiyet pedagojisi, millî birlik ve vatan sevgisinin ahlaki bir ödev olarak sunulması iki ülkenin değerler eğitiminde ortak temas noktalarıdır; Işık’ın (2023, s. 102) Nasrettin Hoca ve Afanti fıkralarının değerler eğitiminde etkili bir araç olduğu tespiti, iki kültürün ortak halk mirasının da karşılaştırmalı değerler eğitimine imkân verdiğini göstermektedir. Ne var ki Tanrısevdi ve Kıral’ın ([YIL GÖRÜLEMEDİ], s. 238) uyardığı gibi, bir başka ülkenin eğitim sistemini kopyalamaya yönelen öneriler hatalı bir girişimdir ve ülkelerin kültürel ve toplumsal farklılıkları dikkate alınmadan yapılan karşılaştırmalar sağlıklı sonuç vermez.</w:t>
      </w:r>
    </w:p>
    <w:p>
      <w:pPr>
        <w:spacing w:after="0" w:before="40" w:line="276"/>
        <w:ind w:left="567"/>
        <w:jc w:val="both"/>
      </w:pPr>
      <w:r>
        <w:rPr>
          <w:rFonts w:ascii="Times New Roman" w:cs="Times New Roman" w:eastAsia="Times New Roman" w:hAnsi="Times New Roman"/>
          <w:i/>
          <w:iCs/>
          <w:color w:val="404040"/>
          <w:sz w:val="20"/>
          <w:szCs w:val="20"/>
        </w:rPr>
        <w:t xml:space="preserve">“Çin’in 20. yüzyılda yaşamış olduğu dönüşüm özü itibarıyla Cumhuriyet Türkiyesi’nin yaşadığı dönüşüme benzemektedir. Her iki örnekde de uzun bir siyasi geçmişe sahip olan imparatorluklar tasfiye edilerek belli bir bürokratik tabaka eliyle milliyetçilik ideolojisi temelinde modern bir devlete dönüşmek amacıyla, cumhuriyet rejimine giden yolun açıldığı görülmektedir. Fakat Çin örneğinde bu süreç, sosyalizm ekseninde ilerlemiştir.”</w:t>
      </w:r>
    </w:p>
    <w:p>
      <w:pPr>
        <w:spacing w:after="80" w:before="0" w:line="276"/>
        <w:ind w:left="567"/>
      </w:pPr>
      <w:r>
        <w:rPr>
          <w:rFonts w:ascii="Times New Roman" w:cs="Times New Roman" w:eastAsia="Times New Roman" w:hAnsi="Times New Roman"/>
          <w:color w:val="7F7F7F"/>
          <w:sz w:val="18"/>
          <w:szCs w:val="18"/>
        </w:rPr>
        <w:t xml:space="preserve">[Kontrol: KAYNAKÇA ESERLER/DOKTORA_Çin milliyetçiliğinin sosyalizm ekseninde yükselişi.pdf; PDF s. 14; basılı s. 3;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“The main objective was to reduce the influence of Islam in both political affairs and societal and cultural realms. As such, Turkish nationalism, interwind with modernization and secularization, would become the new religion with the national flag, anthem, victory war stories, and other symbols, all of which can serve as solidarity and connection between the state and individual belief.”</w:t>
      </w:r>
    </w:p>
    <w:p>
      <w:pPr>
        <w:spacing w:after="80" w:before="0" w:line="276"/>
        <w:ind w:left="567"/>
      </w:pPr>
      <w:r>
        <w:rPr>
          <w:rFonts w:ascii="Times New Roman" w:cs="Times New Roman" w:eastAsia="Times New Roman" w:hAnsi="Times New Roman"/>
          <w:color w:val="7F7F7F"/>
          <w:sz w:val="18"/>
          <w:szCs w:val="18"/>
        </w:rPr>
        <w:t xml:space="preserve">[Kontrol: KAYNAKÇA ESERLER/__DOKTORA TEZİ_Tayvan'da Çin kimliğinden uzaklaşma ile Türkiye'de Müslüman kimliğinden uzaklaşma.pdf; PDF s. 131; basılı s. 117; birebir eşleşme: TAM]</w:t>
      </w:r>
      <w:r>
        <w:rPr>
          <w:rFonts w:ascii="Times New Roman" w:cs="Times New Roman" w:eastAsia="Times New Roman" w:hAnsi="Times New Roman"/>
          <w:color w:val="7F7F7F"/>
          <w:sz w:val="18"/>
          <w:szCs w:val="18"/>
        </w:rPr>
        <w:t xml:space="preserve">  Yardımcı Türkçe karşılık (yapay zekâ çevirisi; yazarca denetlenmeli): Temel amaç, İslam'ın hem siyasi işlerde hem de toplumsal ve kültürel alanlardaki etkisini azaltmaktı. Bu doğrultuda modernleşme ve laikleşmeyle iç içe geçen Türk milliyetçiliği; ulusal bayrak, marş, zafer savaşı hikâyeleri ve diğer sembollerle yeni din hâline gelecekti; bunların hepsi devlet ile bireysel inanç arasında dayanışma ve bağ işlevi görebilirdi. [Claude çevirisi]</w:t>
      </w:r>
    </w:p>
    <w:p>
      <w:pPr>
        <w:spacing w:after="0" w:before="40" w:line="276"/>
        <w:ind w:left="567"/>
        <w:jc w:val="both"/>
      </w:pPr>
      <w:r>
        <w:rPr>
          <w:rFonts w:ascii="Times New Roman" w:cs="Times New Roman" w:eastAsia="Times New Roman" w:hAnsi="Times New Roman"/>
          <w:i/>
          <w:iCs/>
          <w:color w:val="404040"/>
          <w:sz w:val="20"/>
          <w:szCs w:val="20"/>
        </w:rPr>
        <w:t xml:space="preserve">“Nasrettin Hoca ve Afanti fıkraları hem gülünç hem de öğretici olmasıyla değerler eğitiminde etkili bir araçtır. Öğretmenler fıkraları derslerinde kullanarak öğrencilerin değerlerle ilgili tutum ve davranışlarını geliştirmeye çalışabilir.”</w:t>
      </w:r>
    </w:p>
    <w:p>
      <w:pPr>
        <w:spacing w:after="80" w:before="0" w:line="276"/>
        <w:ind w:left="567"/>
      </w:pPr>
      <w:r>
        <w:rPr>
          <w:rFonts w:ascii="Times New Roman" w:cs="Times New Roman" w:eastAsia="Times New Roman" w:hAnsi="Times New Roman"/>
          <w:color w:val="7F7F7F"/>
          <w:sz w:val="18"/>
          <w:szCs w:val="18"/>
        </w:rPr>
        <w:t xml:space="preserve">[Kontrol: KAYNAKÇA ESERLER/Değerler eğitimi açısından Nasrettin Hoca ve Afanti fıkraları.pdf; PDF s. 114; basılı s. 102;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“Bu çıkarımlar ve önerilerin bir başka ülkenin eğitim sistemini kopyalamaya odaklanması ise oldukça hatalı bir girişimdir ve Türk eğitim tarihinde kopyalama şeklinde hatalı değişim girişimleri bulunmaktadır. Her ülkenin coğrafi yapısı, kültürel özellikleri, demografik özellikleri, yetişmiş insan gücü ihtiyacı ve niteliği birbirinden farklıdır. Bu farklılıklar dikkate alınmadan yapılacak eğitim sistemi karşılaştırmaları, araştırmacıyı sağlıklı tespit ve öneriler geliştirmekten alıkoymaktadır.”</w:t>
      </w:r>
    </w:p>
    <w:p>
      <w:pPr>
        <w:spacing w:after="80" w:before="0" w:line="276"/>
        <w:ind w:left="567"/>
      </w:pPr>
      <w:r>
        <w:rPr>
          <w:rFonts w:ascii="Times New Roman" w:cs="Times New Roman" w:eastAsia="Times New Roman" w:hAnsi="Times New Roman"/>
          <w:color w:val="7F7F7F"/>
          <w:sz w:val="18"/>
          <w:szCs w:val="18"/>
        </w:rPr>
        <w:t xml:space="preserve">[Kontrol: KAYNAKÇA ESERLER/Çin ve Türk Eğitim Sisteminin Karşılaştırılması.pdf; PDF s. 16; basılı s. 238; birebir eşleşme: TAM]</w:t>
      </w:r>
    </w:p>
    <w:p>
      <w:pPr>
        <w:spacing w:after="120" w:before="120" w:line="360"/>
        <w:jc w:val="left"/>
      </w:pPr>
      <w:r>
        <w:rPr>
          <w:rFonts w:ascii="Times New Roman" w:cs="Times New Roman" w:eastAsia="Times New Roman" w:hAnsi="Times New Roman"/>
          <w:b/>
          <w:bCs/>
          <w:i w:val="false"/>
          <w:iCs w:val="false"/>
          <w:sz w:val="24"/>
          <w:szCs w:val="24"/>
        </w:rPr>
        <w:t xml:space="preserve">Sonuç ve Öneriler</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Bu çalışma, Çin’de zorunlu eğitimin son yılında okutulan Ahlak ve Hukuk kitabının ahlakı tarih, millet, Parti ve seçilerek devralınmış gelenek üzerine kurduğunu; aşkın bir dayanağa başvurmadığını; dine yalnızca eşitlik, güvenlik ve kültürel miras bağlamlarında yer verdiğini; buna karşılık inanç, kutsallık, ruh ve kader gibi dinî kavramları seküler ve siyasi nesnelere yönelttiğini göstermiştir. Kitapta Konfüçyüsçü özdeyişler, çoğu zaman kaynağı belirtilmeden, ahlaki ve siyasi vecizeler olarak sıkça kullanılmakta, ancak kozmolojik ve ritüel boyutlarından arındırılmaktadır. Hayatın anlamı, mutluluk, ölüm ve ideal gibi din eğitiminin merkezindeki sorular kitapta yer almakta, fakat bu sorulara verilen cevaplar emek, hizmet ve millî diriliş ufkunda kalmaktadır.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Bu bulgulardan hareketle şu öneriler sunulabilir: (1) Ahlak ve Hukuk serisinin 7. ve 8. sınıf kitaplarının da aynı kategorilerle incelenmesi, serinin bütününde ahlakın temellendirilmesinin nasıl değiştiğini gösterebilir. (2) Kitabın sınıfta nasıl öğretildiği ve öğrencilerin bu ahlak dilini nasıl içselleştirdiği, öğretmen ve öğrencilerle yapılacak saha çalışmalarıyla araştırılmalıdır. (3) Türkiye’deki Din Kültürü ve Ahlak Bilgisi ile Çin’deki Ahlak ve Hukuk kitaplarının aynı değerler üzerinden karşılaştırmalı içerik analizi, seküler ve dinî temellendirme biçimlerinin değerler eğitimine etkisini görünür kılabilir. (4) Çin’deki dinî azınlıkların okul dışı din eğitimi kurumları ile resmî ahlak eğitimi arasındaki ilişki ayrıca incelenmelidir.</w:t>
      </w:r>
    </w:p>
    <w:p>
      <w:r>
        <w:br w:type="page"/>
      </w:r>
    </w:p>
    <w:p>
      <w:pPr>
        <w:spacing w:after="120" w:before="240" w:line="360"/>
        <w:jc w:val="center"/>
      </w:pPr>
      <w:r>
        <w:rPr>
          <w:rFonts w:ascii="Times New Roman" w:cs="Times New Roman" w:eastAsia="Times New Roman" w:hAnsi="Times New Roman"/>
          <w:b/>
          <w:bCs/>
          <w:i w:val="false"/>
          <w:iCs w:val="false"/>
          <w:sz w:val="24"/>
          <w:szCs w:val="24"/>
        </w:rPr>
        <w:t xml:space="preserve">Kaynakça</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Adilijiang, A. [YAZAR ADININ HANGİ ÖĞESİNİN SOYADI OLDUĞU BELGEDE GÖRÜLEMEDİ; KAPAKTA “AIERKEN ADILIJIANG”]. (2019). </w:t>
      </w:r>
      <w:r>
        <w:rPr>
          <w:rFonts w:ascii="Times New Roman" w:cs="Times New Roman" w:eastAsia="Times New Roman" w:hAnsi="Times New Roman"/>
          <w:i/>
          <w:iCs/>
          <w:sz w:val="24"/>
          <w:szCs w:val="24"/>
        </w:rPr>
        <w:t xml:space="preserve">1908 Jön Türk Devrimi ile 1911 Çin Devriminin karşılıklı analizi</w:t>
      </w:r>
      <w:r>
        <w:rPr>
          <w:rFonts w:ascii="Times New Roman" w:cs="Times New Roman" w:eastAsia="Times New Roman" w:hAnsi="Times New Roman"/>
          <w:i w:val="false"/>
          <w:iCs w:val="false"/>
          <w:sz w:val="24"/>
          <w:szCs w:val="24"/>
        </w:rPr>
        <w:t xml:space="preserve"> [Yayımlanmamış yüksek lisans tezi]. Fatih Sultan Mehmet Vakıf Üniversitesi. [VERİ TABANI / TEZ NO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Aimaiti, M. (2023). </w:t>
      </w:r>
      <w:r>
        <w:rPr>
          <w:rFonts w:ascii="Times New Roman" w:cs="Times New Roman" w:eastAsia="Times New Roman" w:hAnsi="Times New Roman"/>
          <w:i/>
          <w:iCs/>
          <w:sz w:val="24"/>
          <w:szCs w:val="24"/>
        </w:rPr>
        <w:t xml:space="preserve">Türkiye, Çin ve Rusya eğitim sistemlerinin karşılaştırmalı olarak incelenmesi</w:t>
      </w:r>
      <w:r>
        <w:rPr>
          <w:rFonts w:ascii="Times New Roman" w:cs="Times New Roman" w:eastAsia="Times New Roman" w:hAnsi="Times New Roman"/>
          <w:i w:val="false"/>
          <w:iCs w:val="false"/>
          <w:sz w:val="24"/>
          <w:szCs w:val="24"/>
        </w:rPr>
        <w:t xml:space="preserve"> [Yayımlanmamış yüksek lisans tezi]. Fatih Sultan Mehmet Vakıf Üniversitesi. [VERİ TABANI / TEZ NO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Ametbek, N. (2023). </w:t>
      </w:r>
      <w:r>
        <w:rPr>
          <w:rFonts w:ascii="Times New Roman" w:cs="Times New Roman" w:eastAsia="Times New Roman" w:hAnsi="Times New Roman"/>
          <w:i/>
          <w:iCs/>
          <w:sz w:val="24"/>
          <w:szCs w:val="24"/>
        </w:rPr>
        <w:t xml:space="preserve">Çin ulusal kimliği’nin dış politikaya yansıması: Kuşak-Yol Girişimi örneği</w:t>
      </w:r>
      <w:r>
        <w:rPr>
          <w:rFonts w:ascii="Times New Roman" w:cs="Times New Roman" w:eastAsia="Times New Roman" w:hAnsi="Times New Roman"/>
          <w:i w:val="false"/>
          <w:iCs w:val="false"/>
          <w:sz w:val="24"/>
          <w:szCs w:val="24"/>
        </w:rPr>
        <w:t xml:space="preserve"> [Yayımlanmamış doktora tezi]. Ankara Üniversitesi. [VERİ TABANI / TEZ NO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Aydın, A. T. (2024). Çin Halk Cumhuriyeti eğitim sisteminin değerlendirilmesi [Evaluation of the education system of the People’s Republic of China]. </w:t>
      </w:r>
      <w:r>
        <w:rPr>
          <w:rFonts w:ascii="Times New Roman" w:cs="Times New Roman" w:eastAsia="Times New Roman" w:hAnsi="Times New Roman"/>
          <w:i/>
          <w:iCs/>
          <w:sz w:val="24"/>
          <w:szCs w:val="24"/>
        </w:rPr>
        <w:t xml:space="preserve">Mersin Üniversitesi Eğitim Fakültesi Dergisi, 20</w:t>
      </w:r>
      <w:r>
        <w:rPr>
          <w:rFonts w:ascii="Times New Roman" w:cs="Times New Roman" w:eastAsia="Times New Roman" w:hAnsi="Times New Roman"/>
          <w:i w:val="false"/>
          <w:iCs w:val="false"/>
          <w:sz w:val="24"/>
          <w:szCs w:val="24"/>
        </w:rPr>
        <w:t xml:space="preserve">(2), 325–346. https://doi.org/10.17860/mersinefd.1504941</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Aydın, C. (2022). </w:t>
      </w:r>
      <w:r>
        <w:rPr>
          <w:rFonts w:ascii="Times New Roman" w:cs="Times New Roman" w:eastAsia="Times New Roman" w:hAnsi="Times New Roman"/>
          <w:i/>
          <w:iCs/>
          <w:sz w:val="24"/>
          <w:szCs w:val="24"/>
        </w:rPr>
        <w:t xml:space="preserve">Kadim Çin düşüncesinde ahlak</w:t>
      </w:r>
      <w:r>
        <w:rPr>
          <w:rFonts w:ascii="Times New Roman" w:cs="Times New Roman" w:eastAsia="Times New Roman" w:hAnsi="Times New Roman"/>
          <w:i w:val="false"/>
          <w:iCs w:val="false"/>
          <w:sz w:val="24"/>
          <w:szCs w:val="24"/>
        </w:rPr>
        <w:t xml:space="preserve"> [Yayımlanmamış yüksek lisans tezi]. Ankara Yıldırım Beyazıt Üniversitesi. [VERİ TABANI / TEZ NO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Coşkun, B., &amp; Çelikten, M. (2020). Çin Halk Cumhuriyeti eğitim sistemi. </w:t>
      </w:r>
      <w:r>
        <w:rPr>
          <w:rFonts w:ascii="Times New Roman" w:cs="Times New Roman" w:eastAsia="Times New Roman" w:hAnsi="Times New Roman"/>
          <w:i/>
          <w:iCs/>
          <w:sz w:val="24"/>
          <w:szCs w:val="24"/>
        </w:rPr>
        <w:t xml:space="preserve">OPUS Uluslararası Toplum Araştırmaları Dergisi, 15</w:t>
      </w:r>
      <w:r>
        <w:rPr>
          <w:rFonts w:ascii="Times New Roman" w:cs="Times New Roman" w:eastAsia="Times New Roman" w:hAnsi="Times New Roman"/>
          <w:i w:val="false"/>
          <w:iCs w:val="false"/>
          <w:sz w:val="24"/>
          <w:szCs w:val="24"/>
        </w:rPr>
        <w:t xml:space="preserve">(24), 2982–3011. https://doi.org/10.26466/opus.669104</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Ergül, Y. (2025). </w:t>
      </w:r>
      <w:r>
        <w:rPr>
          <w:rFonts w:ascii="Times New Roman" w:cs="Times New Roman" w:eastAsia="Times New Roman" w:hAnsi="Times New Roman"/>
          <w:i/>
          <w:iCs/>
          <w:sz w:val="24"/>
          <w:szCs w:val="24"/>
        </w:rPr>
        <w:t xml:space="preserve">Çin’in küresel güç söylemi: Çin Rüyası</w:t>
      </w:r>
      <w:r>
        <w:rPr>
          <w:rFonts w:ascii="Times New Roman" w:cs="Times New Roman" w:eastAsia="Times New Roman" w:hAnsi="Times New Roman"/>
          <w:i w:val="false"/>
          <w:iCs w:val="false"/>
          <w:sz w:val="24"/>
          <w:szCs w:val="24"/>
        </w:rPr>
        <w:t xml:space="preserve"> [Yayımlanmamış yüksek lisans tezi]. Nevşehir Hacı Bektaş Veli Üniversitesi. [VERİ TABANI / TEZ NO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Gökenç Gülez, S. (2023). Modern Çin eğitim sisteminde geleneksel izler: Konfuçyüsçü eğitimin yeniden canlanması. </w:t>
      </w:r>
      <w:r>
        <w:rPr>
          <w:rFonts w:ascii="Times New Roman" w:cs="Times New Roman" w:eastAsia="Times New Roman" w:hAnsi="Times New Roman"/>
          <w:i/>
          <w:iCs/>
          <w:sz w:val="24"/>
          <w:szCs w:val="24"/>
        </w:rPr>
        <w:t xml:space="preserve">Çukurova Üniversitesi Sosyal Bilimler Enstitüsü Dergisi, 32</w:t>
      </w:r>
      <w:r>
        <w:rPr>
          <w:rFonts w:ascii="Times New Roman" w:cs="Times New Roman" w:eastAsia="Times New Roman" w:hAnsi="Times New Roman"/>
          <w:i w:val="false"/>
          <w:iCs w:val="false"/>
          <w:sz w:val="24"/>
          <w:szCs w:val="24"/>
        </w:rPr>
        <w:t xml:space="preserve">(1), 313–327. https://doi.org/10.35379/cusosbil.1259073</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Hsu, T.-Y. (2024). </w:t>
      </w:r>
      <w:r>
        <w:rPr>
          <w:rFonts w:ascii="Times New Roman" w:cs="Times New Roman" w:eastAsia="Times New Roman" w:hAnsi="Times New Roman"/>
          <w:i/>
          <w:iCs/>
          <w:sz w:val="24"/>
          <w:szCs w:val="24"/>
        </w:rPr>
        <w:t xml:space="preserve">Identity disassociation from historically embedded culture and identity: A comparison between de-Chineselized Taiwanese identity and de-Islamized Turkish identity</w:t>
      </w:r>
      <w:r>
        <w:rPr>
          <w:rFonts w:ascii="Times New Roman" w:cs="Times New Roman" w:eastAsia="Times New Roman" w:hAnsi="Times New Roman"/>
          <w:i w:val="false"/>
          <w:iCs w:val="false"/>
          <w:sz w:val="24"/>
          <w:szCs w:val="24"/>
        </w:rPr>
        <w:t xml:space="preserve"> [Yayımlanmamış doktora tezi]. Middle East Technical University. [VERİ TABANI / TEZ NO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Işık, S. (2023). </w:t>
      </w:r>
      <w:r>
        <w:rPr>
          <w:rFonts w:ascii="Times New Roman" w:cs="Times New Roman" w:eastAsia="Times New Roman" w:hAnsi="Times New Roman"/>
          <w:i/>
          <w:iCs/>
          <w:sz w:val="24"/>
          <w:szCs w:val="24"/>
        </w:rPr>
        <w:t xml:space="preserve">Değerler eğitimi açısından Nasrettin Hoca ve Afanti fıkraları: Türk ve Çin kültürü karşılaştırması</w:t>
      </w:r>
      <w:r>
        <w:rPr>
          <w:rFonts w:ascii="Times New Roman" w:cs="Times New Roman" w:eastAsia="Times New Roman" w:hAnsi="Times New Roman"/>
          <w:i w:val="false"/>
          <w:iCs w:val="false"/>
          <w:sz w:val="24"/>
          <w:szCs w:val="24"/>
        </w:rPr>
        <w:t xml:space="preserve"> [Yayımlanmamış yüksek lisans tezi]. Erciyes Üniversitesi. [VERİ TABANI / TEZ NO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Jiaoyubu [教育部; Çin Halk Cumhuriyeti Eğitim Bakanlığı]. (2018). </w:t>
      </w:r>
      <w:r>
        <w:rPr>
          <w:rFonts w:ascii="Times New Roman" w:cs="Times New Roman" w:eastAsia="Times New Roman" w:hAnsi="Times New Roman"/>
          <w:i/>
          <w:iCs/>
          <w:sz w:val="24"/>
          <w:szCs w:val="24"/>
        </w:rPr>
        <w:t xml:space="preserve">义务教育教科书：道德与法治 九年级 下册</w:t>
      </w:r>
      <w:r>
        <w:rPr>
          <w:rFonts w:ascii="Times New Roman" w:cs="Times New Roman" w:eastAsia="Times New Roman" w:hAnsi="Times New Roman"/>
          <w:i w:val="false"/>
          <w:iCs w:val="false"/>
          <w:sz w:val="24"/>
          <w:szCs w:val="24"/>
        </w:rPr>
        <w:t xml:space="preserve"> [Zorunlu eğitim ders kitabı: Ahlak ve hukuk, 9. sınıf alt cilt] (朱小蔓, Genel Ed.; 1. bs., 2022 tarihli 5. basım). 人民教育出版社 [People’s Education Press].</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Jiaoyubu [教育部; Çin Halk Cumhuriyeti Eğitim Bakanlığı]. (2021). </w:t>
      </w:r>
      <w:r>
        <w:rPr>
          <w:rFonts w:ascii="Times New Roman" w:cs="Times New Roman" w:eastAsia="Times New Roman" w:hAnsi="Times New Roman"/>
          <w:i/>
          <w:iCs/>
          <w:sz w:val="24"/>
          <w:szCs w:val="24"/>
        </w:rPr>
        <w:t xml:space="preserve">义务教育教科书：道德与法治 九年级 上册</w:t>
      </w:r>
      <w:r>
        <w:rPr>
          <w:rFonts w:ascii="Times New Roman" w:cs="Times New Roman" w:eastAsia="Times New Roman" w:hAnsi="Times New Roman"/>
          <w:i w:val="false"/>
          <w:iCs w:val="false"/>
          <w:sz w:val="24"/>
          <w:szCs w:val="24"/>
        </w:rPr>
        <w:t xml:space="preserve"> [Zorunlu eğitim ders kitabı: Ahlak ve hukuk, 9. sınıf üst cilt] (朱小蔓, Genel Ed.; 2. bs.). 人民教育出版社 [People’s Education Press].</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Karacadagli, I. [伊波]. (2019). </w:t>
      </w:r>
      <w:r>
        <w:rPr>
          <w:rFonts w:ascii="Times New Roman" w:cs="Times New Roman" w:eastAsia="Times New Roman" w:hAnsi="Times New Roman"/>
          <w:i/>
          <w:iCs/>
          <w:sz w:val="24"/>
          <w:szCs w:val="24"/>
        </w:rPr>
        <w:t xml:space="preserve">中国回民与土耳其穆斯林的节日、习俗及礼仪文化比较</w:t>
      </w:r>
      <w:r>
        <w:rPr>
          <w:rFonts w:ascii="Times New Roman" w:cs="Times New Roman" w:eastAsia="Times New Roman" w:hAnsi="Times New Roman"/>
          <w:i w:val="false"/>
          <w:iCs w:val="false"/>
          <w:sz w:val="24"/>
          <w:szCs w:val="24"/>
        </w:rPr>
        <w:t xml:space="preserve"> [A comparative study on Chinese Hui Muslims and Turkish Muslims] [Yayımlanmamış yüksek lisans tezi]. 北京语言大学 [Beijing Language and Culture University].</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Kişi, E. (2021). </w:t>
      </w:r>
      <w:r>
        <w:rPr>
          <w:rFonts w:ascii="Times New Roman" w:cs="Times New Roman" w:eastAsia="Times New Roman" w:hAnsi="Times New Roman"/>
          <w:i/>
          <w:iCs/>
          <w:sz w:val="24"/>
          <w:szCs w:val="24"/>
        </w:rPr>
        <w:t xml:space="preserve">Çin milliyetçiliğinin sosyalizm ekseninde yükselişi</w:t>
      </w:r>
      <w:r>
        <w:rPr>
          <w:rFonts w:ascii="Times New Roman" w:cs="Times New Roman" w:eastAsia="Times New Roman" w:hAnsi="Times New Roman"/>
          <w:i w:val="false"/>
          <w:iCs w:val="false"/>
          <w:sz w:val="24"/>
          <w:szCs w:val="24"/>
        </w:rPr>
        <w:t xml:space="preserve"> [Yayımlanmamış doktora tezi]. Kırıkkale Üniversitesi. [VERİ TABANI / TEZ NO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Ma, Z. (2019). </w:t>
      </w:r>
      <w:r>
        <w:rPr>
          <w:rFonts w:ascii="Times New Roman" w:cs="Times New Roman" w:eastAsia="Times New Roman" w:hAnsi="Times New Roman"/>
          <w:i/>
          <w:iCs/>
          <w:sz w:val="24"/>
          <w:szCs w:val="24"/>
        </w:rPr>
        <w:t xml:space="preserve">Çin’de İslam’ı yeniden canlandırma çabaları (Ming ve Qing dönemleri 1368-1912)</w:t>
      </w:r>
      <w:r>
        <w:rPr>
          <w:rFonts w:ascii="Times New Roman" w:cs="Times New Roman" w:eastAsia="Times New Roman" w:hAnsi="Times New Roman"/>
          <w:i w:val="false"/>
          <w:iCs w:val="false"/>
          <w:sz w:val="24"/>
          <w:szCs w:val="24"/>
        </w:rPr>
        <w:t xml:space="preserve"> [Yayımlanmamış yüksek lisans tezi]. Necmettin Erbakan Üniversitesi. [VERİ TABANI / TEZ NO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Peters, M. A. (2017). The Chinese Dream: Xi Jinping thought on Socialism with Chinese characteristics for a new era [Editorial]. </w:t>
      </w:r>
      <w:r>
        <w:rPr>
          <w:rFonts w:ascii="Times New Roman" w:cs="Times New Roman" w:eastAsia="Times New Roman" w:hAnsi="Times New Roman"/>
          <w:i/>
          <w:iCs/>
          <w:sz w:val="24"/>
          <w:szCs w:val="24"/>
        </w:rPr>
        <w:t xml:space="preserve">Educational Philosophy and Theory, 49</w:t>
      </w:r>
      <w:r>
        <w:rPr>
          <w:rFonts w:ascii="Times New Roman" w:cs="Times New Roman" w:eastAsia="Times New Roman" w:hAnsi="Times New Roman"/>
          <w:i w:val="false"/>
          <w:iCs w:val="false"/>
          <w:sz w:val="24"/>
          <w:szCs w:val="24"/>
        </w:rPr>
        <w:t xml:space="preserve">(14), 1299–1304. https://doi.org/10.1080/00131857.2017.1407578</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Şevik, A. E. (2022). </w:t>
      </w:r>
      <w:r>
        <w:rPr>
          <w:rFonts w:ascii="Times New Roman" w:cs="Times New Roman" w:eastAsia="Times New Roman" w:hAnsi="Times New Roman"/>
          <w:i/>
          <w:iCs/>
          <w:sz w:val="24"/>
          <w:szCs w:val="24"/>
        </w:rPr>
        <w:t xml:space="preserve">Çin toplumu ve Konfüçyüsün ruhu: Devlet ve toplum etkileşiminin psikoantropolojik ve tarihsel kökenleri üzerine bir inceleme</w:t>
      </w:r>
      <w:r>
        <w:rPr>
          <w:rFonts w:ascii="Times New Roman" w:cs="Times New Roman" w:eastAsia="Times New Roman" w:hAnsi="Times New Roman"/>
          <w:i w:val="false"/>
          <w:iCs w:val="false"/>
          <w:sz w:val="24"/>
          <w:szCs w:val="24"/>
        </w:rPr>
        <w:t xml:space="preserve"> [Yayımlanmamış yüksek lisans tezi]. Kapadokya Üniversitesi. [VERİ TABANI / TEZ NO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Tanrısevdi, F., &amp; Kıral, B. ([YIL GÖRÜLEMEDİ; BELGEDE YALNIZCA GÖNDERİM 11 ARALIK 2018 VE KABUL 27 ARALIK 2018 TARİHLERİ GÖRÜLÜYOR]). Çin ve Türk eğitim sistemlerinin karşılaştırılması. </w:t>
      </w:r>
      <w:r>
        <w:rPr>
          <w:rFonts w:ascii="Times New Roman" w:cs="Times New Roman" w:eastAsia="Times New Roman" w:hAnsi="Times New Roman"/>
          <w:i/>
          <w:iCs/>
          <w:sz w:val="24"/>
          <w:szCs w:val="24"/>
        </w:rPr>
        <w:t xml:space="preserve">Çağdaş Yönetim Bilimleri Dergisi, 5</w:t>
      </w:r>
      <w:r>
        <w:rPr>
          <w:rFonts w:ascii="Times New Roman" w:cs="Times New Roman" w:eastAsia="Times New Roman" w:hAnsi="Times New Roman"/>
          <w:i w:val="false"/>
          <w:iCs w:val="false"/>
          <w:sz w:val="24"/>
          <w:szCs w:val="24"/>
        </w:rPr>
        <w:t xml:space="preserve">(3), 223–240. [DOI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Terzi, Z. N. (2024). </w:t>
      </w:r>
      <w:r>
        <w:rPr>
          <w:rFonts w:ascii="Times New Roman" w:cs="Times New Roman" w:eastAsia="Times New Roman" w:hAnsi="Times New Roman"/>
          <w:i/>
          <w:iCs/>
          <w:sz w:val="24"/>
          <w:szCs w:val="24"/>
        </w:rPr>
        <w:t xml:space="preserve">A comparison of Ottoman and Chinese students sent abroad for modern education</w:t>
      </w:r>
      <w:r>
        <w:rPr>
          <w:rFonts w:ascii="Times New Roman" w:cs="Times New Roman" w:eastAsia="Times New Roman" w:hAnsi="Times New Roman"/>
          <w:i w:val="false"/>
          <w:iCs w:val="false"/>
          <w:sz w:val="24"/>
          <w:szCs w:val="24"/>
        </w:rPr>
        <w:t xml:space="preserve"> [Yayımlanmamış yüksek lisans tezi]. Ibn Haldun University. [VERİ TABANI GÖRÜLEMEDİ; BELGEDE “ULUSAL TEZ MERKEZİ REFERANS NO. 10676369” İBARESİ VAR]</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Tuncer, T. (2021). Doğu Türkistan’da Çin modeli eğitim sistemi. </w:t>
      </w:r>
      <w:r>
        <w:rPr>
          <w:rFonts w:ascii="Times New Roman" w:cs="Times New Roman" w:eastAsia="Times New Roman" w:hAnsi="Times New Roman"/>
          <w:i/>
          <w:iCs/>
          <w:sz w:val="24"/>
          <w:szCs w:val="24"/>
        </w:rPr>
        <w:t xml:space="preserve">Nevşehir Hacı Bektaş Veli Üniversitesi SBE Dergisi, 11</w:t>
      </w:r>
      <w:r>
        <w:rPr>
          <w:rFonts w:ascii="Times New Roman" w:cs="Times New Roman" w:eastAsia="Times New Roman" w:hAnsi="Times New Roman"/>
          <w:i w:val="false"/>
          <w:iCs w:val="false"/>
          <w:sz w:val="24"/>
          <w:szCs w:val="24"/>
        </w:rPr>
        <w:t xml:space="preserve">(4), 2262–2272 [BELGENİN ATIF SATIRINDA 2268–2278 YAZIYOR; SAYFA ALTLARINDAKİ NUMARALAR 2262–2272]. https://doi.org/10.30783/nevsosbilen.1028912</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Yeniacun, S. H. ([YIL GÖRÜLEMEDİ]). Yükselen güç Çin’in gençlik politikaları ve Çin gençliği üzerine bir değerlendirme. </w:t>
      </w:r>
      <w:r>
        <w:rPr>
          <w:rFonts w:ascii="Times New Roman" w:cs="Times New Roman" w:eastAsia="Times New Roman" w:hAnsi="Times New Roman"/>
          <w:i/>
          <w:iCs/>
          <w:sz w:val="24"/>
          <w:szCs w:val="24"/>
        </w:rPr>
        <w:t xml:space="preserve">Asya Araştırmaları Dergisi, 4</w:t>
      </w:r>
      <w:r>
        <w:rPr>
          <w:rFonts w:ascii="Times New Roman" w:cs="Times New Roman" w:eastAsia="Times New Roman" w:hAnsi="Times New Roman"/>
          <w:i w:val="false"/>
          <w:iCs w:val="false"/>
          <w:sz w:val="24"/>
          <w:szCs w:val="24"/>
        </w:rPr>
        <w:t xml:space="preserve">(2), 203–211. https://doi.org/10.34189/asyam.4.2.006</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Wang, C., &amp; Peters, M. A. (2023). Contemporary Chinese Marxism: Disciplines, teaching platforms and status quo of basic academic research. </w:t>
      </w:r>
      <w:r>
        <w:rPr>
          <w:rFonts w:ascii="Times New Roman" w:cs="Times New Roman" w:eastAsia="Times New Roman" w:hAnsi="Times New Roman"/>
          <w:i/>
          <w:iCs/>
          <w:sz w:val="24"/>
          <w:szCs w:val="24"/>
        </w:rPr>
        <w:t xml:space="preserve">Educational Philosophy and Theory, 55</w:t>
      </w:r>
      <w:r>
        <w:rPr>
          <w:rFonts w:ascii="Times New Roman" w:cs="Times New Roman" w:eastAsia="Times New Roman" w:hAnsi="Times New Roman"/>
          <w:i w:val="false"/>
          <w:iCs w:val="false"/>
          <w:sz w:val="24"/>
          <w:szCs w:val="24"/>
        </w:rPr>
        <w:t xml:space="preserve">(8), 877–887. https://doi.org/10.1080/00131857.2021.1929171</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Wang, C. (2023). Resurgence of Confucian education in contemporary China: Parental involvement, moral anxiety, and the pedagogy of memorisation. </w:t>
      </w:r>
      <w:r>
        <w:rPr>
          <w:rFonts w:ascii="Times New Roman" w:cs="Times New Roman" w:eastAsia="Times New Roman" w:hAnsi="Times New Roman"/>
          <w:i/>
          <w:iCs/>
          <w:sz w:val="24"/>
          <w:szCs w:val="24"/>
        </w:rPr>
        <w:t xml:space="preserve">Journal of Moral Education, 52</w:t>
      </w:r>
      <w:r>
        <w:rPr>
          <w:rFonts w:ascii="Times New Roman" w:cs="Times New Roman" w:eastAsia="Times New Roman" w:hAnsi="Times New Roman"/>
          <w:i w:val="false"/>
          <w:iCs w:val="false"/>
          <w:sz w:val="24"/>
          <w:szCs w:val="24"/>
        </w:rPr>
        <w:t xml:space="preserve">(3), 325–342. https://doi.org/10.1080/03057240.2022.2066639</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孙彩平 [Sun, C.]. (2019). 策略即理念 方法即内容——道德与法治课堂教学策略与方法的深度理解 [Strateji anlayıştır, yöntem içeriktir: Ahlak ve Hukuk dersinde öğretim strateji ve yöntemlerinin derinlemesine kavranışı]. </w:t>
      </w:r>
      <w:r>
        <w:rPr>
          <w:rFonts w:ascii="Times New Roman" w:cs="Times New Roman" w:eastAsia="Times New Roman" w:hAnsi="Times New Roman"/>
          <w:i/>
          <w:iCs/>
          <w:sz w:val="24"/>
          <w:szCs w:val="24"/>
        </w:rPr>
        <w:t xml:space="preserve">中国德育</w:t>
      </w:r>
      <w:r>
        <w:rPr>
          <w:rFonts w:ascii="Times New Roman" w:cs="Times New Roman" w:eastAsia="Times New Roman" w:hAnsi="Times New Roman"/>
          <w:i w:val="false"/>
          <w:iCs w:val="false"/>
          <w:sz w:val="24"/>
          <w:szCs w:val="24"/>
        </w:rPr>
        <w:t xml:space="preserve">, [CİLT GÖRÜLEMEDİ](03), [SAYFA ARALIĞI GÖRÜLEMEDİ].</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张娟凤 [Zhang, J.]. ([YIL GÖRÜLEMEDİ]). 初中道德与法治教学有效落实中华优秀传统文化教育的思考 [Ortaokul Ahlak ve Hukuk öğretiminde Çin’in üstün geleneksel kültürü eğitiminin etkili biçimde hayata geçirilmesi üzerine düşünceler]. </w:t>
      </w:r>
      <w:r>
        <w:rPr>
          <w:rFonts w:ascii="Times New Roman" w:cs="Times New Roman" w:eastAsia="Times New Roman" w:hAnsi="Times New Roman"/>
          <w:i/>
          <w:iCs/>
          <w:sz w:val="24"/>
          <w:szCs w:val="24"/>
        </w:rPr>
        <w:t xml:space="preserve">[DERGİ ADI GÖRÜLEMEDİ]</w:t>
      </w:r>
      <w:r>
        <w:rPr>
          <w:rFonts w:ascii="Times New Roman" w:cs="Times New Roman" w:eastAsia="Times New Roman" w:hAnsi="Times New Roman"/>
          <w:i w:val="false"/>
          <w:iCs w:val="false"/>
          <w:sz w:val="24"/>
          <w:szCs w:val="24"/>
        </w:rPr>
        <w:t xml:space="preserve">, [CİLT VE SAYI GÖRÜLEMEDİ], 217–219, 195.</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李晓东 [Li, X.], &amp; 李楠 [Li, N.]. (2022). 义务教育道德与法治课程的新要求及教学应对——以统编教材《道德与法治》（八年级上册）为例 [New requirements and teaching countermeasures of moral and legal course in compulsory education: Take the unified textbook Moral and Legal Course (Volume 1 of Grade 8) as an example]. </w:t>
      </w:r>
      <w:r>
        <w:rPr>
          <w:rFonts w:ascii="Times New Roman" w:cs="Times New Roman" w:eastAsia="Times New Roman" w:hAnsi="Times New Roman"/>
          <w:i/>
          <w:iCs/>
          <w:sz w:val="24"/>
          <w:szCs w:val="24"/>
        </w:rPr>
        <w:t xml:space="preserve">天津师范大学学报（基础教育版）, 23</w:t>
      </w:r>
      <w:r>
        <w:rPr>
          <w:rFonts w:ascii="Times New Roman" w:cs="Times New Roman" w:eastAsia="Times New Roman" w:hAnsi="Times New Roman"/>
          <w:i w:val="false"/>
          <w:iCs w:val="false"/>
          <w:sz w:val="24"/>
          <w:szCs w:val="24"/>
        </w:rPr>
        <w:t xml:space="preserve">(4), 7–13. https://doi.org/10.16826/j.cnki.1009-7228.2022.04.002</w:t>
      </w:r>
    </w:p>
    <w:p>
      <w:pPr>
        <w:spacing w:after="120" w:before="120" w:line="360"/>
        <w:ind w:left="720" w:hanging="720"/>
        <w:jc w:val="both"/>
      </w:pPr>
      <w:r>
        <w:rPr>
          <w:rFonts w:ascii="Times New Roman" w:cs="Times New Roman" w:eastAsia="Times New Roman" w:hAnsi="Times New Roman"/>
          <w:i w:val="false"/>
          <w:iCs w:val="false"/>
          <w:sz w:val="24"/>
          <w:szCs w:val="24"/>
        </w:rPr>
        <w:t xml:space="preserve">高德胜 [Gao, D.]. ([YIL GÖRÜLEMEDİ]). 论小学《道德与法治》教材的“叙事思维” [İlkokul Ahlak ve Hukuk ders kitaplarının “anlatı düşüncesi” üzerine]. </w:t>
      </w:r>
      <w:r>
        <w:rPr>
          <w:rFonts w:ascii="Times New Roman" w:cs="Times New Roman" w:eastAsia="Times New Roman" w:hAnsi="Times New Roman"/>
          <w:i/>
          <w:iCs/>
          <w:sz w:val="24"/>
          <w:szCs w:val="24"/>
        </w:rPr>
        <w:t xml:space="preserve">课程·教材·教法, 39</w:t>
      </w:r>
      <w:r>
        <w:rPr>
          <w:rFonts w:ascii="Times New Roman" w:cs="Times New Roman" w:eastAsia="Times New Roman" w:hAnsi="Times New Roman"/>
          <w:i w:val="false"/>
          <w:iCs w:val="false"/>
          <w:sz w:val="24"/>
          <w:szCs w:val="24"/>
        </w:rPr>
        <w:t xml:space="preserve">(6), [SAYFA ARALIĞI GÖRÜLEMEDİ].</w:t>
      </w:r>
    </w:p>
    <w:p>
      <w:r>
        <w:br w:type="page"/>
      </w:r>
    </w:p>
    <w:p>
      <w:pPr>
        <w:spacing w:after="120" w:before="360" w:line="360"/>
        <w:jc w:val="center"/>
      </w:pPr>
      <w:r>
        <w:rPr>
          <w:rFonts w:ascii="Times New Roman" w:cs="Times New Roman" w:eastAsia="Times New Roman" w:hAnsi="Times New Roman"/>
          <w:b/>
          <w:bCs/>
          <w:i w:val="false"/>
          <w:iCs w:val="false"/>
          <w:sz w:val="24"/>
          <w:szCs w:val="24"/>
        </w:rPr>
        <w:t xml:space="preserve">Moral and Legal Education in the Chinese Education System: A Content Analysis of Grade 9 Textbooks</w:t>
      </w:r>
    </w:p>
    <w:p>
      <w:pPr>
        <w:spacing w:after="120" w:before="240" w:line="360"/>
        <w:jc w:val="center"/>
      </w:pPr>
      <w:r>
        <w:rPr>
          <w:rFonts w:ascii="Times New Roman" w:cs="Times New Roman" w:eastAsia="Times New Roman" w:hAnsi="Times New Roman"/>
          <w:b/>
          <w:bCs/>
          <w:i w:val="false"/>
          <w:iCs w:val="false"/>
          <w:sz w:val="24"/>
          <w:szCs w:val="24"/>
        </w:rPr>
        <w:t xml:space="preserve">Extended Abstract</w:t>
      </w:r>
    </w:p>
    <w:p>
      <w:pPr>
        <w:spacing w:after="120" w:before="120" w:line="360"/>
        <w:jc w:val="left"/>
      </w:pPr>
      <w:r>
        <w:rPr>
          <w:rFonts w:ascii="Times New Roman" w:cs="Times New Roman" w:eastAsia="Times New Roman" w:hAnsi="Times New Roman"/>
          <w:b/>
          <w:bCs/>
          <w:i w:val="false"/>
          <w:iCs w:val="false"/>
          <w:sz w:val="24"/>
          <w:szCs w:val="24"/>
        </w:rPr>
        <w:t xml:space="preserve">Introduction</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A comparative study of the Turkish, Chinese and Russian systems identifies the stage of compulsory education as one of their most important differences and notes that in China the nine years of compulsory education comprise six years of primary and three years of lower secondary schooling (Aimaiti, 2023, p. 97). Grade 9 is therefore both the final year of compulsory education and the year in which pupils prepare for the senior secondary entrance examination. The subject now known as Morality and Rule of Law (道德与法治) is of recent origin: from 2016 the earlier textbooks for moral and ideological education were renamed under this single title [SAĞLANAN BELGELERDE KAYNAK BULUNAMADI: the Ministry of Education notice 教基二厅函〔2016〕12号], and it has been stressed that placing the fostering of virtue and the ideological guidance of the subject at the head of the five principles of the 2022 curriculum standard shows the importance attached to them (Li &amp; Li, 2022, p. 8). Turkish scholarship has described the legal and ideological framework of Chinese education, including the socialist and secular principles enshrined in the 1995 Education Law (Coşkun &amp; Çelikten, 2020, p. 3004), and has also identified Xi Jinping’s reference to Confucius at an international symposium as a factor in the revival of the Confucian model of education (Gökenç Gülez, 2023, p. 325). Nevertheless, the documents available to this study contain no analysis of the content of the textbook itself, based on the original Chinese text and undertaken from the perspectives of values education and religious education. For a religious educator, the central question is how an officially secular and ideologically Marxist curriculum grounds morality. The study addresses four questions: which values the textbook teaches and on what it grounds them; how law and citizenship are presented; within which ideological framework moral instruction is placed; and in what ways religion, belief and tradition appear.</w:t>
      </w:r>
    </w:p>
    <w:p>
      <w:pPr>
        <w:spacing w:after="0" w:before="40" w:line="276"/>
        <w:ind w:left="567"/>
        <w:jc w:val="both"/>
      </w:pPr>
      <w:r>
        <w:rPr>
          <w:rFonts w:ascii="Times New Roman" w:cs="Times New Roman" w:eastAsia="Times New Roman" w:hAnsi="Times New Roman"/>
          <w:i/>
          <w:iCs/>
          <w:color w:val="404040"/>
          <w:sz w:val="20"/>
          <w:szCs w:val="20"/>
        </w:rPr>
        <w:t xml:space="preserve">“Araştırma sırasında ülkelerin eğitim sistemlerinde farklılık gösteren en önemli yanlarında biri zorunlu eğitim aşamasıdır. Çin eğitim sisteminde zorunlu eğitim 9 yıl olup, 6 yıllık ilkokul 3 yıllık ortaokul süresini kapsamaktadır. Rusya’da ise 11 yıl olup, ilkokul süresi 4 yıl, ortaokul süresi ise 5 yıl olmaktadır. Türkiye’de ise zorunlu eğitim 4 yıl ilkokul, 4 yıl orta okul, 4 yıl lise olmak üzere 12 yıl süreyle gerçekleşmektedir.”</w:t>
      </w:r>
    </w:p>
    <w:p>
      <w:pPr>
        <w:spacing w:after="80" w:before="0" w:line="276"/>
        <w:ind w:left="567"/>
      </w:pPr>
      <w:r>
        <w:rPr>
          <w:rFonts w:ascii="Times New Roman" w:cs="Times New Roman" w:eastAsia="Times New Roman" w:hAnsi="Times New Roman"/>
          <w:color w:val="7F7F7F"/>
          <w:sz w:val="18"/>
          <w:szCs w:val="18"/>
        </w:rPr>
        <w:t xml:space="preserve">[Kontrol: KAYNAKÇA ESERLER/TEZ TÜRKİYE, ÇİN VE RUSYA EĞİTİM SİSTEMLERİNİN KARŞILAŞTIRMALI OLARAK İNCELENMESİ.pdf; PDF s. 112; basılı s. 97;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“就课程理念而言，“新课标”共明确了五条课程理念，而“以立德树人为根本任务，发挥课程的思想引领作用”作为第一条，其地位和重要性可见一斑。”</w:t>
      </w:r>
    </w:p>
    <w:p>
      <w:pPr>
        <w:spacing w:after="80" w:before="0" w:line="276"/>
        <w:ind w:left="567"/>
      </w:pPr>
      <w:r>
        <w:rPr>
          <w:rFonts w:ascii="Times New Roman" w:cs="Times New Roman" w:eastAsia="Times New Roman" w:hAnsi="Times New Roman"/>
          <w:color w:val="7F7F7F"/>
          <w:sz w:val="18"/>
          <w:szCs w:val="18"/>
        </w:rPr>
        <w:t xml:space="preserve">[Kontrol: ÇİNCE MAKALELER VE KİTAPLAR/20220606093330661619.pdf; PDF s. 3; basılı s. 8; birebir eşleşme: TAM]</w:t>
      </w:r>
      <w:r>
        <w:rPr>
          <w:rFonts w:ascii="Times New Roman" w:cs="Times New Roman" w:eastAsia="Times New Roman" w:hAnsi="Times New Roman"/>
          <w:color w:val="7F7F7F"/>
          <w:sz w:val="18"/>
          <w:szCs w:val="18"/>
        </w:rPr>
        <w:t xml:space="preserve">  Yardımcı Türkçe karşılık (yapay zekâ çevirisi; yazarca denetlenmeli): Ders anlayışı bakımından "yeni program" toplam beş ders ilkesi belirlemiştir; "ahlakla erdemi tesis edip insan yetiştirmeyi temel görev edinmek, dersin ideolojik yönlendirme işlevini ortaya çıkarmak" ilkesinin birinci sırada yer alması, onun konumunu ve önemini açıkça göstermektedir.</w:t>
      </w:r>
    </w:p>
    <w:p>
      <w:pPr>
        <w:spacing w:after="0" w:before="40" w:line="276"/>
        <w:ind w:left="567"/>
        <w:jc w:val="both"/>
      </w:pPr>
      <w:r>
        <w:rPr>
          <w:rFonts w:ascii="Times New Roman" w:cs="Times New Roman" w:eastAsia="Times New Roman" w:hAnsi="Times New Roman"/>
          <w:i/>
          <w:iCs/>
          <w:color w:val="404040"/>
          <w:sz w:val="20"/>
          <w:szCs w:val="20"/>
        </w:rPr>
        <w:t xml:space="preserve">“Sosyalizmin yanısıra eğitimde laiklik vurgulanmaktadır. Eğitim Kanunu (1995) 8. maddeye göre, devlet eğitimi dinden ayırır. Herhangi bir kurum ya da kişi dini, devletin eğitim sistemini engelleyecek biçimde kullanamaz.”</w:t>
      </w:r>
    </w:p>
    <w:p>
      <w:pPr>
        <w:spacing w:after="80" w:before="0" w:line="276"/>
        <w:ind w:left="567"/>
      </w:pPr>
      <w:r>
        <w:rPr>
          <w:rFonts w:ascii="Times New Roman" w:cs="Times New Roman" w:eastAsia="Times New Roman" w:hAnsi="Times New Roman"/>
          <w:color w:val="7F7F7F"/>
          <w:sz w:val="18"/>
          <w:szCs w:val="18"/>
        </w:rPr>
        <w:t xml:space="preserve">[Kontrol: KAYNAKÇA ESERLER/in Halk Cumhuriyeti Eğitim Sistemi.pdf; PDF s. 23; basılı s. 3004;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“Farklı alanlarda reformların yapıldığı 1978 yılından sonra, eğitimde sınav odaklı eğitim modelinden kalite odaklı (suzhi) eğitim modeline geçiş yapılması Konfuçyüsçü eğitim modelinin Çin eğitim sistemine olan bir yansımasıdır. Nitekim Suzhi eğitim modeli Konfuçyanizm eğitim düşüncesinin temelini oluşturan ahlak eğitimi ile yakından ilişkilidir. 21. yüzyılda Çin Devlet başkanı Xi Jinping’in katıldığı uluslararası bir sempozyumda Konfuçyüs’e atıfta bulunması modern dönem eğitim sisteminde Konfuçyüsçü eğitim modelinin yeniden canlanmasında bir etken olarak gösterilebilir.”</w:t>
      </w:r>
    </w:p>
    <w:p>
      <w:pPr>
        <w:spacing w:after="80" w:before="0" w:line="276"/>
        <w:ind w:left="567"/>
      </w:pPr>
      <w:r>
        <w:rPr>
          <w:rFonts w:ascii="Times New Roman" w:cs="Times New Roman" w:eastAsia="Times New Roman" w:hAnsi="Times New Roman"/>
          <w:color w:val="7F7F7F"/>
          <w:sz w:val="18"/>
          <w:szCs w:val="18"/>
        </w:rPr>
        <w:t xml:space="preserve">[Kontrol: KAYNAKÇA ESERLER/KONFUÇYÜSÇÜ EĞİTİMİN YENİDEN CANLANMASI.pdf; PDF s. 13; basılı s. 325; birebir eşleşme: TAM]</w:t>
      </w:r>
    </w:p>
    <w:p>
      <w:pPr>
        <w:spacing w:after="120" w:before="120" w:line="360"/>
        <w:jc w:val="left"/>
      </w:pPr>
      <w:r>
        <w:rPr>
          <w:rFonts w:ascii="Times New Roman" w:cs="Times New Roman" w:eastAsia="Times New Roman" w:hAnsi="Times New Roman"/>
          <w:b/>
          <w:bCs/>
          <w:i w:val="false"/>
          <w:iCs w:val="false"/>
          <w:sz w:val="24"/>
          <w:szCs w:val="24"/>
        </w:rPr>
        <w:t xml:space="preserve">Method</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The study adopts a qualitative design based on document analysis and content analysis. The data source consists of the two volumes of the Grade 9 Morality and Rule of Law textbook compiled under the organisation of the Ministry of Education and published as the unified edition (统编版) by People’s Education Press: the first-semester volume (second edition, June 2021) and the second-semester volume (first edition, December 2018; fifth printing, January 2022). The first volume contains four units and eight lessons, and the second contains three units and seven lessons. Both volumes were read in full in their original Chinese. The analysis was organised around four categories derived from the research questions: values, law and citizenship, ideological framework, and religion, belief and tradition. Key terms such as 宗教 (religion), 信仰 (belief), 儒家 (Confucian school), 传统美德 (traditional virtues), 神圣 (sacred), 灵魂 (soul) and 命运 (destiny) were searched across the whole text and every occurrence was read in context. Term frequencies counted in the body text serve only as supporting indicators. All translations from Chinese are the researcher’s own.</w:t>
      </w:r>
    </w:p>
    <w:p>
      <w:pPr>
        <w:spacing w:after="120" w:before="120" w:line="360"/>
        <w:jc w:val="left"/>
      </w:pPr>
      <w:r>
        <w:rPr>
          <w:rFonts w:ascii="Times New Roman" w:cs="Times New Roman" w:eastAsia="Times New Roman" w:hAnsi="Times New Roman"/>
          <w:b/>
          <w:bCs/>
          <w:i w:val="false"/>
          <w:iCs w:val="false"/>
          <w:sz w:val="24"/>
          <w:szCs w:val="24"/>
        </w:rPr>
        <w:t xml:space="preserve">Findings</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The textbook assigns only a short main text to the transmission of information and devotes most of its pages to activity and information frames. The most frequent frame, “Explore and Share”, appears 68 times in the first volume and 70 times in the second. The activities appear open-ended, since pupils debate, comment in forums and weigh opposing speech bubbles, but in the activities examined the questions are often steered towards the conclusion already stated in the main text. When pupils are asked why one should obey the law, for instance, the options offered rest on avoiding trouble, fear, rule-following and freedom, and no transcendent justification appears among them.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With regard to values, the first unit builds a historical narrative of five thousand years of civilisation, a century of suffering and national rejuvenation under the leadership of the Communist Party of China. The textbook states that “only socialism can save China” (Jiaoyubu, 2021, p. 5) and declares the core socialist values to be “the standard by which contemporary Chinese judge right and wrong” (Jiaoyubu, 2021, p. 71). It acknowledges that values such as kindness, integrity and honesty are common to humanity, yet, after stressing that values differ markedly across nations and eras, it presents China’s unique cultural tradition, historical destiny and national conditions as making adherence to Chinese values inevitable. Traditional virtues, including filial piety and respect for teachers, are described as the essence of Chinese culture and as a “cultural gene”. Patriotism is defined as the unity of loving the country, the Party and socialism (Jiaoyubu, 2021, p. 67).</w:t>
      </w:r>
    </w:p>
    <w:p>
      <w:pPr>
        <w:spacing w:after="0" w:before="40" w:line="276"/>
        <w:ind w:left="567"/>
        <w:jc w:val="both"/>
      </w:pPr>
      <w:r>
        <w:rPr>
          <w:rFonts w:ascii="Times New Roman" w:cs="Times New Roman" w:eastAsia="Times New Roman" w:hAnsi="Times New Roman"/>
          <w:i/>
          <w:iCs/>
          <w:color w:val="404040"/>
          <w:sz w:val="20"/>
          <w:szCs w:val="20"/>
        </w:rPr>
        <w:t xml:space="preserve">“只有社会主义才能救中国”</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10; basılı s. 5;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“社会主义核心价值观是当代中国人评判是非曲直的价值标准”</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76; basılı s. 71;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“当代中国，爱国主义的本质就是坚持爱国和爱党、爱社会主义高度统一”</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72; basılı s. 67;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The second unit is devoted to democracy and the rule of law. Here the source of law is placed explicitly within the human realm through an unattributed classical maxim: law “neither descends from heaven nor springs from the earth; it arises among people and accords with the human heart” (Jiaoyubu, 2021, p. 55). Law and morality are presented as mutually reinforcing, and the Confucian notion of rule by virtue (德治) is joined to the discourse of the rule of law. Citizens are expected to make democratic ideas and the spirit of the rule of law their “conscious belief”, and to become “faithful venerators” of the rule of law.</w:t>
      </w:r>
    </w:p>
    <w:p>
      <w:pPr>
        <w:spacing w:after="0" w:before="40" w:line="276"/>
        <w:ind w:left="567"/>
        <w:jc w:val="both"/>
      </w:pPr>
      <w:r>
        <w:rPr>
          <w:rFonts w:ascii="Times New Roman" w:cs="Times New Roman" w:eastAsia="Times New Roman" w:hAnsi="Times New Roman"/>
          <w:i/>
          <w:iCs/>
          <w:color w:val="404040"/>
          <w:sz w:val="20"/>
          <w:szCs w:val="20"/>
        </w:rPr>
        <w:t xml:space="preserve">“法，非从天下，非从地出，发于人间，合乎人心而已”</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60; basılı s. 55;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Ideological density is concentrated in the first volume. The Communist Party of China is named 31 times, Xi Jinping 18 times and the Chinese Dream 25 times. In the second volume the ideological vocabulary becomes diplomatic rather than doctrinal: “a community with a shared future for humanity” occurs nine times in the running text and also names a lesson, and China is presented as the country that champions the common values of all humankind.</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Religion is mentioned directly in only three places across the two volumes. It appears as an aspect of ethnic diversity within the principle of equality, as a security concern in the call to oppose terrorism carried out in the name of ethnicity and religion (Jiaoyubu, 2021, p. 98), and among the threats to peace as “religious conflicts”. The only belief tradition described in detail is the folk cult of Mazu, which is introduced, together with its temples, sacrifices and more than two hundred million adherents, as an important spiritual bond uniting Chinese at home and abroad, and pupils are asked what inspiration it offers for national reunification. Confucian sayings are quoted frequently, mostly without attribution, whereas the Analects, Mencius and the Book of Rites are named only a few times; their cosmological and ritual dimensions are left unexplained, and on the recommended reading list the Analects appear alongside the diary of the communist soldier Lei Feng. Religious vocabulary is redirected towards secular objects: culture is the “soul” of a nation, ethnic unity is a “sacred duty”, Taiwan is “sacred territory”, and the people’s “belief” gives the state its strength. In the final unit, the meaning of life is located in labour and service, the pupil’s destiny is tied to that of the nation, and the book closes with Liang Qichao’s words, which ascribe immortality to “young China” rather than to the individual.</w:t>
      </w:r>
    </w:p>
    <w:p>
      <w:pPr>
        <w:spacing w:after="0" w:before="40" w:line="276"/>
        <w:ind w:left="567"/>
        <w:jc w:val="both"/>
      </w:pPr>
      <w:r>
        <w:rPr>
          <w:rFonts w:ascii="Times New Roman" w:cs="Times New Roman" w:eastAsia="Times New Roman" w:hAnsi="Times New Roman"/>
          <w:i/>
          <w:iCs/>
          <w:color w:val="404040"/>
          <w:sz w:val="20"/>
          <w:szCs w:val="20"/>
        </w:rPr>
        <w:t xml:space="preserve">“尤其要坚决反对借民族和宗教之名搞暴力恐怖活动”</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KİTAPLARI_TARİH_DİN/9. sınıf_1. kitap_üst cilt_birinci dönem kitabı.pdf; PDF s. 103; basılı s. 98; birebir eşleşme: TAM]</w:t>
      </w:r>
    </w:p>
    <w:p>
      <w:pPr>
        <w:spacing w:after="120" w:before="120" w:line="360"/>
        <w:jc w:val="left"/>
      </w:pPr>
      <w:r>
        <w:rPr>
          <w:rFonts w:ascii="Times New Roman" w:cs="Times New Roman" w:eastAsia="Times New Roman" w:hAnsi="Times New Roman"/>
          <w:b/>
          <w:bCs/>
          <w:i w:val="false"/>
          <w:iCs w:val="false"/>
          <w:sz w:val="24"/>
          <w:szCs w:val="24"/>
        </w:rPr>
        <w:t xml:space="preserve">Discussion</w:t>
      </w:r>
    </w:p>
    <w:p>
      <w:pPr>
        <w:spacing w:after="120" w:before="120" w:line="360"/>
        <w:jc w:val="both"/>
      </w:pPr>
      <w:r>
        <w:rPr>
          <w:rFonts w:ascii="Times New Roman" w:cs="Times New Roman" w:eastAsia="Times New Roman" w:hAnsi="Times New Roman"/>
          <w:b w:val="false"/>
          <w:bCs w:val="false"/>
          <w:i w:val="false"/>
          <w:iCs w:val="false"/>
          <w:sz w:val="24"/>
          <w:szCs w:val="24"/>
        </w:rPr>
        <w:t xml:space="preserve">The findings show that the textbook grounds morality in a wholly immanent foundation made up of history, the nation, the Party, the constitution and a selectively inherited tradition. This accords with Turkish studies that describe the socialist and secular legal framework of Chinese education (Coşkun &amp; Çelikten, 2020, pp. 2987, 3004). The place of the Confucian heritage confirms the literature on its selective revival, in which Confucian teaching is reinterpreted so that its useful elements are emphasised and nothing conflicts with communist doctrine (Şevik, 2022, p. 64). The textbook, however, passes over the religious and cosmological dimensions of that tradition in silence.</w:t>
      </w:r>
    </w:p>
    <w:p>
      <w:pPr>
        <w:spacing w:after="0" w:before="40" w:line="276"/>
        <w:ind w:left="567"/>
        <w:jc w:val="both"/>
      </w:pPr>
      <w:r>
        <w:rPr>
          <w:rFonts w:ascii="Times New Roman" w:cs="Times New Roman" w:eastAsia="Times New Roman" w:hAnsi="Times New Roman"/>
          <w:i/>
          <w:iCs/>
          <w:color w:val="404040"/>
          <w:sz w:val="20"/>
          <w:szCs w:val="20"/>
        </w:rPr>
        <w:t xml:space="preserve">“Hem Çin Anayasa’sında hem de 1995 Eğitim Kanunu’nda yoğun bir biçimde sosyalist amaçlara hizmet etme vurgusu olduğu görülmektedir. Eğitimin sosyalist amaçlara hizmet etmesi gerektiği ile ilgili maddeler şunlardır: Sosyalist eğitimi geliştirmek için, devlet Marksizm-Leninizm, Mao Zedong Düşüncesi ve sosyalizmin Çin karakteriyle inşası teorilerini yol gösterici olarak korur ve Anayasa’nın temel ilkelerine uyar (madde 3).”</w:t>
      </w:r>
    </w:p>
    <w:p>
      <w:pPr>
        <w:spacing w:after="80" w:before="0" w:line="276"/>
        <w:ind w:left="567"/>
      </w:pPr>
      <w:r>
        <w:rPr>
          <w:rFonts w:ascii="Times New Roman" w:cs="Times New Roman" w:eastAsia="Times New Roman" w:hAnsi="Times New Roman"/>
          <w:color w:val="7F7F7F"/>
          <w:sz w:val="18"/>
          <w:szCs w:val="18"/>
        </w:rPr>
        <w:t xml:space="preserve">[Kontrol: KAYNAKÇA ESERLER/in Halk Cumhuriyeti Eğitim Sistemi.pdf; PDF s. 6; basılı s. 2987;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“Sosyalizmin yanısıra eğitimde laiklik vurgulanmaktadır. Eğitim Kanunu (1995) 8. maddeye göre, devlet eğitimi dinden ayırır. Herhangi bir kurum ya da kişi dini, devletin eğitim sistemini engelleyecek biçimde kullanamaz.”</w:t>
      </w:r>
    </w:p>
    <w:p>
      <w:pPr>
        <w:spacing w:after="80" w:before="0" w:line="276"/>
        <w:ind w:left="567"/>
      </w:pPr>
      <w:r>
        <w:rPr>
          <w:rFonts w:ascii="Times New Roman" w:cs="Times New Roman" w:eastAsia="Times New Roman" w:hAnsi="Times New Roman"/>
          <w:color w:val="7F7F7F"/>
          <w:sz w:val="18"/>
          <w:szCs w:val="18"/>
        </w:rPr>
        <w:t xml:space="preserve">[Kontrol: KAYNAKÇA ESERLER/in Halk Cumhuriyeti Eğitim Sistemi.pdf; PDF s. 23; basılı s. 3004;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“Mevcut haliyle Konfüçyüsçü öğreti uygulamada yarar sağlayacak ve kominist doktrinle çelişmeyecek kısımları vurgulanarak yeniden yorumlanarak halka sunulan bir öğreti halindedir ki bu durumun ne kadar sürdürülebileceği ya da toplumun kominist değerler ve konfüçyüsçü ahlak ilkeleri zemininde uzlaşmasının sağlanıp sağlanamayacağı ise ayrı bir tartışma konusu olarak belirsizliğini korumaktadır.”</w:t>
      </w:r>
    </w:p>
    <w:p>
      <w:pPr>
        <w:spacing w:after="80" w:before="0" w:line="276"/>
        <w:ind w:left="567"/>
      </w:pPr>
      <w:r>
        <w:rPr>
          <w:rFonts w:ascii="Times New Roman" w:cs="Times New Roman" w:eastAsia="Times New Roman" w:hAnsi="Times New Roman"/>
          <w:color w:val="7F7F7F"/>
          <w:sz w:val="18"/>
          <w:szCs w:val="18"/>
        </w:rPr>
        <w:t xml:space="preserve">[Kontrol: KAYNAKÇA ESERLER/Çin toplumu ve Konfüçyüsün ruhu.pdf; PDF s. 74; basılı s. 64;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From the perspective of religious education, the most striking feature is the transfer of religious patterns of language to secular objects. Belief, sacredness, soul and the “right path” are directed towards the legal order, national unity and socialism with Chinese characteristics. Read alongside the observation that socialism became a body of spiritual values for the Chinese people (Kişi, 2021, p. 87) and the remark by Peters (2017, p. 1303) on the transcendental force of “chosenness” in the Chinese Dream narrative, this pattern may be interpreted, cautiously, as a form of secular sacralisation or an implicit theology. The textbook makes no theological claim and never refers to God, revelation or the afterlife. Instead, it hands over certain social functions of religion, such as conferring sacredness, demanding devotion, offering exemplary figures and drawing a horizon of salvation, to the nation, the Party and the idea of national rejuvenation. The silence surrounding the religious identities of minorities should be read in the same light.</w:t>
      </w:r>
    </w:p>
    <w:p>
      <w:pPr>
        <w:spacing w:after="0" w:before="40" w:line="276"/>
        <w:ind w:left="567"/>
        <w:jc w:val="both"/>
      </w:pPr>
      <w:r>
        <w:rPr>
          <w:rFonts w:ascii="Times New Roman" w:cs="Times New Roman" w:eastAsia="Times New Roman" w:hAnsi="Times New Roman"/>
          <w:i/>
          <w:iCs/>
          <w:color w:val="404040"/>
          <w:sz w:val="20"/>
          <w:szCs w:val="20"/>
        </w:rPr>
        <w:t xml:space="preserve">“Her ne kadar başlangıç aşamasında sosyalist bilinç maddi boyutlar ile oluşturulmaya çalışılsa da ilerleyen dönemde Çin halkı için sosyalizm bir manevi değerler bütününe dönüşmüştür.”</w:t>
      </w:r>
    </w:p>
    <w:p>
      <w:pPr>
        <w:spacing w:after="80" w:before="0" w:line="276"/>
        <w:ind w:left="567"/>
      </w:pPr>
      <w:r>
        <w:rPr>
          <w:rFonts w:ascii="Times New Roman" w:cs="Times New Roman" w:eastAsia="Times New Roman" w:hAnsi="Times New Roman"/>
          <w:color w:val="7F7F7F"/>
          <w:sz w:val="18"/>
          <w:szCs w:val="18"/>
        </w:rPr>
        <w:t xml:space="preserve">[Kontrol: KAYNAKÇA ESERLER/DOKTORA_Çin milliyetçiliğinin sosyalizm ekseninde yükselişi.pdf; PDF s. 98; basılı s. 87; birebir eşleşme: TAM]</w:t>
      </w:r>
    </w:p>
    <w:p>
      <w:pPr>
        <w:spacing w:after="0" w:before="40" w:line="276"/>
        <w:ind w:left="567"/>
        <w:jc w:val="both"/>
      </w:pPr>
      <w:r>
        <w:rPr>
          <w:rFonts w:ascii="Times New Roman" w:cs="Times New Roman" w:eastAsia="Times New Roman" w:hAnsi="Times New Roman"/>
          <w:i/>
          <w:iCs/>
          <w:color w:val="404040"/>
          <w:sz w:val="20"/>
          <w:szCs w:val="20"/>
        </w:rPr>
        <w:t xml:space="preserve">“Like Rorty, and the construction of the American Dream, the accent is on the transcendental force of ‘chosenness’ that elevates the dream to talk in the name of humanity itself. The difference between Xi and Rorty is that where Xi turns to the historical trace of humiliation as a spur to future nation building, Rorty returns to a narrative strategy of ‘national pride’, democracy and pragmatic self-improvement. Both enjoy the resources of ‘rejuvenation’ of past glories.”</w:t>
      </w:r>
    </w:p>
    <w:p>
      <w:pPr>
        <w:spacing w:after="80" w:before="0" w:line="276"/>
        <w:ind w:left="567"/>
      </w:pPr>
      <w:r>
        <w:rPr>
          <w:rFonts w:ascii="Times New Roman" w:cs="Times New Roman" w:eastAsia="Times New Roman" w:hAnsi="Times New Roman"/>
          <w:color w:val="7F7F7F"/>
          <w:sz w:val="18"/>
          <w:szCs w:val="18"/>
        </w:rPr>
        <w:t xml:space="preserve">[Kontrol: DED_ÇİN VE YUNAN DERS KİTAPLARI_TARİH_DİN/The Chinese Dream  Xi Jinping thought on Socialism with.pdf; PDF s. 6; basılı s. 1303; birebir eşleşme: TAM]</w:t>
      </w:r>
      <w:r>
        <w:rPr>
          <w:rFonts w:ascii="Times New Roman" w:cs="Times New Roman" w:eastAsia="Times New Roman" w:hAnsi="Times New Roman"/>
          <w:color w:val="7F7F7F"/>
          <w:sz w:val="18"/>
          <w:szCs w:val="18"/>
        </w:rPr>
        <w:t xml:space="preserve">  Yardımcı Türkçe karşılık (yapay zekâ çevirisi; yazarca denetlenmeli): Rorty’de ve Amerikan Rüyası’nın inşasında olduğu gibi vurgu, rüyayı bizzat insanlık adına konuşma düzeyine yükselten ‘seçilmişlik’in aşkın gücü üzerindedir. Xi ile Rorty arasındaki fark şudur: Xi, aşağılanmanın tarihsel izini gelecekteki ulus inşası için bir dürtü olarak kullanırken, Rorty ‘ulusal gurur’, demokrasi ve pragmatik kendini geliştirme şeklindeki bir anlatı stratejisine döner. Her ikisi de geçmiş ihtişamın ‘yeniden canlandırılması’ kaynaklarından yararlanır.</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A comparison with Türkiye shows that the principal difference lies in the foundation of morality. Whereas religion and ethics are taught in Türkiye through Religious Culture and Ethics from Grade 4 onwards [SAĞLANAN BELGELERDE KAYNAK BULUNAMADI: MEB weekly timetable], the Chinese textbook grounds the same virtues, such as filial piety, respect for elders, mutual aid and honesty, in national tradition and socialist values. Both systems nonetheless share the transmission of values through classical maxims, exemplary figures, and the presentation of national unity and patriotism as moral duties. Any comparison, however, must avoid the error of copying another country’s education system (Tanrısevdi &amp; Kıral, [YIL GÖRÜLEMEDİ], p. 238).</w:t>
      </w:r>
    </w:p>
    <w:p>
      <w:pPr>
        <w:spacing w:after="0" w:before="40" w:line="276"/>
        <w:ind w:left="567"/>
        <w:jc w:val="both"/>
      </w:pPr>
      <w:r>
        <w:rPr>
          <w:rFonts w:ascii="Times New Roman" w:cs="Times New Roman" w:eastAsia="Times New Roman" w:hAnsi="Times New Roman"/>
          <w:i/>
          <w:iCs/>
          <w:color w:val="404040"/>
          <w:sz w:val="20"/>
          <w:szCs w:val="20"/>
        </w:rPr>
        <w:t xml:space="preserve">“Bu çıkarımlar ve önerilerin bir başka ülkenin eğitim sistemini kopyalamaya odaklanması ise oldukça hatalı bir girişimdir ve Türk eğitim tarihinde kopyalama şeklinde hatalı değişim girişimleri bulunmaktadır. Her ülkenin coğrafi yapısı, kültürel özellikleri, demografik özellikleri, yetişmiş insan gücü ihtiyacı ve niteliği birbirinden farklıdır. Bu farklılıklar dikkate alınmadan yapılacak eğitim sistemi karşılaştırmaları, araştırmacıyı sağlıklı tespit ve öneriler geliştirmekten alıkoymaktadır.”</w:t>
      </w:r>
    </w:p>
    <w:p>
      <w:pPr>
        <w:spacing w:after="80" w:before="0" w:line="276"/>
        <w:ind w:left="567"/>
      </w:pPr>
      <w:r>
        <w:rPr>
          <w:rFonts w:ascii="Times New Roman" w:cs="Times New Roman" w:eastAsia="Times New Roman" w:hAnsi="Times New Roman"/>
          <w:color w:val="7F7F7F"/>
          <w:sz w:val="18"/>
          <w:szCs w:val="18"/>
        </w:rPr>
        <w:t xml:space="preserve">[Kontrol: KAYNAKÇA ESERLER/Çin ve Türk Eğitim Sisteminin Karşılaştırılması.pdf; PDF s. 16; basılı s. 238; birebir eşleşme: TAM]</w:t>
      </w:r>
    </w:p>
    <w:p>
      <w:pPr>
        <w:spacing w:after="120" w:before="120" w:line="360"/>
        <w:ind w:firstLine="284"/>
        <w:jc w:val="both"/>
      </w:pPr>
      <w:r>
        <w:rPr>
          <w:rFonts w:ascii="Times New Roman" w:cs="Times New Roman" w:eastAsia="Times New Roman" w:hAnsi="Times New Roman"/>
          <w:b w:val="false"/>
          <w:bCs w:val="false"/>
          <w:i w:val="false"/>
          <w:iCs w:val="false"/>
          <w:sz w:val="24"/>
          <w:szCs w:val="24"/>
        </w:rPr>
        <w:t xml:space="preserve">The study recommends extending the analysis to the Grade 7 and 8 textbooks of the series, investigating through fieldwork how teachers and pupils engage with this moral language, carrying out a comparative content analysis of the Turkish and Chinese textbooks on the same values, and examining the relationship between the out-of-school religious education of China’s religious minorities and official moral education.</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Times New Roman" w:cs="Times New Roman" w:eastAsia="Times New Roman" w:hAnsi="Times New Roman"/>
          <w:sz w:val="20"/>
          <w:szCs w:val="20"/>
        </w:rPr>
        <w:t xml:space="preserve">[GEREKİRSE YAZAR TARAFINDAN DOLDURULACAK: çalışmanın üretildiği tez, proje veya bildiri bilgisi. Dergi, yazar adlarının makale dosyasında yer almamasını istemektedir.]</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2026-10-29T10:44:46.819Z</dcterms:created>
  <dcterms:modified xsi:type="dcterms:W3CDTF">2026-10-29T10:44:46.820Z</dcterms:modified>
</cp:coreProperties>
</file>

<file path=docProps/custom.xml><?xml version="1.0" encoding="utf-8"?>
<Properties xmlns="http://schemas.openxmlformats.org/officeDocument/2006/custom-properties" xmlns:vt="http://schemas.openxmlformats.org/officeDocument/2006/docPropsVTypes"/>
</file>