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line="360"/>
        <w:jc w:val="center"/>
      </w:pPr>
      <w:r>
        <w:rPr>
          <w:rFonts w:ascii="Times New Roman" w:cs="Times New Roman" w:eastAsia="Times New Roman" w:hAnsi="Times New Roman"/>
          <w:b/>
          <w:bCs/>
          <w:i w:val="false"/>
          <w:iCs w:val="false"/>
          <w:sz w:val="24"/>
          <w:szCs w:val="24"/>
        </w:rPr>
        <w:t xml:space="preserve">Çin Eğitim Sisteminde Ahlak ve Hukuk Eğitimi: 9. Sınıf Ders Kitaplarının İçerik Analizi</w:t>
      </w:r>
      <w:r>
        <w:rPr>
          <w:rStyle w:val="FootnoteReference"/>
        </w:rPr>
        <w:footnoteReference w:id="1"/>
      </w:r>
    </w:p>
    <w:p>
      <w:pPr>
        <w:spacing w:after="120" w:before="120" w:line="360"/>
      </w:pPr>
      <w:r>
        <w:rPr>
          <w:rFonts w:ascii="Times New Roman" w:cs="Times New Roman" w:eastAsia="Times New Roman" w:hAnsi="Times New Roman"/>
          <w:b/>
          <w:bCs/>
          <w:i w:val="false"/>
          <w:iCs w:val="false"/>
          <w:sz w:val="20"/>
          <w:szCs w:val="20"/>
        </w:rPr>
        <w:t xml:space="preserve">Öz:</w:t>
      </w:r>
    </w:p>
    <w:p>
      <w:pPr>
        <w:spacing w:after="120" w:before="120" w:line="360"/>
        <w:jc w:val="both"/>
      </w:pPr>
      <w:r>
        <w:rPr>
          <w:rFonts w:ascii="Times New Roman" w:cs="Times New Roman" w:eastAsia="Times New Roman" w:hAnsi="Times New Roman"/>
          <w:b w:val="false"/>
          <w:bCs w:val="false"/>
          <w:i w:val="false"/>
          <w:iCs w:val="false"/>
          <w:sz w:val="20"/>
          <w:szCs w:val="20"/>
        </w:rPr>
        <w:t xml:space="preserve">Bu araştırmanın amacı, Çin Halk Cumhuriyeti’nde zorunlu eğitimin son yılında okutulan 9. sınıf Ahlak ve Hukuk (道德与法治) ders kitabının iki cildini değerler eğitimi ve din eğitimi bakış açısıyla incelemektir. Nitel araştırma yaklaşımıyla doküman incelemesine dayanan çalışmada kitabın özgün Çince metni değerler, hukuk ve yurttaşlık, ideolojik çerçeve ile din, inanç ve gelenek kategorileri etrafında içerik analizine tabi tutulmuştur. Bulgular, kitabın ahlakı tarih, millet, Çin Komünist Partisi, anayasa ve seçilerek devralınmış gelenek üzerine kurduğunu ve aşkın bir dayanağa başvurmadığını göstermektedir. Sosyalist çekirdek değerler doğruyu ve yanlışı değerlendirme ölçütü olarak sunulmakta, vatanseverlik Parti ve sosyalizm sevgisiyle özdeşleştirilmektedir. Din kitapta yalnızca üç yerde doğrudan anılmakta; eşitlik, güvenlik ve dinî çatışma bağlamlarında yer almaktadır. Bir halk inancı olan Mazu kültürü ise millî birliğe hizmet eden bir mânevî bağ olarak tanıtılmaktadır. Konfüçyüsçü özdeyişler çoğu zaman kaynağı belirtilmeden ahlaki ve siyasi vecizeler olarak sıkça kullanılmakta, fakat kozmolojik ve ritüel boyutlarından arındırılmaktadır. İnanç, kutsallık, ruh ve kader gibi dinî kavramlar ise hukuk düzenine, millî birliğe ve Çin’e özgü sosyalizme yöneltilmektedir. Son ünitede hayatın anlamı emek ve hizmetle tanımlanmakta, bireyin kaderi milletin kaderine bağlanmaktadır. Çalışma bu örüntünün din eğitimi bakımından bir seküler kutsallaştırma biçimi olarak okunabileceğini tartışmakta, Türkiye ile kısa bir karşılaştırma sunmakta ve ileri araştırmalar için öneriler getirmektedir.</w:t>
      </w:r>
    </w:p>
    <w:p>
      <w:pPr>
        <w:spacing w:after="120" w:before="120" w:line="360"/>
      </w:pPr>
      <w:r>
        <w:rPr>
          <w:rFonts w:ascii="Times New Roman" w:cs="Times New Roman" w:eastAsia="Times New Roman" w:hAnsi="Times New Roman"/>
          <w:b/>
          <w:bCs/>
          <w:sz w:val="20"/>
          <w:szCs w:val="20"/>
        </w:rPr>
        <w:t xml:space="preserve">Anahtar Kelimeler:</w:t>
      </w:r>
      <w:r>
        <w:rPr>
          <w:rFonts w:ascii="Times New Roman" w:cs="Times New Roman" w:eastAsia="Times New Roman" w:hAnsi="Times New Roman"/>
          <w:sz w:val="20"/>
          <w:szCs w:val="20"/>
        </w:rPr>
        <w:t xml:space="preserve"> Değerler eğitimi, din eğitimi, ahlak ve hukuk, ders kitabı, Çin</w:t>
      </w:r>
    </w:p>
    <w:p>
      <w:pPr>
        <w:spacing w:after="120" w:before="360" w:line="360"/>
        <w:jc w:val="center"/>
      </w:pPr>
      <w:r>
        <w:rPr>
          <w:rFonts w:ascii="Times New Roman" w:cs="Times New Roman" w:eastAsia="Times New Roman" w:hAnsi="Times New Roman"/>
          <w:b/>
          <w:bCs/>
          <w:i w:val="false"/>
          <w:iCs w:val="false"/>
          <w:sz w:val="24"/>
          <w:szCs w:val="24"/>
        </w:rPr>
        <w:t xml:space="preserve">Moral and Legal Education in the Chinese Education System: A Content Analysis of Grade 9 Textbooks</w:t>
      </w:r>
    </w:p>
    <w:p>
      <w:pPr>
        <w:spacing w:after="120" w:before="120" w:line="360"/>
      </w:pPr>
      <w:r>
        <w:rPr>
          <w:rFonts w:ascii="Times New Roman" w:cs="Times New Roman" w:eastAsia="Times New Roman" w:hAnsi="Times New Roman"/>
          <w:b/>
          <w:bCs/>
          <w:i w:val="false"/>
          <w:iCs w:val="false"/>
          <w:sz w:val="20"/>
          <w:szCs w:val="20"/>
        </w:rPr>
        <w:t xml:space="preserve">Abstract:</w:t>
      </w:r>
    </w:p>
    <w:p>
      <w:pPr>
        <w:spacing w:after="120" w:before="120" w:line="360"/>
        <w:jc w:val="both"/>
      </w:pPr>
      <w:r>
        <w:rPr>
          <w:rFonts w:ascii="Times New Roman" w:cs="Times New Roman" w:eastAsia="Times New Roman" w:hAnsi="Times New Roman"/>
          <w:b w:val="false"/>
          <w:bCs w:val="false"/>
          <w:i w:val="false"/>
          <w:iCs w:val="false"/>
          <w:sz w:val="20"/>
          <w:szCs w:val="20"/>
        </w:rPr>
        <w:t xml:space="preserve">This study examines the two volumes of the Grade 9 Morality and Rule of Law (Daode yu Fazhi) textbook, used in the final year of compulsory education in China, from the perspectives of values education and religious education. Using document analysis within a qualitative design, the original Chinese text was analysed under four categories: values, law and citizenship, ideological framework, and religion, belief and tradition. The textbook grounds morality in history, the nation, the Communist Party of China, the constitution and a selectively inherited tradition, without recourse to any transcendent foundation. The core socialist values are presented as the standard for judging right and wrong, and patriotism is equated with love for the Party and for socialism. Religion is mentioned directly only three times, in connection with equality, security and conflict, whereas the folk cult of Mazu appears as a spiritual bond serving national unity. Confucian sayings, often unattributed, supply moral and political maxims but are stripped of their cosmological and ritual dimensions. Notions such as belief, sacredness, soul and destiny are redirected towards the legal order, national unity and socialism. The study discusses this pattern as a form of secular sacralisation and offers a brief comparison with Türkiye.</w:t>
      </w:r>
    </w:p>
    <w:p>
      <w:pPr>
        <w:spacing w:after="120" w:before="120" w:line="360"/>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sz w:val="20"/>
          <w:szCs w:val="20"/>
        </w:rPr>
        <w:t xml:space="preserve"> Values education, religious education, morality and rule of law, textbook, China</w:t>
      </w:r>
    </w:p>
    <w:p>
      <w:pPr>
        <w:spacing w:after="120" w:before="240" w:line="360"/>
        <w:jc w:val="center"/>
      </w:pPr>
      <w:r>
        <w:rPr>
          <w:rFonts w:ascii="Times New Roman" w:cs="Times New Roman" w:eastAsia="Times New Roman" w:hAnsi="Times New Roman"/>
          <w:b/>
          <w:bCs/>
          <w:i w:val="false"/>
          <w:iCs w:val="false"/>
          <w:sz w:val="24"/>
          <w:szCs w:val="24"/>
        </w:rPr>
        <w:t xml:space="preserve">Giriş</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Türkiye, Çin ve Rusya eğitim sistemlerini karşılaştıran Aimaiti (2023, s. 97), bu sistemlerin birbirinden ayrıldığı en önemli yönlerden birinin zorunlu eğitim aşaması olduğunu tespit eder ve Çin’de dokuz yıllık zorunlu eğitimin altı yıllık ilkokul ile üç yıllık ortaokulu kapsadığını belirtir. Bu devrenin son halkası olan 9. sınıf, öğrencinin hem zorunlu eğitimden çıktığı hem de lise giriş imtihanına hazırlandığı bir eşiktir. Coşkun ve Çelikten’in (2020, s. 3005) lise giriş, lise bitirme ve günlerce süren üniversite giriş sınavlarından oluşan zincir nedeniyle Çin eğitim sistemini “tam bir sınav cehennemi” olarak nitelendirmesi ve dokuz yıllık temel eğitimden sonra lise giriş sınavının zorunlu olduğunu hatırlatması bu eşiğin ağırlığını gösterir.</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Bugün “Ahlak ve Hukuk” (道德与法治) adını taşıyan dersin tarihi yakındır. Eğitim Bakanlığı, ilkokul ve ortaokulun başlangıç sınıflarında okutulan “Ahlak ve Yaşam” (品德与生活) ile “Düşünce ve Ahlak” (思想品德) kitaplarının 2016’dan itibaren tek tip olarak “Ahlak ve Hukuk” adını almasını öngörmüş, bazı ciltleri ayrıca hukuk eğitimine tahsis etmiştir [SAĞLANAN BELGELERDE KAYNAK BULUNAMADI: Eğitim Bakanlığının 教育部办公厅关于2016年中小学教学用书有关事项的通知 (教基二厅函〔2016〕12号) belgesi; bu bilgi sağlanan belgelerden birinde bakanlık düzenlemesinin aktarımı olarak geçtiği için o esere atıf yapılmamıştır]. 2022’de yayımlanan öğretim programıyla dersin programı ile ders kitabının adları arasında birlik sağlanmıştır (Li &amp; Li, 2022, s. 7). Li ve Li (2022, s. 8), programın beş temel ilkesinden “erdemi tesis edip insan yetiştirmeyi temel görev edinmek ve dersin ideolojik yönlendirme işlevini ortaya çıkarmak” ilkesinin birinci sırada yer almasının bu ilkenin konumunu ve önemini açıkça gösterdiğini vurgular. Li ve Li’nin (2022, s. 9) tespitine göre devletçe birleştirilmiş (统编) ders kitapları, günümüzde zorunlu eğitim aşamasında ideolojik-siyasi ders işlevinin başlıca taşıyıcısıdır. Dolayısıyla bu kitaplar yalnızca bir ahlak öğretimi aracı değil, devletin genç nesle ne tür bir insan tasavvuru aktarmak istediğini gösteren resmî metinlerdir.</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Bu tasavvurun hukuki ve ideolojik çerçevesi Türkçe literatürde belli ölçüde ortaya konmuştur. Coşkun ve Çelikten (2020, s. 2987), Çin Anayasası ile 1995 tarihli Eğitim Kanunu’nda eğitimin sosyalist amaçlara hizmet etmesi gerektiğine dair yoğun bir vurgu bulunduğunu ve kanunun Marksizm-Leninizm, Mao Zedong Düşüncesi ve Çin’e özgü sosyalizmin inşası kuramlarını yol gösterici saydığını aktarır; aynı çalışmada eğitimde laikliğin de vurgulandığı, kanunun 8. maddesine göre devletin eğitimi dinden ayırdığı belirtilir (Coşkun &amp; Çelikten, 2020, s. 3004). Tanrısevdi ve Kıral ([YIL GÖRÜLEMEDİ], s. 225), Çin’in eğitim kanunlarında sayılan amaçlardan hareketle sistemin her yönüyle gelişmiş, iyi eğitimli ve kendi ideolojik düşünceleri doğrultusunda insan yetiştirmeyi amaçladığını belirtir. Devletin ideolojik normları eğitim sistemine yerleştirdiği, bu yerleştirmenin ilkokuldan doktora düzeyine kadar giderek azalarak da olsa sürdüğü (Yeniacun, [YIL GÖRÜLEMEDİ], s. 206) ve ortaokul ile lisedeki ahlak eğitimi ve sosyal bilgiler derslerinde Marksist teori ve felsefeye ilişkin içeriklerin öğretimin önemli bir parçası olduğu da kaydedilmektedir (Wang &amp; Peters, 2023, s. 878).</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Ne var ki resmî ideolojinin bu tek boyutlu tablosu, son yirmi yılda belirginleşen bir başka akımı gözden kaçırma tehlikesi taşır: geleneksel kültürün, bilhassa Konfüçyüsçü mirasın yeniden itibar kazanması. Gökenç Gülez (2023, s. 325), Xi Jinping’in katıldığı uluslararası bir sempozyumda Konfüçyüs’e atıfta bulunmasını, modern dönem eğitim sisteminde Konfüçyüsçü eğitim modelinin yeniden canlanmasında bir etken olarak gösterir. Wang (2023, s. 326) bu canlanmayı hem hükûmet güdümlü bir “yukarıdan aşağıya” olgu hem de tabandan yükselen bir hareket olarak okur. Şevik (2022, s. 54), Konfüçyüs doktrinini eşitlikçi Marksist-Leninist düşünceyle uzlaştırmaya yönelik bu “radikal uzlaşma girişimi”nin, Konfüçyüsçülüğün Çin Komünist Partisi hükûmetinin siyasi beklentilerini karşıladığı sürece mümkün olmaya devam edeceği kanaatindedir. Ametbek (2023, s. 92) ise Parti tüzüğünde hem geleneksel kültürün hem sosyalist kültürün geliştirilmesine yapılan vurguyu Çin Komünist Partisi’nin geçmişle bir şekilde barışma süreci olarak değerlendirir; ona göre Çin bir yandan beş bin yıllık tarihiyle barışmaya çalışırken öte yandan sosyalist kimliğini sürdürme çabası içindedir.</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Bu ikili yapı, bir din eğitimcisi için ayrı bir soru doğurur: Resmî olarak laik, ideolojik olarak Marksist bir müfredat, ahlakı hangi zemine istinat ettirir? Konfüçyüsçülüğün mahiyeti bu soruyu daha da derinleştirir. Kişi’ye (2021, s. 56) göre Konfüçyanizm özünde bir din değil, bir yaşam ve yönetim felsefesidir; Ma (2019, s. 82) ise Konfüçyanizmin ruhlar ve ahirete aldırmaksızın gerçek hayat üzerine yoğunlaştığını, ancak yalnızca yaşanılan dünyaya önem verdiği için halkın psikolojik ihtiyacını tek başına karşılayamadığını belirtir (Ma, 2019, s. 86). Dinin yerini başka bir kutsiyet kaynağının alıp alamayacağı sorusu da literatürde tartışılmaktadır; Kişi (2021, s. 18), milliyetçiliğin dine kıyasla vahiy kaynaklı değil daha dünyevi ve rasyonel olduğu hissini uyandırdığı için toplumlar nezdinde dinin yerini de alabildiğini kaydeder.</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Türkçe literatürdeki çalışmalar Çin eğitim sistemini çoğunlukla yapısal ve yönetsel boyutlarıyla ele almıştır. A. T. Aydın’ın (2024, s. 337) araştırma problemi, Çin eğitim sisteminin yönetsel yapılanmasının uluslararası sınav sonuçlarına nasıl yansıdığı ve Türk eğitim sistemi için hangi iyileştirme alanlarının bulunduğudur. Aimaiti (2023, s. 83), Türkiye literatüründe Çin eğitim sistemine dair kaynakların yetersiz olduğunu tespit eder; Coşkun ve Çelikten (2020, s. 3006) de yararlandıkları kaynakların İngilizce ya da Türkçe, genellikle uluslararası raporlar olduğunu belirterek özgün Çince kaynaklara ulaşılarak yapılacak çalışmaların ve eyalet düzeyindeki incelemelerin Çin eğitim sistemini daha iyi anlamaya katkı sağlayacağını ifade eder. Çin’deki alan yazını ise Ahlak ve Hukuk dersini daha çok öğretim yöntemi ve ders kitabı tasarımı bakımından tartışmaktadır; Sun (2019, s. [SAYFA GÖRÜLEMEDİ]), öğretim stratejilerinin araç niteliği taşımakla birlikte bununla sınırlı olmadığını, iyi bir öğretim stratejisinin ahlak eğitiminin anlayışını ve değer tutumunu da aktardığını ileri sürer; Gao ([YIL GÖRÜLEMEDİ], s. [SAYFA GÖRÜLEMEDİ]) ise yeni öğretim programı reformundan önceki ahlak ders kitaplarındaki gerekçelendirme-ispat yapısının ardında öğrenciyi ikna etmeye dayanan bir “eğitim tutumu” bulunduğunu söyler. Ders kitabının içeriğini değerler eğitimi ve din eğitimi bakış açısıyla, özgün Çince metin üzerinden inceleyen bir çalışmaya sağlanan belgelerde rastlanmamıştır.</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Bu çalışmanın amacı, Çin’de zorunlu eğitimin son yılında okutulan 9. sınıf Ahlak ve Hukuk ders kitabının iki cildini değerler eğitimi ve din eğitimi bakış açısıyla incelemektir. Bu amaç doğrultusunda şu sorulara cevap aranmıştır: (1) Kitap hangi değerleri öğretmekte ve bu değerleri neye dayandırmaktadır? (2) Hukuk ve yurttaşlık içeriği nasıl kurgulanmıştır? (3) Ahlak öğretimi hangi ideolojik çerçeve içinde sunulmaktadır? (4) Kitapta din, inanç ve geleneğe hangi biçimlerde yer verilmektedir?</w:t>
      </w:r>
    </w:p>
    <w:p>
      <w:pPr>
        <w:spacing w:after="120" w:before="240" w:line="360"/>
        <w:jc w:val="center"/>
      </w:pPr>
      <w:r>
        <w:rPr>
          <w:rFonts w:ascii="Times New Roman" w:cs="Times New Roman" w:eastAsia="Times New Roman" w:hAnsi="Times New Roman"/>
          <w:b/>
          <w:bCs/>
          <w:i w:val="false"/>
          <w:iCs w:val="false"/>
          <w:sz w:val="24"/>
          <w:szCs w:val="24"/>
        </w:rPr>
        <w:t xml:space="preserve">Yöntem</w:t>
      </w:r>
    </w:p>
    <w:p>
      <w:pPr>
        <w:spacing w:after="120" w:before="120" w:line="360"/>
        <w:jc w:val="left"/>
      </w:pPr>
      <w:r>
        <w:rPr>
          <w:rFonts w:ascii="Times New Roman" w:cs="Times New Roman" w:eastAsia="Times New Roman" w:hAnsi="Times New Roman"/>
          <w:b/>
          <w:bCs/>
          <w:i w:val="false"/>
          <w:iCs w:val="false"/>
          <w:sz w:val="24"/>
          <w:szCs w:val="24"/>
        </w:rPr>
        <w:t xml:space="preserve">Araştırmanın Deseni</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Araştırma, nitel araştırma yaklaşımı içinde doküman incelemesine dayanan bir içerik analizi olarak tasarlanmıştır. Desenin tanımı ve gerekçesi yöntem literatürüne dayandırılmalıdır [SAĞLANAN BELGELERDE KAYNAK BULUNAMADI: doküman incelemesi ve nitel içerik analizine ilişkin yöntem kaynağı yazar tarafından eklenmeli].</w:t>
      </w:r>
    </w:p>
    <w:p>
      <w:pPr>
        <w:spacing w:after="120" w:before="120" w:line="360"/>
        <w:jc w:val="left"/>
      </w:pPr>
      <w:r>
        <w:rPr>
          <w:rFonts w:ascii="Times New Roman" w:cs="Times New Roman" w:eastAsia="Times New Roman" w:hAnsi="Times New Roman"/>
          <w:b/>
          <w:bCs/>
          <w:i w:val="false"/>
          <w:iCs w:val="false"/>
          <w:sz w:val="24"/>
          <w:szCs w:val="24"/>
        </w:rPr>
        <w:t xml:space="preserve">Veri Kaynağı</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Araştırmanın veri kaynağını, Çin Halk Cumhuriyeti Eğitim Bakanlığının organizasyonuyla hazırlanan (教育部组织编写) ve “birleşik baskı” (统编版) ibaresini taşıyan 9. sınıf Ahlak ve Hukuk ders kitabının iki cildi oluşturmaktadır. Birinci dönemde okutulan üst cilt (上册), 2021 yılı Haziran ayında yapılan ikinci baskıdır; genel editörü 朱小蔓, cilt editörleri 高国希 ve 杨一鸣’dir. İkinci dönemde okutulan alt cilt (下册), 2018 yılı Aralık ayında yapılan birinci baskının 2022 yılı Ocak ayındaki beşinci basımıdır; cilt editörleri 高国希, 吴蓉 ve 秦书珩’dir. Her iki cildin sonsözünde (后记) ders kitabının yayın işini 人民教育出版社’nin (People’s Education Press) üstlendiği belirtilmektedir. Metin içinde üst cilde “Jiaoyubu (2021)”, alt cilde “Jiaoyubu (2018)” biçiminde atıf yapılmıştır. Alt cildin incelenen basımı 2020 ve 2021 yıllarına ait verileri ve salgın dönemine ilişkin içerikleri de barındırdığından, bu cilde yapılan atıflar 2022 tarihli beşinci basımın metnine ve sayfalarına dayanmaktadır. Üst cilt dört ünite ve sekiz dersten, alt cilt üç ünite ve yedi dersten oluşmaktadır (Tablo 1).</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3400"/>
        <w:gridCol w:w="1400"/>
      </w:tblGrid>
      <w:tr>
        <w:tc>
          <w:tcPr>
            <w:tcW w:type="dxa" w:w="8800"/>
            <w:gridSpan w:val="4"/>
            <w:tcBorders>
              <w:top w:val="single" w:color="000000" w:sz="4"/>
              <w:left w:val="none" w:color="FFFFFF" w:sz="0"/>
              <w:bottom w:val="single" w:color="000000" w:sz="4"/>
              <w:right w:val="none" w:color="FFFFFF" w:sz="0"/>
            </w:tcBorders>
          </w:tcPr>
          <w:p>
            <w:pPr>
              <w:spacing w:after="40" w:before="40" w:line="240"/>
            </w:pPr>
            <w:r>
              <w:rPr>
                <w:rFonts w:ascii="Times New Roman" w:cs="Times New Roman" w:eastAsia="Times New Roman" w:hAnsi="Times New Roman"/>
                <w:sz w:val="20"/>
                <w:szCs w:val="20"/>
              </w:rPr>
              <w:t xml:space="preserve">Tablo 1. 9. Sınıf Ahlak ve Hukuk Ders Kitabının Ünite ve Ders Yapısı</w:t>
            </w:r>
          </w:p>
        </w:tc>
      </w:tr>
      <w:tr>
        <w:trPr>
          <w:tblHeader/>
        </w:trPr>
        <w:tc>
          <w:tcPr>
            <w:tcW w:type="dxa" w:w="1300"/>
            <w:tcBorders>
              <w:top w:val="single" w:color="000000" w:sz="4"/>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bCs/>
                <w:sz w:val="20"/>
                <w:szCs w:val="20"/>
              </w:rPr>
              <w:t xml:space="preserve">Cilt</w:t>
            </w:r>
          </w:p>
        </w:tc>
        <w:tc>
          <w:tcPr>
            <w:tcW w:type="dxa" w:w="2700"/>
            <w:tcBorders>
              <w:top w:val="single" w:color="000000" w:sz="4"/>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bCs/>
                <w:sz w:val="20"/>
                <w:szCs w:val="20"/>
              </w:rPr>
              <w:t xml:space="preserve">Ünite</w:t>
            </w:r>
          </w:p>
        </w:tc>
        <w:tc>
          <w:tcPr>
            <w:tcW w:type="dxa" w:w="3400"/>
            <w:tcBorders>
              <w:top w:val="single" w:color="000000" w:sz="4"/>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bCs/>
                <w:sz w:val="20"/>
                <w:szCs w:val="20"/>
              </w:rPr>
              <w:t xml:space="preserve">Dersler</w:t>
            </w:r>
          </w:p>
        </w:tc>
        <w:tc>
          <w:tcPr>
            <w:tcW w:type="dxa" w:w="1400"/>
            <w:tcBorders>
              <w:top w:val="single" w:color="000000" w:sz="4"/>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bCs/>
                <w:sz w:val="20"/>
                <w:szCs w:val="20"/>
              </w:rPr>
              <w:t xml:space="preserve">Basılı Sayfa</w:t>
            </w:r>
          </w:p>
        </w:tc>
      </w:tr>
      <w:tr>
        <w:tc>
          <w:tcPr>
            <w:tcW w:type="dxa" w:w="13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Üst cilt (上册)</w:t>
            </w:r>
          </w:p>
        </w:tc>
        <w:tc>
          <w:tcPr>
            <w:tcW w:type="dxa" w:w="2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 富强与创新 (Refah ve Yenilik)</w:t>
            </w:r>
          </w:p>
        </w:tc>
        <w:tc>
          <w:tcPr>
            <w:tcW w:type="dxa" w:w="3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 踏上强国之路 (Güçlü Ülke Yoluna Çıkmak); 2. 创新驱动发展 (Yeniliğin Sürüklediği Kalkınma)</w:t>
            </w:r>
          </w:p>
        </w:tc>
        <w:tc>
          <w:tcPr>
            <w:tcW w:type="dxa" w:w="1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1–28</w:t>
            </w:r>
          </w:p>
        </w:tc>
      </w:tr>
      <w:tr>
        <w:tc>
          <w:tcPr>
            <w:tcW w:type="dxa" w:w="13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
            </w:r>
          </w:p>
        </w:tc>
        <w:tc>
          <w:tcPr>
            <w:tcW w:type="dxa" w:w="2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 民主与法治 (Demokrasi ve Hukuk Devleti)</w:t>
            </w:r>
          </w:p>
        </w:tc>
        <w:tc>
          <w:tcPr>
            <w:tcW w:type="dxa" w:w="3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3. 追求民主价值 (Demokratik Değerin Peşinde); 4. 建设法治中国 (Hukuk Devleti Çin’i İnşa Etmek)</w:t>
            </w:r>
          </w:p>
        </w:tc>
        <w:tc>
          <w:tcPr>
            <w:tcW w:type="dxa" w:w="1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29–56</w:t>
            </w:r>
          </w:p>
        </w:tc>
      </w:tr>
      <w:tr>
        <w:tc>
          <w:tcPr>
            <w:tcW w:type="dxa" w:w="13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
            </w:r>
          </w:p>
        </w:tc>
        <w:tc>
          <w:tcPr>
            <w:tcW w:type="dxa" w:w="2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3. 文明与家园 (Medeniyet ve Yurt)</w:t>
            </w:r>
          </w:p>
        </w:tc>
        <w:tc>
          <w:tcPr>
            <w:tcW w:type="dxa" w:w="3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5. 守望精神家园 (Mânevî Yurda Sahip Çıkmak); 6. 建设美丽中国 (Güzel Çin’i İnşa Etmek)</w:t>
            </w:r>
          </w:p>
        </w:tc>
        <w:tc>
          <w:tcPr>
            <w:tcW w:type="dxa" w:w="1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57–88</w:t>
            </w:r>
          </w:p>
        </w:tc>
      </w:tr>
      <w:tr>
        <w:tc>
          <w:tcPr>
            <w:tcW w:type="dxa" w:w="13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
            </w:r>
          </w:p>
        </w:tc>
        <w:tc>
          <w:tcPr>
            <w:tcW w:type="dxa" w:w="2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4. 和谐与梦想 (Uyum ve Rüya)</w:t>
            </w:r>
          </w:p>
        </w:tc>
        <w:tc>
          <w:tcPr>
            <w:tcW w:type="dxa" w:w="3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7. 中华一家亲 (Çin Milleti Tek Aile); 8. 中国人 中国梦 (Çinliler ve Çin Rüyası)</w:t>
            </w:r>
          </w:p>
        </w:tc>
        <w:tc>
          <w:tcPr>
            <w:tcW w:type="dxa" w:w="1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89–118</w:t>
            </w:r>
          </w:p>
        </w:tc>
      </w:tr>
      <w:tr>
        <w:tc>
          <w:tcPr>
            <w:tcW w:type="dxa" w:w="13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Alt cilt (下册)</w:t>
            </w:r>
          </w:p>
        </w:tc>
        <w:tc>
          <w:tcPr>
            <w:tcW w:type="dxa" w:w="2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 我们共同的世界 (Ortak Dünyamız)</w:t>
            </w:r>
          </w:p>
        </w:tc>
        <w:tc>
          <w:tcPr>
            <w:tcW w:type="dxa" w:w="3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 同住地球村 (Aynı Küresel Köyde); 2. 构建人类命运共同体 (İnsanlığın Kader Ortaklığını Kurmak)</w:t>
            </w:r>
          </w:p>
        </w:tc>
        <w:tc>
          <w:tcPr>
            <w:tcW w:type="dxa" w:w="1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1–26</w:t>
            </w:r>
          </w:p>
        </w:tc>
      </w:tr>
      <w:tr>
        <w:tc>
          <w:tcPr>
            <w:tcW w:type="dxa" w:w="13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
            </w:r>
          </w:p>
        </w:tc>
        <w:tc>
          <w:tcPr>
            <w:tcW w:type="dxa" w:w="27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 世界舞台上的中国 (Dünya Sahnesinde Çin)</w:t>
            </w:r>
          </w:p>
        </w:tc>
        <w:tc>
          <w:tcPr>
            <w:tcW w:type="dxa" w:w="3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3. 与世界紧相连 (Dünyayla Sıkı Bağ); 4. 与世界共发展 (Dünyayla Birlikte Kalkınmak)</w:t>
            </w:r>
          </w:p>
        </w:tc>
        <w:tc>
          <w:tcPr>
            <w:tcW w:type="dxa" w:w="1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27–52</w:t>
            </w:r>
          </w:p>
        </w:tc>
      </w:tr>
      <w:tr>
        <w:tc>
          <w:tcPr>
            <w:tcW w:type="dxa" w:w="1300"/>
            <w:tcBorders>
              <w:top w:val="none" w:color="FFFFFF" w:sz="0"/>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
            </w:r>
          </w:p>
        </w:tc>
        <w:tc>
          <w:tcPr>
            <w:tcW w:type="dxa" w:w="2700"/>
            <w:tcBorders>
              <w:top w:val="none" w:color="FFFFFF" w:sz="0"/>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3. 走向未来的少年 (Geleceğe Yürüyen Gençler)</w:t>
            </w:r>
          </w:p>
        </w:tc>
        <w:tc>
          <w:tcPr>
            <w:tcW w:type="dxa" w:w="3400"/>
            <w:tcBorders>
              <w:top w:val="none" w:color="FFFFFF" w:sz="0"/>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5. 少年的担当 (Gençlerin Sorumluluğu); 6. 我的毕业季 (Mezuniyet Dönemim); 7. 从这里出发 (Buradan Yola Çıkmak)</w:t>
            </w:r>
          </w:p>
        </w:tc>
        <w:tc>
          <w:tcPr>
            <w:tcW w:type="dxa" w:w="1400"/>
            <w:tcBorders>
              <w:top w:val="none" w:color="FFFFFF" w:sz="0"/>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53–91</w:t>
            </w:r>
          </w:p>
        </w:tc>
      </w:tr>
    </w:tbl>
    <w:p>
      <w:pPr>
        <w:spacing w:after="120" w:before="60" w:line="240"/>
      </w:pPr>
      <w:r>
        <w:rPr>
          <w:rFonts w:ascii="Times New Roman" w:cs="Times New Roman" w:eastAsia="Times New Roman" w:hAnsi="Times New Roman"/>
          <w:sz w:val="20"/>
          <w:szCs w:val="20"/>
        </w:rPr>
        <w:t xml:space="preserve">Not. Ünite ve ders adları ders kitaplarının içindekiler sayfalarından alınmıştır; Türkçe karşılıklar araştırmacıya aittir.</w:t>
      </w:r>
    </w:p>
    <w:p>
      <w:pPr>
        <w:spacing w:after="120" w:before="120" w:line="360"/>
        <w:jc w:val="left"/>
      </w:pPr>
      <w:r>
        <w:rPr>
          <w:rFonts w:ascii="Times New Roman" w:cs="Times New Roman" w:eastAsia="Times New Roman" w:hAnsi="Times New Roman"/>
          <w:b/>
          <w:bCs/>
          <w:i w:val="false"/>
          <w:iCs w:val="false"/>
          <w:sz w:val="24"/>
          <w:szCs w:val="24"/>
        </w:rPr>
        <w:t xml:space="preserve">Veri Toplama Süreci</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Ders kitaplarının PDF dosyalarının metni, sayfa sınırları korunarak çıkarılmış ve iki cildin tamamı baştan sona okunmuştur. Her iki ciltte de basılı sayfa numarasının PDF sayfa sırasından beş eksik olduğu, ünite açılış sayfaları dışında sayfa altlıklarından tek tek teyit edilmiştir. Atıflarda basılı sayfa numarası kullanılmış, basılı numarası bulunmayan ünite açılış sayfaları içindekiler sayfasındaki numarayla gösterilmiştir. Çince pasajların Türkçe karşılıkları araştırmacıya aittir; metinde doğrudan aktarılan her pasajın özgün Çince metni de verilmiştir.</w:t>
      </w:r>
    </w:p>
    <w:p>
      <w:pPr>
        <w:spacing w:after="120" w:before="120" w:line="360"/>
        <w:jc w:val="left"/>
      </w:pPr>
      <w:r>
        <w:rPr>
          <w:rFonts w:ascii="Times New Roman" w:cs="Times New Roman" w:eastAsia="Times New Roman" w:hAnsi="Times New Roman"/>
          <w:b/>
          <w:bCs/>
          <w:i w:val="false"/>
          <w:iCs w:val="false"/>
          <w:sz w:val="24"/>
          <w:szCs w:val="24"/>
        </w:rPr>
        <w:t xml:space="preserve">Verilerin Analizi</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Analiz, araştırma sorularından türetilen dört ana kategori etrafında belli bir usule göre yürütülmüştür: değerler, hukuk ve yurttaşlık, ideolojik çerçeve ile din, inanç ve gelenek. Her dersin özeti çıkarılmış; değer telkini, hukuki içerik, ideolojik göndermeler ve dinî-geleneksel atıflar sayfa numaralarıyla kodlanmıştır. Din ve gelenek kategorisinde 宗教 (din), 信仰 (inanç), 儒家 (Konfüçyüsçü okul), 孔子 (Konfüçyüs), 孟子 (Mencius), 传统美德 (geleneksel erdemler), 神圣 (kutsal), 灵魂 (ruh) ve 命运 (kader) gibi kavramlar bütün metinde ayrıca taranmış ve geçtikleri her yer bağlamı içinde okunmuştur. Seçilmiş kavramların gövde metnindeki geçiş sıklığı betikle sayılmış; sayımlarda sayfa altlıklarındaki ünite ve ders adları dışarıda bırakılmıştır. Sıklıklar yorumun yerine geçmemekte, nitel bulguları destekleyen yardımcı bir göstergede kalmaktadır. Kodlamanın geçerlik ve güvenirliğine ilişkin tedbirler: [YAZAR TARAFINDAN TAMAMLANACAK: kodlamayı kimin yaptığı, ikinci kodlayıcı ya da uzman görüşü bulunup bulunmadığı, uyuşum hesabı].</w:t>
      </w:r>
    </w:p>
    <w:p>
      <w:pPr>
        <w:spacing w:after="120" w:before="240" w:line="360"/>
        <w:jc w:val="center"/>
      </w:pPr>
      <w:r>
        <w:rPr>
          <w:rFonts w:ascii="Times New Roman" w:cs="Times New Roman" w:eastAsia="Times New Roman" w:hAnsi="Times New Roman"/>
          <w:b/>
          <w:bCs/>
          <w:i w:val="false"/>
          <w:iCs w:val="false"/>
          <w:sz w:val="24"/>
          <w:szCs w:val="24"/>
        </w:rPr>
        <w:t xml:space="preserve">Bulgular</w:t>
      </w:r>
    </w:p>
    <w:p>
      <w:pPr>
        <w:spacing w:after="120" w:before="120" w:line="360"/>
        <w:jc w:val="left"/>
      </w:pPr>
      <w:r>
        <w:rPr>
          <w:rFonts w:ascii="Times New Roman" w:cs="Times New Roman" w:eastAsia="Times New Roman" w:hAnsi="Times New Roman"/>
          <w:b/>
          <w:bCs/>
          <w:i w:val="false"/>
          <w:iCs w:val="false"/>
          <w:sz w:val="24"/>
          <w:szCs w:val="24"/>
        </w:rPr>
        <w:t xml:space="preserve">Kitabın Yapısı ve Pedagojik Kurgusu</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Ders kitabı bilgi aktarımını kısa bir ana metne bırakmakta, sayfaların büyük kısmını etkinlik ve bilgi çerçevelerine ayırmaktadır. Her alt başlık öğrencinin kendi tecrübesinden hareket eden bir “Deneyimini Kullan” etkinliğiyle açılmakta, “Genişletme Alanı” ile kapanmaktadır. Aradaki en yaygın çerçeve “Araştır ve Paylaş” etkinliğidir; bu çerçeve üst ciltte 68, alt ciltte 70 kez yer almaktadır (Tablo 2). Üst ciltte 48 kez görülen “İlgili Bağlantı” kutuları çoğunlukla yasa maddelerini, Parti belgelerini ve lider sözlerini aktarmaktadır; alt ciltte bu çerçevenin yalnızca 7 kez kullanılması, ikinci dönemin dış dünyaya ve öğrencinin geleceğine yönelen anlatısıyla uyumludur.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600"/>
        <w:gridCol w:w="1600"/>
      </w:tblGrid>
      <w:tr>
        <w:tc>
          <w:tcPr>
            <w:tcW w:type="dxa" w:w="8800"/>
            <w:gridSpan w:val="4"/>
            <w:tcBorders>
              <w:top w:val="single" w:color="000000" w:sz="4"/>
              <w:left w:val="none" w:color="FFFFFF" w:sz="0"/>
              <w:bottom w:val="single" w:color="000000" w:sz="4"/>
              <w:right w:val="none" w:color="FFFFFF" w:sz="0"/>
            </w:tcBorders>
          </w:tcPr>
          <w:p>
            <w:pPr>
              <w:spacing w:after="40" w:before="40" w:line="240"/>
            </w:pPr>
            <w:r>
              <w:rPr>
                <w:rFonts w:ascii="Times New Roman" w:cs="Times New Roman" w:eastAsia="Times New Roman" w:hAnsi="Times New Roman"/>
                <w:sz w:val="20"/>
                <w:szCs w:val="20"/>
              </w:rPr>
              <w:t xml:space="preserve">Tablo 2. Ders Kitabındaki Etkinlik ve Bilgi Çerçevelerinin Sayısı</w:t>
            </w:r>
          </w:p>
        </w:tc>
      </w:tr>
      <w:tr>
        <w:trPr>
          <w:tblHeader/>
        </w:trPr>
        <w:tc>
          <w:tcPr>
            <w:tcW w:type="dxa" w:w="2000"/>
            <w:tcBorders>
              <w:top w:val="single" w:color="000000" w:sz="4"/>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bCs/>
                <w:sz w:val="20"/>
                <w:szCs w:val="20"/>
              </w:rPr>
              <w:t xml:space="preserve">Çerçeve</w:t>
            </w:r>
          </w:p>
        </w:tc>
        <w:tc>
          <w:tcPr>
            <w:tcW w:type="dxa" w:w="3600"/>
            <w:tcBorders>
              <w:top w:val="single" w:color="000000" w:sz="4"/>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bCs/>
                <w:sz w:val="20"/>
                <w:szCs w:val="20"/>
              </w:rPr>
              <w:t xml:space="preserve">Türkçe Karşılığı</w:t>
            </w:r>
          </w:p>
        </w:tc>
        <w:tc>
          <w:tcPr>
            <w:tcW w:type="dxa" w:w="1600"/>
            <w:tcBorders>
              <w:top w:val="single" w:color="000000" w:sz="4"/>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bCs/>
                <w:sz w:val="20"/>
                <w:szCs w:val="20"/>
              </w:rPr>
              <w:t xml:space="preserve">Üst Cilt</w:t>
            </w:r>
          </w:p>
        </w:tc>
        <w:tc>
          <w:tcPr>
            <w:tcW w:type="dxa" w:w="1600"/>
            <w:tcBorders>
              <w:top w:val="single" w:color="000000" w:sz="4"/>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bCs/>
                <w:sz w:val="20"/>
                <w:szCs w:val="20"/>
              </w:rPr>
              <w:t xml:space="preserve">Alt Cilt</w:t>
            </w:r>
          </w:p>
        </w:tc>
      </w:tr>
      <w:tr>
        <w:tc>
          <w:tcPr>
            <w:tcW w:type="dxa" w:w="20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运用你的经验</w:t>
            </w:r>
          </w:p>
        </w:tc>
        <w:tc>
          <w:tcPr>
            <w:tcW w:type="dxa" w:w="3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Deneyimini Kullan</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16</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14</w:t>
            </w:r>
          </w:p>
        </w:tc>
      </w:tr>
      <w:tr>
        <w:tc>
          <w:tcPr>
            <w:tcW w:type="dxa" w:w="20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探究与分享</w:t>
            </w:r>
          </w:p>
        </w:tc>
        <w:tc>
          <w:tcPr>
            <w:tcW w:type="dxa" w:w="3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Araştır ve Paylaş</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68</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70</w:t>
            </w:r>
          </w:p>
        </w:tc>
      </w:tr>
      <w:tr>
        <w:tc>
          <w:tcPr>
            <w:tcW w:type="dxa" w:w="20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相关链接</w:t>
            </w:r>
          </w:p>
        </w:tc>
        <w:tc>
          <w:tcPr>
            <w:tcW w:type="dxa" w:w="3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İlgili Bağlantı</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48</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7</w:t>
            </w:r>
          </w:p>
        </w:tc>
      </w:tr>
      <w:tr>
        <w:tc>
          <w:tcPr>
            <w:tcW w:type="dxa" w:w="20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阅读感悟</w:t>
            </w:r>
          </w:p>
        </w:tc>
        <w:tc>
          <w:tcPr>
            <w:tcW w:type="dxa" w:w="3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Oku ve Düşün</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9</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10</w:t>
            </w:r>
          </w:p>
        </w:tc>
      </w:tr>
      <w:tr>
        <w:tc>
          <w:tcPr>
            <w:tcW w:type="dxa" w:w="20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方法与技能</w:t>
            </w:r>
          </w:p>
        </w:tc>
        <w:tc>
          <w:tcPr>
            <w:tcW w:type="dxa" w:w="3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Yöntem ve Beceri</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5</w:t>
            </w:r>
          </w:p>
        </w:tc>
      </w:tr>
      <w:tr>
        <w:tc>
          <w:tcPr>
            <w:tcW w:type="dxa" w:w="2000"/>
            <w:tcBorders>
              <w:top w:val="none" w:color="FFFFFF" w:sz="0"/>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拓展空间</w:t>
            </w:r>
          </w:p>
        </w:tc>
        <w:tc>
          <w:tcPr>
            <w:tcW w:type="dxa" w:w="3600"/>
            <w:tcBorders>
              <w:top w:val="none" w:color="FFFFFF" w:sz="0"/>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Genişletme Alanı</w:t>
            </w:r>
          </w:p>
        </w:tc>
        <w:tc>
          <w:tcPr>
            <w:tcW w:type="dxa" w:w="1600"/>
            <w:tcBorders>
              <w:top w:val="none" w:color="FFFFFF" w:sz="0"/>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16</w:t>
            </w:r>
          </w:p>
        </w:tc>
        <w:tc>
          <w:tcPr>
            <w:tcW w:type="dxa" w:w="1600"/>
            <w:tcBorders>
              <w:top w:val="none" w:color="FFFFFF" w:sz="0"/>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14</w:t>
            </w:r>
          </w:p>
        </w:tc>
      </w:tr>
    </w:tbl>
    <w:p>
      <w:pPr>
        <w:spacing w:after="120" w:before="60" w:line="240"/>
      </w:pPr>
      <w:r>
        <w:rPr>
          <w:rFonts w:ascii="Times New Roman" w:cs="Times New Roman" w:eastAsia="Times New Roman" w:hAnsi="Times New Roman"/>
          <w:sz w:val="20"/>
          <w:szCs w:val="20"/>
        </w:rPr>
        <w:t xml:space="preserve">Not. Sayılar, gövde metninde (üst cilt PDF s. 6–123, alt cilt PDF s. 6–96) çerçeve adının geçtiği yerlerin betikle sayılmasıyla elde edilmiştir.</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Etkinlikler görünüşte açık uçludur: Öğrencilerden münazara yapmaları, forumlara yorum yazmaları, birbiriyle çatışan görüş balonlarını değerlendirmeleri istenir. Bununla birlikte incelenen örneklerde sorular çoğu zaman ana metinde ulaşılmış hükme doğru yönlendirilmektedir; bunun bütün etkinliklerdeki oranı ayrıca kodlanarak hesaplanmamıştır. Yasaya neden uyulması gerektiği sorulduğunda dört görüş sıralanır; bunlardan biri “özgürlük ancak yasayla vardır, bilinçli olarak yasaya uymayı seçiyorum” şeklindedir (我守法，是因为有法律才有自由; Jiaoyubu, 2021, s. 54); öteki seçenekler zahmetten kaçınma, korku ve kurala uyma gerekçelerine dayanır, aşkın bir gerekçe ise seçenekler arasında yer almaz. Benzer biçimde, Çin’de söylenegelen “öne çıkan kuşu tüfek vurur”, “ormanda sivrilen ağacı rüzgâr mutlaka kırar” sözleri yenilik kıvılcımını söndüren bir “kültürel psikoloji” olarak tartışmaya açılır (Jiaoyubu, 2021, s. 28).</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Kitabın değer öğretiminde en sık başvurduğu araçlardan biri örnek şahsiyettir. Bilim insanları, sınır karakolundaki askerler, hayırseverler, devrim şehitleri ve “Çin’in iyi insanları” derslerin her yerinde karşımıza çıkar. Yenilik dersinde cerrah Wu Mengchao ile hocası Qiu Fazu’nun yenilikçiliğinin anlatıldığı bir etkinlikte, Uluslararası Küçük Gezegen Merkezinin 17606 numaralı küçük gezegene “kalıcı olarak” “Wu Mengchao Yıldızı” adını verdiği bilgisi bilimsel başarının uluslararası tanınmasının bir nişanesi olarak aktarılır (Jiaoyubu, 2021, s. 27). Alt ciltte ise Güney Sudan’da barış gücü görevi sırasında bir saldırıda yaralanıp kurtarılamayarak şehit düşen (牺牲) asker Yang Shupeng’in örneği, Çin’in barış gücü harekâtındaki sorumluluğu bağlamında verilir (Jiaoyubu, 2018, s. 29); fotoğraf altındaki yazıda kendisinden “şehit” (烈士) olarak söz edilir. Bu örneklerde ölüm ve fedakârlık bir ahiret inancına bağlanmadan millî ve insani bir ideal içinde anlamlandırılmaktadır.</w:t>
      </w:r>
    </w:p>
    <w:p>
      <w:pPr>
        <w:spacing w:after="120" w:before="120" w:line="360"/>
        <w:jc w:val="left"/>
      </w:pPr>
      <w:r>
        <w:rPr>
          <w:rFonts w:ascii="Times New Roman" w:cs="Times New Roman" w:eastAsia="Times New Roman" w:hAnsi="Times New Roman"/>
          <w:b/>
          <w:bCs/>
          <w:i w:val="false"/>
          <w:iCs w:val="false"/>
          <w:sz w:val="24"/>
          <w:szCs w:val="24"/>
        </w:rPr>
        <w:t xml:space="preserve">Değerler: Ahlakın Dayanağı ve Erdem Kataloğu</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Kitabın ilk ünitesi, ahlaki öznenin içinde konumlanacağı tarihî anlatıyı kurar. Çin’in beş bin yılı aşkın bir medeniyet tarihine sahip olduğu, yakın çağda ise Batılı güçlerin istilası ve feodal yönetimin çürümüşlüğü yüzünden daha önce görülmemiş acılar çektiği anlatılır (Jiaoyubu, 2021, s. 3). Bu acıdan çıkışın öznesi Çin Komünist Partisi’dir: Partinin önderliğinde Çin milleti “ayağa kalkmaktan zenginleşmeye ve güçlenmeye uzanan büyük sıçramayı” yaşamıştır (Jiaoyubu, 2021, s. 1). “Çin’i ancak sosyalizm kurtarabilir” hükmü (Jiaoyubu, 2021, s. 5) ve reform ile dışa açılmanın “çağdaş Çin’in kaderini belirleyen kilit hamle” sayılması (Jiaoyubu, 2021, s. 5), ahlakın kendisinden beslendiği zemini tarih, millet ve Parti üçlüsü olarak belirler. Bu üçlünün dışında, ahlakın vahiy, ilahî emir ya da Gök (天) iradesi gibi aşkın bir kaynağa dayandırıldığı bir pasaja üst ciltte rastlanmamıştır; “Gök durmaksızın hareket eder, erdemli kişi de durmaksızın kendini güçlendirir” gibi kozmolojik benzetmeler ise yalnızca alıntı listelerinde ve açıklanmadan yer alır (Jiaoyubu, 2021, s. 70).</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Değerlerin ölçütü açıkça tanımlanmıştır. Kitap, anayasanın devletin sosyalist çekirdek değerleri savunduğu hükmünü hatırlattıktan sonra “sosyalist çekirdek değerler, çağdaş Çinlilerin doğruyu ve yanlışı değerlendirme ölçütüdür” der (社会主义核心价值观是当代中国人评判是非曲直的价值标准; Jiaoyubu, 2021, s. 71). İyilik, doğruluk ve dürüstlük gibi değerlerin insanlığın temel ortaklığını taşıdığı kabul edilir (Jiaoyubu, 2021, s. 70); fakat ardından değerlerin milletlere ve çağlara göre belirgin biçimde farklılaştığı vurgulanır ve Çin’in özgün kültürel geleneği, özgün tarihî kaderi ve özgün ulusal şartlarının, Çin kültürünün verimli toprağında kök salmış ve çağdaş Çin’e özgü değerlere bağlı kalmayı “kaçınılmaz kıldığı” belirtilir (注定我们必然坚守植根于中华文化沃土又具有当代中国特色的价值观; Jiaoyubu, 2021, s. 70). Kitap aynı yerde sosyalist çekirdek değerlerin dünya medeniyetinin faydalı birikimini de özümsediğini ekler (Jiaoyubu, 2021, s. 70). Evrensel olan böylece kabul edilmekte, fakat felsefi bir temellendirme yerine millî ve tarihî farklılık gerekçesiyle millî bir zorunluluğa bağlanmaktadır.</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Erdem kataloğu ise geleneğin dilini taşır. Üçüncü ünitede Çin geleneksel erdemleri “Çin kültürünün özü” olarak tanımlanır (Jiaoyubu, 2021, s. 62); ülke ve halk için kaygılanan vatan sevgisi, çalışkanlık ve kendini durmaksızın güçlendirme, yardımlaşma, dürüstlük ve kanuna bağlılık ile birlikte “anne babaya hürmet ve öğretmene saygı” gibi ahlak kuralları sayılır (Jiaoyubu, 2021, s. 63). Bu erdemlerin, uzun tarihî birikim sonucunda milletin düşünme biçimine, değer anlayışına, davranış biçimine ve örf ve âdetine karışarak “bir kültür geni” hâline geldiği ifade edilir (Jiaoyubu, 2021, s. 64). “Gen” benzetmesi erdemi gerekçelendirilecek bir şey olmaktan çıkarıp Çinli olmanın tabii bir uzantısı gibi sunmaktadır; kitap bununla birlikte erdemin gücünün uygulamada olduğunu ve gençlerin onu bizzat yaşaması gerektiğini de vurgular (Jiaoyubu, 2021, s. 65).</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Vatanseverlik bu katalogda merkezî konumdadır ve siyasi bir sadakatle özdeşleştirilir: “Çağdaş Çin’de vatanseverliğin özü, vatanı sevmek ile Parti’yi ve sosyalizmi sevmenin yüksek bir birliğini korumaktır” (当代中国，爱国主义的本质就是坚持爱国和爱党、爱社会主义高度统一; Jiaoyubu, 2021, s. 67). Erdem böylece tek bir siyasal merkeze bağlanmakta, ahlaki öznenin bağlılığı Parti’ye uzanan bir zincire eklemlenmektedir. Mutluluk sorusu da aynı dünyevi çerçevede tartışılır: “Maddi hayat iyileşince insan mutlu olur mu?” konulu bir çevrimiçi forum etkinliğinde aktarılan internet kullanıcısı görüşlerinden biri, maddi zenginliğin mutluluğa yardım ettiğini, fakat hayatın amacıyla bir tutulamayacağını söyler (Jiaoyubu, 2021, s. 13); son ünitede ise ana metin “ancak mücadele eden bir hayatın mutlu bir hayat sayılabileceği” hükmüne ulaşır (Jiaoyubu, 2021, s. 114).</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Üst cildin ekoloji dersi, doğa ile insan arasındaki ilişkiyi de aynı içkin çerçevede ahlakileştirir. İnsanın doğayı işleyip kullanabileceği, fakat doğanın üstüne keyfince çıkamayacağı belirtilir ve “doğadan yalnızca alıp durursak mutlaka onun cezasına uğrarız” denir (如果我们对自然只是一味地索取，必然受到它的惩罚; Jiaoyubu, 2021, s. 82). Çevreyi korumak “yeniden doğuşa”, çevreyi tahrip etmek ise “kendi kendini yok etmeye” giden yol olarak tasvir edilir (Jiaoyubu, 2021, s. 79). Ceza, yeniden doğuş ve helak çağrışımları taşıyan bu dil, yaratıcı ya da kutsal bir referansa bağlanmaz; ölçüt doğa yasası ve medeniyetin bekasıdır: “Ekoloji gelişirse medeniyet gelişir, ekoloji gerilerse medeniyet geriler” (Jiaoyubu, 2021, s. 82). Tao Yuanming’in “Bunda hakiki bir mana var; anlatmak istedim, sözü unuttum” dizesiyle biten şiiri de, “hakiki mana”nın (真意) felsefi ya da Daoist içeriğine değinilmeden, “insan ile doğanın uyum içinde birlikte var olması” başlığı altında bir yaşam tablosu ve şiirsel atmosfer (意境) örneği olarak okutulur (Jiaoyubu, 2021, s. 81).</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Alt ciltte değer öğretiminin ölçeği millî sınırları aşarak insanlığa açılır. Barış, kalkınma, hakkaniyet, adalet, demokrasi ve özgürlük “bütün insanlığın ortak değerleri” olarak sunulur; bu değerleri yüceltenin ve “insanlığın ilerleme akımına öncülük edenin” Çin olduğu belirtilir (Jiaoyubu, 2018, s. 24). Evrensel ahlakın en açık biçimde temellendirildiği pasajda ise ölçüt hayatın değeridir: Hayata özen göstermek ve hayatın değerine saygı duymak, insanın yalnızca kendisine iyi davranmasını değil, ilgisini dünyaya yöneltmesini de sağlar (Jiaoyubu, 2018, s. 25). Bununla birlikte alt ciltte sorumluluk, barışseverlik ve içtenlik gibi erdemler çoğu zaman bireyden çok kolektif bir aktör olarak Çin devletine yüklenir; Çin’in “kadim bir medeniyet ülkesinin bilgeliği ve yükselen bir büyük ülkenin sorumluluğuyla” günümüz dünyasının barış ve kalkınmasında giderek daha önemli bir rol oynadığı anlatılır (Jiaoyubu, 2018, s. 28). Öğrenci çoğu etkinlikte bu erdemlerin taşıyıcısı olmaktan çok devletin tutumunu açıklayan ve gerekçelendiren, kimi etkinliklerde de bunu yabancılara anlatan bir konumda kurgulanmaktadır (Jiaoyubu, 2018, s. 30).</w:t>
      </w:r>
    </w:p>
    <w:p>
      <w:pPr>
        <w:spacing w:after="120" w:before="120" w:line="360"/>
        <w:jc w:val="left"/>
      </w:pPr>
      <w:r>
        <w:rPr>
          <w:rFonts w:ascii="Times New Roman" w:cs="Times New Roman" w:eastAsia="Times New Roman" w:hAnsi="Times New Roman"/>
          <w:b/>
          <w:bCs/>
          <w:i w:val="false"/>
          <w:iCs w:val="false"/>
          <w:sz w:val="24"/>
          <w:szCs w:val="24"/>
        </w:rPr>
        <w:t xml:space="preserve">Hukuk ve Yurttaşlık</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Kitabın ikinci ünitesi demokrasi ve hukuk devletine ayrılmıştır. 法治 kavramı üst cildin gövde metninde 141 kez geçmekte, bunların 134’ü bu ünitede yer almaktadır (Tablo 3). Hukukun üstünlüğü “insan toplumunun modern medeniyete girişinin önemli işareti” sayılır (Jiaoyubu, 2021, s. 44) ve insan yönetimi düşüncesiyle karşılaştırılır: “İnsan yönetimi düşüncesi bireyin iradesini en yüksek otorite sayar; hukuk yönetimi düşüncesi yasayı en yüksek otorite sayar” (Jiaoyubu, 2021, s. 46). Demokrasinin kökü ise geleneğe bağlanır; “demokrasi” sözcüğünün ilk kez 《尚书》’da geçtiği ve geleneksel kültürdeki halk merkezli düşüncenin Çin’in demokrasi arayışının önemli bir kaynağı olduğu belirtilir (Jiaoyubu, 2021, s. 30).</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Din eğitimi bakımından ünitenin en dikkat çekici cümlesi, kaynağı gösterilmeyen klasik bir vecizedir: “Yasa ne gökten iner ne yerden çıkar; insanlar arasında doğar ve yalnızca insan gönlüne uyar” (法，非从天下，非从地出，发于人间，合乎人心而已; Jiaoyubu, 2021, s. 55). Bu cümle hukukun kaynağını açıkça içkin bir alana yerleştirmekte, ilahî veya kozmik bir menşe ihtimalini kapatmaktadır. Hukuk ile ahlak arasındaki ilişki de içkin bir döngü olarak kurulur: Hukuk ahlaki anlayışı taşır, ahlak hukuk ruhunu besler; “hukuk ile ahlak birbirini tamamlar, hukukla yönetim ile erdemle yönetim birbirini güçlendirir” (法律与道德相辅相成，法治与德治相得益彰; Jiaoyubu, 2021, s. 55). Konfüçyüsçü kökenli “erdemle yönetim” (德治) kavramı böylece hukuk devleti söylemine mezcedilmektedir.</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Yurttaşın hukuka bağlılığı ise dinî bağlılığı çağrıştıran bir sözcük dağarıyla anlatılır. Demokrasi düşüncesinin ve hukuk ruhunun yurttaşın “bilinçli inancı” (自觉信仰) hâline gelmesi istenir (Jiaoyubu, 2021, s. 42); her yurttaşın hukukun “sadık yücelticisi, bilinçli riayet edeni ve kararlı savunucusu” olması hedeflenir (Jiaoyubu, 2021, s. 49); ünite de hukukun üstünlüğünün “yüce bir toplumsal ideal” olduğu cümlesiyle kapanır (Jiaoyubu, 2021, s. 56). İnanç, sadakat ve yücelik bildiren bu kelimeler aşkın bir varlığa değil, hukuk düzenine yöneltilmektedir. Alt ciltte ise hukuk içeriği belirgin biçimde azalır; 法治 gövde metninde yalnızca iki kez geçer ve anayasaya hiç atıf yapılmaz (Tablo 3).</w:t>
      </w:r>
    </w:p>
    <w:p>
      <w:pPr>
        <w:spacing w:after="120" w:before="120" w:line="360"/>
        <w:jc w:val="left"/>
      </w:pPr>
      <w:r>
        <w:rPr>
          <w:rFonts w:ascii="Times New Roman" w:cs="Times New Roman" w:eastAsia="Times New Roman" w:hAnsi="Times New Roman"/>
          <w:b/>
          <w:bCs/>
          <w:i w:val="false"/>
          <w:iCs w:val="false"/>
          <w:sz w:val="24"/>
          <w:szCs w:val="24"/>
        </w:rPr>
        <w:t xml:space="preserve">İdeolojik Çerçeve</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Tablo 3’teki sıklıklar ideolojik yoğunluğun üst ciltte toplandığını göstermektedir: Çin Komünist Partisi adı 31, Xi Jinping adı 18, “Çin Rüyası” kavramı 25 kez geçmektedir.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600"/>
        <w:gridCol w:w="1600"/>
      </w:tblGrid>
      <w:tr>
        <w:tc>
          <w:tcPr>
            <w:tcW w:type="dxa" w:w="8800"/>
            <w:gridSpan w:val="4"/>
            <w:tcBorders>
              <w:top w:val="single" w:color="000000" w:sz="4"/>
              <w:left w:val="none" w:color="FFFFFF" w:sz="0"/>
              <w:bottom w:val="single" w:color="000000" w:sz="4"/>
              <w:right w:val="none" w:color="FFFFFF" w:sz="0"/>
            </w:tcBorders>
          </w:tcPr>
          <w:p>
            <w:pPr>
              <w:spacing w:after="40" w:before="40" w:line="240"/>
            </w:pPr>
            <w:r>
              <w:rPr>
                <w:rFonts w:ascii="Times New Roman" w:cs="Times New Roman" w:eastAsia="Times New Roman" w:hAnsi="Times New Roman"/>
                <w:sz w:val="20"/>
                <w:szCs w:val="20"/>
              </w:rPr>
              <w:t xml:space="preserve">Tablo 3. Seçilmiş Kavramların Gövde Metnindeki Geçiş Sıklığı</w:t>
            </w:r>
          </w:p>
        </w:tc>
      </w:tr>
      <w:tr>
        <w:trPr>
          <w:tblHeader/>
        </w:trPr>
        <w:tc>
          <w:tcPr>
            <w:tcW w:type="dxa" w:w="2400"/>
            <w:tcBorders>
              <w:top w:val="single" w:color="000000" w:sz="4"/>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bCs/>
                <w:sz w:val="20"/>
                <w:szCs w:val="20"/>
              </w:rPr>
              <w:t xml:space="preserve">Kavram</w:t>
            </w:r>
          </w:p>
        </w:tc>
        <w:tc>
          <w:tcPr>
            <w:tcW w:type="dxa" w:w="3200"/>
            <w:tcBorders>
              <w:top w:val="single" w:color="000000" w:sz="4"/>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bCs/>
                <w:sz w:val="20"/>
                <w:szCs w:val="20"/>
              </w:rPr>
              <w:t xml:space="preserve">Türkçe Karşılığı</w:t>
            </w:r>
          </w:p>
        </w:tc>
        <w:tc>
          <w:tcPr>
            <w:tcW w:type="dxa" w:w="1600"/>
            <w:tcBorders>
              <w:top w:val="single" w:color="000000" w:sz="4"/>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bCs/>
                <w:sz w:val="20"/>
                <w:szCs w:val="20"/>
              </w:rPr>
              <w:t xml:space="preserve">Üst Cilt</w:t>
            </w:r>
          </w:p>
        </w:tc>
        <w:tc>
          <w:tcPr>
            <w:tcW w:type="dxa" w:w="1600"/>
            <w:tcBorders>
              <w:top w:val="single" w:color="000000" w:sz="4"/>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bCs/>
                <w:sz w:val="20"/>
                <w:szCs w:val="20"/>
              </w:rPr>
              <w:t xml:space="preserve">Alt Cilt</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宗教</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din</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信仰</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inanç</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4</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0</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儒家 / 孔子 / 孟子</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Konfüçyüsçü okul / Konfüçyüs / Mencius</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 / 0 / 4</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 / 3 / 0</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论语 / 礼记</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Konuşmalar / Törenler Kitabı</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 / 1</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0 / 1</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传统美德</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geleneksel erdemler</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5</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0</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中华优秀传统文化</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Çin’in üstün geleneksel kültürü</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7</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社会主义核心价值观</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sosyalist çekirdek değerler</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14</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民族精神</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millî ruh</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18</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中国共产党</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Çin Komünist Partisi</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31</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3</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习近平</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Xi Jinping</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18</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6</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中国梦</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Çin Rüyası</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25</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6</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法治</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hukuk devleti / hukukun üstünlüğü</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141</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宪法</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anayasa</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27</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0</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民族团结</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etnik gruplar (milletler) arası birlik</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22</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0</w:t>
            </w:r>
          </w:p>
        </w:tc>
      </w:tr>
      <w:tr>
        <w:tc>
          <w:tcPr>
            <w:tcW w:type="dxa" w:w="24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人类命运共同体</w:t>
            </w:r>
          </w:p>
        </w:tc>
        <w:tc>
          <w:tcPr>
            <w:tcW w:type="dxa" w:w="32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insanlığın kader ortaklığı</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0</w:t>
            </w:r>
          </w:p>
        </w:tc>
        <w:tc>
          <w:tcPr>
            <w:tcW w:type="dxa" w:w="1600"/>
            <w:tcBorders>
              <w:top w:val="none" w:color="FFFFFF" w:sz="0"/>
              <w:left w:val="none" w:color="FFFFFF" w:sz="0"/>
              <w:bottom w:val="none" w:color="FFFFFF" w:sz="0"/>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10</w:t>
            </w:r>
          </w:p>
        </w:tc>
      </w:tr>
      <w:tr>
        <w:tc>
          <w:tcPr>
            <w:tcW w:type="dxa" w:w="2400"/>
            <w:tcBorders>
              <w:top w:val="none" w:color="FFFFFF" w:sz="0"/>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命运</w:t>
            </w:r>
          </w:p>
        </w:tc>
        <w:tc>
          <w:tcPr>
            <w:tcW w:type="dxa" w:w="3200"/>
            <w:tcBorders>
              <w:top w:val="none" w:color="FFFFFF" w:sz="0"/>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kader</w:t>
            </w:r>
          </w:p>
        </w:tc>
        <w:tc>
          <w:tcPr>
            <w:tcW w:type="dxa" w:w="1600"/>
            <w:tcBorders>
              <w:top w:val="none" w:color="FFFFFF" w:sz="0"/>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13</w:t>
            </w:r>
          </w:p>
        </w:tc>
        <w:tc>
          <w:tcPr>
            <w:tcW w:type="dxa" w:w="1600"/>
            <w:tcBorders>
              <w:top w:val="none" w:color="FFFFFF" w:sz="0"/>
              <w:left w:val="none" w:color="FFFFFF" w:sz="0"/>
              <w:bottom w:val="single" w:color="000000" w:sz="4"/>
              <w:right w:val="none" w:color="FFFFFF" w:sz="0"/>
            </w:tcBorders>
          </w:tcPr>
          <w:p>
            <w:pPr>
              <w:spacing w:after="20" w:before="20" w:line="240"/>
              <w:jc w:val="left"/>
            </w:pPr>
            <w:r>
              <w:rPr>
                <w:rFonts w:ascii="Times New Roman" w:cs="Times New Roman" w:eastAsia="Times New Roman" w:hAnsi="Times New Roman"/>
                <w:b w:val="false"/>
                <w:bCs w:val="false"/>
                <w:sz w:val="20"/>
                <w:szCs w:val="20"/>
              </w:rPr>
              <w:t xml:space="preserve">28</w:t>
            </w:r>
          </w:p>
        </w:tc>
      </w:tr>
    </w:tbl>
    <w:p>
      <w:pPr>
        <w:spacing w:after="120" w:before="60" w:line="240"/>
      </w:pPr>
      <w:r>
        <w:rPr>
          <w:rFonts w:ascii="Times New Roman" w:cs="Times New Roman" w:eastAsia="Times New Roman" w:hAnsi="Times New Roman"/>
          <w:sz w:val="20"/>
          <w:szCs w:val="20"/>
        </w:rPr>
        <w:t xml:space="preserve">Not. Sayımlarda sayfa altlıklarındaki ünite ve ders adları ile 道德与法治 ve 民主与法治 adlarındaki 法治 geçişleri dışarıda bırakılmıştır. Üst ciltteki 141 法治 geçişinin 134’ü ikinci ünitededir. Alt ciltteki 人类命运共同体 sayısına 2. dersin başlığındaki bir geçiş dâhildir; akan metinde kavram dokuz kez geçer. 命运 sayısı 人类命运共同体 geçişlerini de içerir.</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Üst cildin son dersi (中国人 中国梦) bu yoğunluğun doruğudur. Dersin ilk bölümünde, 小康 kavramının kökenini açıklayan bir “İlgili Bağlantı” kutusunda gelecek toplum tasavvuru 《礼记·礼运》’daki “büyük yol hüküm sürdüğünde dünya herkesindir” pasajıyla verilir (Jiaoyubu, 2021, s. 105); ana metin ise bu kadim idealin gerçekleşmesini Parti’nin önderliğindeki millî diriliş mücadelesine bağlar. Öğrenciden Çin’e özgü sosyalizm yolunun “insan dünyasının doğru yolu” (人间正道) olduğuna kesinlikle inanması beklenir (Jiaoyubu, 2021, s. 116); dersin kapanış bölümünde bugünün dünyasında özgüven duymaya en çok hakkı olanların Çin Komünist Partisi, Çin Halk Cumhuriyeti ve Çin milleti olduğu söylenir (Jiaoyubu, 2021, s. 118) ve ders gençlere yeni çağın Çinlisinin özgüvenini sergileme çağrısıyla sona erer. Alt ciltte ise ideolojik dil doktriner olmaktan çok diplomatik bir hüviyet kazanır: “Sosyalist çekirdek değerler” yalnızca iki kez anılırken “insanlığın kader ortaklığı” (人类命运共同体) kavramı akan metinde dokuz kez geçer, ayrıca bir dersin adını oluşturur (Tablo 3). İnsanlığın kaderlerinin birbirine bağlı olduğu vurgulanır (Jiaoyubu, 2018, s. 16); Xi Jinping’in 2014’te dört Latin Amerika ülkesinin basınına verdiği ortak bir röportajdan aktarılan “dünyanın kaderi bütün ülkelerin halklarınca birlikte tayin edilmelidir” sözü ise (Jiaoyubu, 2018, s. 11), çok kutupluluk ve uluslararası ilişkilerin demokratikleşmesi talebiyle birlikte, Çin’in dünya sahnesindeki rolünü diplomatik ve ahlaki bir dil içinde sunar.</w:t>
      </w:r>
    </w:p>
    <w:p>
      <w:pPr>
        <w:spacing w:after="120" w:before="120" w:line="360"/>
        <w:jc w:val="left"/>
      </w:pPr>
      <w:r>
        <w:rPr>
          <w:rFonts w:ascii="Times New Roman" w:cs="Times New Roman" w:eastAsia="Times New Roman" w:hAnsi="Times New Roman"/>
          <w:b/>
          <w:bCs/>
          <w:i w:val="false"/>
          <w:iCs w:val="false"/>
          <w:sz w:val="24"/>
          <w:szCs w:val="24"/>
        </w:rPr>
        <w:t xml:space="preserve">Din, İnanç ve Gelenek</w:t>
      </w:r>
    </w:p>
    <w:p>
      <w:pPr>
        <w:spacing w:after="120" w:before="120" w:line="360"/>
        <w:ind w:firstLine="284"/>
        <w:jc w:val="both"/>
      </w:pPr>
      <w:r>
        <w:rPr>
          <w:rFonts w:ascii="Times New Roman" w:cs="Times New Roman" w:eastAsia="Times New Roman" w:hAnsi="Times New Roman"/>
          <w:b/>
          <w:bCs/>
          <w:i/>
          <w:iCs/>
          <w:sz w:val="24"/>
          <w:szCs w:val="24"/>
        </w:rPr>
        <w:t xml:space="preserve">Dinin doğrudan anılışı. </w:t>
      </w:r>
      <w:r>
        <w:rPr>
          <w:rFonts w:ascii="Times New Roman" w:cs="Times New Roman" w:eastAsia="Times New Roman" w:hAnsi="Times New Roman"/>
          <w:b w:val="false"/>
          <w:bCs w:val="false"/>
          <w:i w:val="false"/>
          <w:iCs w:val="false"/>
          <w:sz w:val="24"/>
          <w:szCs w:val="24"/>
        </w:rPr>
        <w:t xml:space="preserve">İki ciltte 宗教 (din) kelimesi gövde metninde toplam üç kez geçmektedir (Tablo 3). Birincisinde din, etnik çeşitliliğin bir unsuru olarak nötr biçimde anılır: Ülkedeki her milletin, örf ve âdetleri ve dinî inançları ne kadar farklı olursa olsun, sosyalist büyük ailenin eşit bir üyesi olduğu belirtilir (Jiaoyubu, 2021, s. 91). İkincisinde din bir güvenlik meselesi olarak görünür; bölücülüğe karşı çıkmanın “özellikle millet ve din adına yürütülen şiddet ve terör faaliyetlerine kararlılıkla karşı çıkmak” anlamına geldiği vurgulanır (Jiaoyubu, 2021, s. 98). Üçüncüsü alt ciltte, barışı tehdit eden etkenler arasında hegemonyacılık, etnik sorunlar ve terörizmle birlikte sayılan “dinî çatışmalar”dır (Jiaoyubu, 2018, s. 18). Kitapta herhangi bir dinin inanç esaslarına ya da ahlak öğretisine yer verilmez. İbadet ve ayin ise yalnızca aşağıda ele alınan Mazu pasajında ve 2010 Yushu depreminde her milletten insanın afet bölgesindeki halk için çeşitli yollarla “bereket dilediği” (祈福) bilgisinde, içeriği açıklanmadan görünür (Jiaoyubu, 2021, s. 93). Budist bir keşiş olan Jianzhen’in Japonya yolculuğu bile, keşişin kimliğine değinilmeden, tarihteki büyük yolculuklar tablosunda yalnızca bir satır olarak geçer (Jiaoyubu, 2018, s. 12).</w:t>
      </w:r>
    </w:p>
    <w:p>
      <w:pPr>
        <w:spacing w:after="120" w:before="120" w:line="360"/>
        <w:ind w:firstLine="284"/>
        <w:jc w:val="both"/>
      </w:pPr>
      <w:r>
        <w:rPr>
          <w:rFonts w:ascii="Times New Roman" w:cs="Times New Roman" w:eastAsia="Times New Roman" w:hAnsi="Times New Roman"/>
          <w:b/>
          <w:bCs/>
          <w:i/>
          <w:iCs/>
          <w:sz w:val="24"/>
          <w:szCs w:val="24"/>
        </w:rPr>
        <w:t xml:space="preserve">Halk inancının kültüre dönüştürülmesi. </w:t>
      </w:r>
      <w:r>
        <w:rPr>
          <w:rFonts w:ascii="Times New Roman" w:cs="Times New Roman" w:eastAsia="Times New Roman" w:hAnsi="Times New Roman"/>
          <w:b w:val="false"/>
          <w:bCs w:val="false"/>
          <w:i w:val="false"/>
          <w:iCs w:val="false"/>
          <w:sz w:val="24"/>
          <w:szCs w:val="24"/>
        </w:rPr>
        <w:t xml:space="preserve">Kitapta bir inanç geleneğinin ayrıntılı biçimde anlatıldığı tek yer, Tayvan bahsinin sonundaki Mazu (妈祖) pasajıdır. Rivayete göre Song döneminde yaşamış, hayatını darda kalana yardım ederek geçirmiş olan Lin Mo, ölümünden sonra “Mazu” olarak yüceltilmiş, onu anmak için Meizhou adasında tapınak kurularak kurban sunulmuştur (Jiaoyubu, 2021, s. 103). Metin Mazu inancının yayıldığını, dünyada beş binden fazla Mazu tapınağı ve iki yüz milyonu aşkın inananı bulunduğunu ve “Mazu inanç âdetlerinin” insanlığın somut olmayan kültürel mirası listesine alındığını aktarır; ardından Mazu kültürünü yurt içindeki ve dışındaki Çinlileri birleştiren “önemli bir mânevî bağ” olarak tanımlar (妈祖文化日益成为凝聚海内外华人、华侨的重要精神纽带; Jiaoyubu, 2021, s. 103). Öğrenciye yöneltilen soru, bu kültürün “vatanın birleşmesi için ne tür bir ilham” verdiğidir (Jiaoyubu, 2021, s. 103). Din burada hakikat iddiası ve ibadet boyutu üzerinden değil, toplumu bir arada tutan işlevi üzerinden öğretilmekte; inanç önce “kültür” ve “miras” kategorisine taşınmakta, sonra millî birliğin hizmetine sunulmaktadır.</w:t>
      </w:r>
    </w:p>
    <w:p>
      <w:pPr>
        <w:spacing w:after="120" w:before="120" w:line="360"/>
        <w:ind w:firstLine="284"/>
        <w:jc w:val="both"/>
      </w:pPr>
      <w:r>
        <w:rPr>
          <w:rFonts w:ascii="Times New Roman" w:cs="Times New Roman" w:eastAsia="Times New Roman" w:hAnsi="Times New Roman"/>
          <w:b/>
          <w:bCs/>
          <w:i/>
          <w:iCs/>
          <w:sz w:val="24"/>
          <w:szCs w:val="24"/>
        </w:rPr>
        <w:t xml:space="preserve">Konfüçyüsçü klasiklerin seçici kullanımı. </w:t>
      </w:r>
      <w:r>
        <w:rPr>
          <w:rFonts w:ascii="Times New Roman" w:cs="Times New Roman" w:eastAsia="Times New Roman" w:hAnsi="Times New Roman"/>
          <w:b w:val="false"/>
          <w:bCs w:val="false"/>
          <w:i w:val="false"/>
          <w:iCs w:val="false"/>
          <w:sz w:val="24"/>
          <w:szCs w:val="24"/>
        </w:rPr>
        <w:t xml:space="preserve">Üst cildin “Mânevî Yurda Sahip Çıkmak” dersi, klasik kaynaklara en geniş yer veren derstir. Mengzi’den ve Fan Zhongyan’dan halkın sevinci ve kaygısını paylaşmaya dair iki metin okutulur, 《朱子家训》’ten tutumluluk ve aile ahlakına ilişkin öğütler aktarılır; “erdem klasikleri” okuma listesinin ilk sırasına konan 《论语》 için “Konfüçyüsçü etik-ahlak düşüncesinin temsilci eseri” denir (这是一部儒家伦理道德思想的代表作; Jiaoyubu, 2021, s. 65). Aynı listenin dördüncü sırasında ise “komünist savaşçı” Lei Feng’in günlüğü yer alır (Jiaoyubu, 2021, s. 66); klasik kanon ile devrimci şahsiyetlerin metinleri aynı düzlemde buluşturulmaktadır. Geleneğin nasıl devralınacağı da bir usule bağlanır: Eskiyi bugüne, yabancıyı Çin’e hizmet ettirmek, olumsuz unsurları atıp olumlu düşünceleri devralmak (Jiaoyubu, 2021, s. 61). Alt ciltte de 《礼记》’den “on bin şey birlikte yetişir de birbirine zarar vermez, yollar yan yana yürür de birbirine aykırı düşmez” sözü (Jiaoyubu, 2018, s. 52) ile Konfüçyüs’ün “öğrenip zaman zaman tekrarlamak ne hoştur” sözü (Jiaoyubu, 2018, s. 73) alıntılanır. Bu alıntılarda Gök (天), Yol (道) ve ritüel (礼) kavramlarının kozmik ve dinî içerikleri açıklanmaz; klasikler ahlaki ve siyasi vecize kaynağı olarak kullanılır. Ana metne serpiştirilen klasik özdeyişler ise çoğunlukla kaynak belirtilmeden verilir, kaynağı gösterilenler genellikle ek okuma kutularında yer alır; örneğin yukarıda anılan “yasa ne gökten iner ne yerden çıkar” cümlesinin hangi eserden alındığı kitapta yazmaz.</w:t>
      </w:r>
    </w:p>
    <w:p>
      <w:pPr>
        <w:spacing w:after="120" w:before="120" w:line="360"/>
        <w:ind w:firstLine="284"/>
        <w:jc w:val="both"/>
      </w:pPr>
      <w:r>
        <w:rPr>
          <w:rFonts w:ascii="Times New Roman" w:cs="Times New Roman" w:eastAsia="Times New Roman" w:hAnsi="Times New Roman"/>
          <w:b/>
          <w:bCs/>
          <w:i/>
          <w:iCs/>
          <w:sz w:val="24"/>
          <w:szCs w:val="24"/>
        </w:rPr>
        <w:t xml:space="preserve">Dinî kelime dağarcığının sekülerleşmesi. </w:t>
      </w:r>
      <w:r>
        <w:rPr>
          <w:rFonts w:ascii="Times New Roman" w:cs="Times New Roman" w:eastAsia="Times New Roman" w:hAnsi="Times New Roman"/>
          <w:b w:val="false"/>
          <w:bCs w:val="false"/>
          <w:i w:val="false"/>
          <w:iCs w:val="false"/>
          <w:sz w:val="24"/>
          <w:szCs w:val="24"/>
        </w:rPr>
        <w:t xml:space="preserve">Kitapta dinî dilin kalıpları korunmakta, içerikleri millî ve siyasi bir anlamla doldurulmaktadır. Kültür “bir ülkenin, bir milletin ruhu (灵魂)” olarak tanımlanır (Jiaoyubu, 2021, s. 60); yenilikçilik de “bir milletin ilerlemesinin ruhu”dur (Jiaoyubu, 2021, s. 14). Etnik gruplar (milletler) arasındaki birliği korumak ve geliştirmek her yurttaşın “kutsal görevi ve şerefli ödevi” sayılır (维护和促进民族团结，是每个公民的神圣职责和光荣义务; Jiaoyubu, 2021, s. 96); Tayvan, anayasaya göre Çin Halk Cumhuriyeti’nin “kutsal topraklarının” bir parçasıdır (Jiaoyubu, 2021, s. 102). Son derste “halkın inancı olursa devletin gücü, milletin umudu olur” denir (人民有信仰，国家有力量，民族有希望; Jiaoyubu, 2021, s. 114); bu inancın muhtevası tanımlanmaz. Çin Rüyası ile ilgili okuma parçası 中华世纪坛序 ise “toprak ve tahıl sunakları (yani devlet) bin güz, atalar yüz kuşak” (Jiaoyubu, 2021, s. 106) ve “medeniyetin kutsal ateşi” (Jiaoyubu, 2021, s. 106) gibi geleneksel kült imgelerini millî diriliş anlatısının hizmetine sunar. Kader (命运) kavramı da metafizik bir takdir olarak değil, siyasi kararların ve insan iradesinin belirlediği tarihî bir yazgı olarak işlenir; reform ve dışa açılma “Çin’in kaderini belirleyen” hamle, insanlığın kader ortaklığı ise kurulması gereken bir projedir.</w:t>
      </w:r>
    </w:p>
    <w:p>
      <w:pPr>
        <w:spacing w:after="120" w:before="120" w:line="360"/>
        <w:jc w:val="left"/>
      </w:pPr>
      <w:r>
        <w:rPr>
          <w:rFonts w:ascii="Times New Roman" w:cs="Times New Roman" w:eastAsia="Times New Roman" w:hAnsi="Times New Roman"/>
          <w:b/>
          <w:bCs/>
          <w:i w:val="false"/>
          <w:iCs w:val="false"/>
          <w:sz w:val="24"/>
          <w:szCs w:val="24"/>
        </w:rPr>
        <w:t xml:space="preserve">Gençlik, İdeal ve Hayatın Anlamı</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Alt cildin son ünitesi, mezuniyet eşiğindeki öğrenciye hayatının anlamını ve yönünü sorar ve bu sorulara verilen cevaplar kitabın ahlak tasavvurunu bir kez daha görünür kılar. Ünitenin ilk dersi (少年的担当), “gençlik güçlü olursa ülke güçlü olur” cümlesiyle açılır ve kuşaklar boyu gençlerin ülkenin ve toplumun gelişmesine, Çin milletinin büyük dirilişine katkısını anar (Jiaoyubu, 2018, s. 54). Bireyin kaderi ülkenin kaderine, bireyin geleceği milletin geleceğine sıkı sıkıya bağlı olarak tanımlanır (个人的命运与国家的命运息息相关，个人的未来与民族的未来紧密相连; Jiaoyubu, 2018, s. 60). Öğrenciden “ideal ve inancında sarsılmaz olması” ve Çin Rüyası’nı gerçekleştirme yolunda başarı kazanması beklenir (Jiaoyubu, 2018, s. 62); ünitede 信念 (inanç) kelimesinin geçtiği tek yer burasıdır ve inancın nesnesi vatanın inşasıdır.</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Hayatın anlamı emek ve hizmetle tarif edilir. Meslek, toplumsal iş bölümünün gereği olduğu kadar bireyin topluma katkıda bulunmasının ve “hayatının değerini gerçekleştirmesinin temel yolu”dur (Jiaoyubu, 2018, s. 74); “emek bütün mutluluğun kaynağıdır” (劳动是一切幸福的源泉; Jiaoyubu, 2018, s. 78). Uçak imalatçısı bir ustanın öğretmeninden duyduğu “Uçak yapmayı öğrenmek ikinci sırada, insan olmayı öğrenmek birinci sıradadır; iş yaparken vicdanına göre davranmalı” sözü (Jiaoyubu, 2018, s. 80) 良心 (vicdan) kelimesinin iki ciltte geçtiği tek yerdir; vicdan da burada bir meslek ahlakı çerçevesinde kalır. Geleneksel öz terbiye anlayışı da korunur ve Konfüçyüsçü okulun “kendini terbiye etmek, aileyi düzene koymak, devleti yönetmek, dünyaya barış getirmek” sıralaması anılır (Jiaoyubu, 2018, s. 63). Zhou Enlai’ye ait ve çoğu çalışma ve yaşam düzenine ilişkin maddelerden oluşan “öz terbiye kuralları” (修养要则) listesinde ise “kendimin ve başkalarının her türlü yanlış düşünce ve bilincine karşı ilke düzeyinde kararlı bir mücadele vermek” gibi siyasi bir öz denetim maddesine de yer verilir (Jiaoyubu, 2018, s. 69).</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Kitabın son sayfası, Liang Qichao’nun 《少年中国说》 metninden alınan bir parçayla biter ve bu parça “Ne güzel, benim genç Çin’im, gökle birlikte yaşlanmaz! Ne yüce, benim Çinli gençliğim, vatanla birlikte sınırsızdır!” cümlesiyle sona erer (美哉，我少年中国，与天不老！壮哉，我中国少年，与国无疆！; Jiaoyubu, 2018, s. 91). Öğrenciden bu metni yüksek sesle okuyup Çin Rüyası için ondan hangi gücü alabileceğini düşünmesi istenir. Ünitenin hedefi ise öğrencinin “ahlak, akıl, beden, estetik ve emek yönünden çok yönlü gelişmiş sosyalizmin inşacısı ve vârisi” olmasıdır (Jiaoyubu, 2018, s. 90). Ölüm ve fedakârlık bu ünitede de yalnızca millet ve dava uğruna anlam kazanır; ölümsüzlük bireye değil, gökle birlikte yaşlanmayan “genç Çin”e atfedilir. Hayatın anlamı, mutluluk ve ideal gibi din eğitiminin merkezindeki sorular kitapta sorulmakta, fakat cevapları dünyevi bir ufukta ve bireysel gelişimi de içermekle birlikte ağırlıkla millî ve kolektif hedeflere bağlanarak verilmektedir (Jiaoyubu, 2018, s. 88).</w:t>
      </w:r>
    </w:p>
    <w:p>
      <w:pPr>
        <w:spacing w:after="120" w:before="240" w:line="360"/>
        <w:jc w:val="center"/>
      </w:pPr>
      <w:r>
        <w:rPr>
          <w:rFonts w:ascii="Times New Roman" w:cs="Times New Roman" w:eastAsia="Times New Roman" w:hAnsi="Times New Roman"/>
          <w:b/>
          <w:bCs/>
          <w:i w:val="false"/>
          <w:iCs w:val="false"/>
          <w:sz w:val="24"/>
          <w:szCs w:val="24"/>
        </w:rPr>
        <w:t xml:space="preserve">Tartışma</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Bulgular, 9. sınıf Ahlak ve Hukuk kitabında ahlakın tümüyle içkin bir zemine dayandırıldığını göstermektedir. Ahlaki yükümlülüğün kaynakları tarih, millet, Parti, anayasa ve seçilerek devralınmış gelenektir; değerlerin ölçütü anayasada yer alan sosyalist çekirdek değerlerdir. Bu tablo, Çin eğitim sisteminin yasal çerçevesine dair Türkçe literatürdeki tespitlerle örtüşmektedir: Eğitimin sosyalist amaçlara hizmet etmesi ve dinden ayrılması kanunla belirlenmiştir (Coşkun &amp; Çelikten, 2020, s. 2987, 3004). Ne var ki kitap, ideolojiyi kuru bir doktrin olarak değil, gelenek, aile, kahramanlık ve mutluluk anlatılarıyla örülmüş bir ahlak dili içinde sunmaktadır. Hsu (2024, s. 154) tarih ders kitaplarını hâkim ideolojilerin taşıyıcısı olarak nitelendirir; bu tespiti özellikle ders kitaplarının toplumun baskın görüşlerini yansıttığı demokratik ülkeler için yapsa da, söz konusu nitelendirme farklı bir siyasal bağlamda ve farklı bir derste bu kitap için de geçerli görünmektedir. Bununla birlikte ideolojinin burada ahlakî bir terbiye dilinin içine yerleştirildiği dikkati çekmektedir.</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Konfüçyüsçü mirasın kitaptaki yeri, literatürdeki “seçici canlanma” tespitini doğrulamaktadır. Şevik’e (2022, s. 64) göre Konfüçyüsçü öğreti, uygulamada yarar sağlayacak ve komünist doktrinle çelişmeyecek kısımları vurgulanarak yeniden yorumlanmış bir hâlde halka sunulmaktadır. Kitapta 《论语》’nün okuma listesinin başına konması ile Lei Feng’in günlüğünün aynı listede yer alması, geleneğin “olumsuzu atıp olumluyu devralma” usulüyle süzülmesi ve Konfüçyüsçü 德治 kavramının hukuk devletiyle eşleştirilmesi bu seçici yeniden yorumun ders kitabı düzeyindeki somut görünümleridir. Çin’de Ahlak ve Hukuk öğretmenlerine yönelik yazılarda da aynı yaklaşım görülür. J. Zhang ([YIL GÖRÜLEMEDİ], s. 217), devletçe birleştirilmiş ortaokul Ahlak ve Hukuk kitabının Çin’in üstün geleneksel kültürüne ait çok sayıda malzemeyi bünyesine kattığını ve bu yolla öğrencilerin ahlaki gelişimini desteklemeyi hedeflediğini belirtir ve öğretim ilkesi olarak klasik vecizelerin “ölçülü” ele alınmasını, ne önemsizleştirilmesini ne de asıl konunun önüne geçecek biçimde aşırı yorumlanmasını ister (J. Zhang, [YIL GÖRÜLEMEDİ], s. 218). Klasikler, kendi başına bir hakikat kaynağı olarak değil, ders kitabının belirlediği ahlaki hedefe hizmet eden bir malzeme olarak konumlandırılmaktadır. Ancak geleneğin dinî ve kozmolojik boyutu kitapta sessizlikle geçiştirilmektedir: Gök, Yol ve ritüel kavramları ahlaki vecizelere indirgenmiş, ata ve Gök saygısı gibi ritüel ödevler erdem kataloğuna alınmamıştır. Ametbek’in (2023, s. 95) Çin medeniyetinin belki de en önemli yönünün dışarıdan gelen değerleri Çinlileştirmesi olduğu, bunun en iyi örneğinin Çin Komünist Partisi olduğu ve Partinin kendi yönetim tarzını meşrulaştırmak için Çin tarihine, kültürüne ve medeniyetine atıfta bulunduğu yorumu, kitaptaki gelenek kullanımının işlevini açıklamak bakımından anlamlıdır.</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Devlet okulundaki ahlak eğitiminin toplumda nasıl karşılandığı da ayrıca düşünülmesi gereken bir meseledir. Wang’ın (2023, s. 332) görüştüğü ebeveynler devlet okullarını öğrencilerin ahlaki karakterini geliştiremeyecek kadar araçsal bulmuş, devlet eğitimini “bilgi için eğitim”, Konfüçyüsçü eğitimi “ahlak için eğitim” olarak nitelemiştir. Li ve Li’nin (2022, s. 12), Ahlak ve Hukuk dersinde “ilkokulda değerlendirme yok, ortaokulda yalnızca ezber var” sorununun çözülmesi gereken kilit bir mesele olduğunu belirtmesi ve Gao’nun ([YIL GÖRÜLEMEDİ], s. [SAYFA GÖRÜLEMEDİ]) ahlak eğitimi derslerinin ve ders kitaplarının gerekçelendirme-ispata indirgenmesini, yani ahlak eğitiminin doğa bilimlerindeki bilgi öğrenme biçimiyle yürütülmesini “ahlak eğitiminin yabancılaşması” olarak nitelemesi, kitabın yönlendirilmiş tartışma etkinliklerinin öğrenci üzerindeki etkisinin ayrıca araştırılması gerektiğini düşündürmektedir.</w:t>
      </w:r>
    </w:p>
    <w:p>
      <w:pPr>
        <w:spacing w:after="120" w:before="120" w:line="360"/>
        <w:jc w:val="left"/>
      </w:pPr>
      <w:r>
        <w:rPr>
          <w:rFonts w:ascii="Times New Roman" w:cs="Times New Roman" w:eastAsia="Times New Roman" w:hAnsi="Times New Roman"/>
          <w:b/>
          <w:bCs/>
          <w:i w:val="false"/>
          <w:iCs w:val="false"/>
          <w:sz w:val="24"/>
          <w:szCs w:val="24"/>
        </w:rPr>
        <w:t xml:space="preserve">Seküler Kutsallaştırma ve Örtük Bir İlahiyat İmkânı</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Din eğitimi bakış açısından kitabın belki en dikkat çekici yönü, dinin doğrudan anıldığı yerlerden çok, dinî dilin kalıplarının seküler nesnelere aktarıldığı yerlerdir. İnanç (信仰) hukuk ruhuna ve halkın mücadelesine, kutsallık (神圣) millî birliğe ve toprağa, ruh (灵魂) kültüre ve yenilikçiliğe, doğru yol (正道) ise Çin’e özgü sosyalizme yöneltilmektedir. Kişi’nin (2021, s. 87) Zhang ve Ong’un çalışmasından hareketle vardığı, Çin halkı için sosyalizmin ilerleyen dönemde bir “manevi değerler bütününe” dönüştüğü yorumu ve milliyetçiliğin toplumlar nezdinde dinin yerini alabildiği yorumu (Kişi, 2021, s. 18) bu bulguyu anlamlandırmaya yardımcı olmaktadır. Peters (2017, s. 1303), Amerikan Rüyası’nda olduğu gibi Çin Rüyası anlatısında da rüyayı bizzat insanlık adına konuşma düzeyine yükselten “seçilmişlik”in aşkın gücüne dikkat çeker ve anlatının hem kendini yaratma aracı hem de egemen ideolojilerin taşıyıcısı olabileceğini hatırlatır. Ergül (2025, s. 124) ise Çin Rüyası’nın toplumsal hayatın kendiliğinden ürettiği bir hayal olmaktan çok liderin yukarıdan aşağıya tasarladığı bir rota olduğunu ileri sürer. Kitapta Çin Rüyası’nın “devletin, milletin ve her Çinlinin rüyası” olarak sunulması, bu tasarlanmış ufkun öğrencinin kişisel hayat tasavvuruna da eklemlenmek istendiğini göstermektedir.</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Bu içkinlik, Çin düşünce geleneğinin kendisiyle de bağlantılıdır. C. Aydın (2022, s. 100), Çin düşüncesinde ahlakın pratik bir yapıya sahip olduğunu, insan ile evren arasındaki ilişkinin denge ve düzen temeline oturtulduğunu belirtir. Bu açıdan kitabın dünyevi ahlak dili yalnızca modern bir ideolojik tercih değil, Çin düşüncesindeki bu-dünyacı eğilimin seçici bir devamı olarak da okunabilir. Ma’nın (2019, s. 86) belirttiği gibi Çin kültüründe din de dâhil hiçbir otorite imparatorun gücünün üstüne çıkamamış; bu durum Çin halkında dinî inançların güçlü olmamasına ve dine karşı geniş bir açıklığa yol açmış, dinî inanç insan hayatının yalnızca bir kısmı olarak kalmıştır. Bu açıklama bu-dünyacı eğilimden çok din ile siyasi otorite arasındaki tarihî ilişkiye dayanmakla birlikte, kitabın dine ayırdığı dar alanı anlamaya yardım etmektedir.</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Bu bulgular, kitabın derin yapısında bir tür “örtük ilahiyat” barındırdığı şeklinde ihtiyatla yorumlanabilir. Kitap ahlaka aşkın bir dayanak göstermemekte, fakat dinin toplum hayatındaki bazı işlevlerini, yani kutsallık atfetmeyi, sadakat ve adanmışlık talep etmeyi, örnek şahsiyetler sunmayı ve geleceğe dönük bir kurtuluş ufku çizmeyi millet, Parti ve millî diriliş fikrine devretmektedir. Alt ciltte medeniyetler arası alışveriş ve karşılıklı öğrenme yoluyla insan toplumunun gelişmesine “mânevî destek ve gönül tesellisi” sağlanması gerektiğinin söylenmesi (Jiaoyubu, 2018, s. 39), geleneksel olarak dine atfedilen bir işlevin hümanist bir kültür alışverişine yüklenmesi bakımından aynı örüntüye işaret etmektedir. Bununla birlikte bu yorumun sınırları açıktır: Kitap bir ilahiyat iddiası taşımaz, Tanrı, vahiy ve ahiret kavramlarına hiç başvurmaz; “örtük ilahiyat” ifadesi kitabın kendi dili değil, dinin işlevlerini esas alan bir din eğitimcisinin okumasıdır. Bu okumanın ilgili kuramsal literatürle temellendirilmesi gerekmektedir [SAĞLANAN BELGELERDE KAYNAK BULUNAMADI: sivil din, seküler kutsallık ve işlevsel din tanımlarına ilişkin kuramsal kaynak].</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Dinî azınlıkların sessizliği de bu çerçevede değerlendirilmelidir. Kitapta Tibetliler, Uygurlar ve diğer milletler etnik ve ekonomik aktörler olarak görünür, ancak dinî kimlikleri adlandırılmaz; din yalnızca eşitlik ilkesinin bir unsuru, bir güvenlik tehdidi ya da kültürel mirasın bir parçası olarak yer alır. Karacadagli (2019, s. 5), kaynak göstermeksizin, Çin’de insanların büyük çoğunluğunun dinî inancı bulunmadığını ve inananların büyük kısmının azınlık milletlere mensup olduğunu belirtir. Bu ifade, ihtiyatla karşılanması gerekmekle birlikte, dinin kitapta neden milletler arası eşitlik bahsinde ve etnik çeşitliliğin bir unsuru olarak anıldığını anlamaya yardımcı olabilir: Kitabın dili dini, çoğunluğun değil azınlıkların “farklılığı” olarak konumlandırmaktadır. Literatürdeki bazı çalışmalar bu sessizliğin eğitim politikasındaki karşılıklarına dikkat çekmektedir. Tuncer (2021, s. 2267), Doğu Türkistan’da eğitimin tamamen Çin Komünist Partisi’nin tekelinde yürütüldüğünü ileri sürer ve bölgede eğitim hakkının bir baskı ve asimilasyon aracına dönüştüğü sonucuna varır (Tuncer, 2021, s. 2269). Ma (2019, s. 122) ise cami eğitiminin bugün de Çinli Müslümanların yaşadığı bazı bölgelerde sürdüğünü ve cami eğitimi ile Han kitap hareketinin bugünkü Çinli Müslümanlar üzerindeki en önemli etkisinin, onların hem Çinli hem de dindar Müslüman olmalarını ifade eden çifte kimliği biçimlendirmek olduğunu belirtir. Bu çalışmalar, resmî ders kitabının sessiz kaldığı alanda dinî kimliğin okul dışı kurumlarla yaşatıldığını düşündürmektedir; ancak bu durumun ders kitabıyla ilişkisi bu çalışmanın verileriyle sınanamamaktadır.</w:t>
      </w:r>
    </w:p>
    <w:p>
      <w:pPr>
        <w:spacing w:after="120" w:before="120" w:line="360"/>
        <w:jc w:val="left"/>
      </w:pPr>
      <w:r>
        <w:rPr>
          <w:rFonts w:ascii="Times New Roman" w:cs="Times New Roman" w:eastAsia="Times New Roman" w:hAnsi="Times New Roman"/>
          <w:b/>
          <w:bCs/>
          <w:i w:val="false"/>
          <w:iCs w:val="false"/>
          <w:sz w:val="24"/>
          <w:szCs w:val="24"/>
        </w:rPr>
        <w:t xml:space="preserve">Türkiye ile Karşılaştırma</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Kitabın bulguları Türkiye’deki din ve ahlak öğretimiyle karşılaştırıldığında en belirgin fark, ahlakın dayanağında ortaya çıkmaktadır. Türkiye’de Din Kültürü ve Ahlak Bilgisi dersi ilkokulun 4. sınıfından itibaren okutulmakta, ortaokulda buna din ve ahlak alanında seçmeli dersler eklenmektedir [SAĞLANAN BELGELERDE KAYNAK BULUNAMADI: MEB haftalık ders çizelgesi ve seçmeli ders listesi; bu bilgi sağlanan belgelerden birinde başka kaynaklardan aktarılarak geçtiği için o esere atıf yapılmamıştır]. Türkiye’de ahlak, dinî kaynaklarla da ilişkilendirilerek öğretilirken Çin kitabında aynı erdemler, yani anne babaya hürmet, büyüklere saygı, yardımlaşma ve dürüstlük, millî gelenek ve sosyalist değerler üzerinden temellendirilmektedir [SAĞLANAN BELGELERDE KAYNAK BULUNAMADI: Türkiye’deki Din Kültürü ve Ahlak Bilgisi öğretim programının ahlakı temellendirme biçimine ilişkin birincil kaynak]. Bu fark tarihî bir ayrışmanın da izini taşır: Adilijiang’a (2019, s. 67) göre Osmanlı İmparatorluğu sultanın halife sıfatını taşıdığı bir devlet, Qing İmparatorluğu ise laik bir krallık devletiydi ve bu fark iki ülkenin modernleşme yollarını da farklılaştırdı. Terzi (2024, s. 53) ise iki imparatorluğun da devletini güçlendirmek için savunmacı bir modernleşmeye giriştiğini, Çin’de Kendini Güçlendirme Hareketi’nin, Osmanlı’da Tanzimat reformlarının bu çabanın ifadesi olduğunu ve her iki toplumda eski kimlik ve değerlere güçlü bir bağlılığın modernleşmeye direnç doğurduğunu belirtir. Terzi’ye göre iki ülkede de amaç Batı’nın teknolojik ve bilimsel ilerlemelerini benimserken kültürel gelenekleri korumaktı ve Çin’de bu arayış “Çin özü, Batı kullanımı” (中体西用) söylemine yansımıştı (Terzi, 2024, s. 53). Bu arayışın iki ülkenin bugünkü değerler eğitiminde de farklı biçimlerde sürdüğü düşünülebilir.</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Bununla birlikte iki sistem arasında yapısal benzerlikler de vardır. Kişi (2021, s. 3), Çin’in 20. yüzyılda yaşadığı dönüşümün özü itibarıyla Cumhuriyet Türkiyesi’nin dönüşümüne benzediğini, ancak Çin örneğinde bu sürecin sosyalizm ekseninde ilerlediğini belirtir. Hsu (2024, s. 117) da Türkiye’de modernleşme ve laikleşmeyle iç içe geçen milliyetçiliğin bayrak, marş ve zafer anlatıları gibi sembollerle yeni bir din işlevi görmesinin hedeflendiğini ileri sürer. Klasik özdeyişlerle değer aktarımı, örnek şahsiyet pedagojisi, millî birlik ve vatan sevgisinin ahlaki bir ödev olarak sunulması iki ülkenin değerler eğitiminde ortak temas noktalarıdır; Işık’ın (2023, s. 102) Nasrettin Hoca ve Afanti fıkralarının değerler eğitiminde etkili bir araç olduğu tespiti, iki kültürün ortak halk mirasının da karşılaştırmalı değerler eğitimine imkân verdiğini göstermektedir. Ne var ki Tanrısevdi ve Kıral’ın ([YIL GÖRÜLEMEDİ], s. 238) uyardığı gibi, bir başka ülkenin eğitim sistemini kopyalamaya yönelen öneriler hatalı bir girişimdir ve ülkelerin kültürel ve toplumsal farklılıkları dikkate alınmadan yapılan karşılaştırmalar sağlıklı sonuç vermez.</w:t>
      </w:r>
    </w:p>
    <w:p>
      <w:pPr>
        <w:spacing w:after="120" w:before="120" w:line="360"/>
        <w:jc w:val="left"/>
      </w:pPr>
      <w:r>
        <w:rPr>
          <w:rFonts w:ascii="Times New Roman" w:cs="Times New Roman" w:eastAsia="Times New Roman" w:hAnsi="Times New Roman"/>
          <w:b/>
          <w:bCs/>
          <w:i w:val="false"/>
          <w:iCs w:val="false"/>
          <w:sz w:val="24"/>
          <w:szCs w:val="24"/>
        </w:rPr>
        <w:t xml:space="preserve">Sonuç ve Öneriler</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Bu çalışma, Çin’de zorunlu eğitimin son yılında okutulan Ahlak ve Hukuk kitabının ahlakı tarih, millet, Parti ve seçilerek devralınmış gelenek üzerine kurduğunu; aşkın bir dayanağa başvurmadığını; dine yalnızca eşitlik, güvenlik ve kültürel miras bağlamlarında yer verdiğini; buna karşılık inanç, kutsallık, ruh ve kader gibi dinî kavramları seküler ve siyasi nesnelere yönelttiğini göstermiştir. Kitapta Konfüçyüsçü özdeyişler, çoğu zaman kaynağı belirtilmeden, ahlaki ve siyasi vecizeler olarak sıkça kullanılmakta, ancak kozmolojik ve ritüel boyutlarından arındırılmaktadır. Hayatın anlamı, mutluluk, ölüm ve ideal gibi din eğitiminin merkezindeki sorular kitapta yer almakta, fakat bu sorulara verilen cevaplar emek, hizmet ve millî diriliş ufkunda kalmaktadır.</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Bu bulgulardan hareketle şu öneriler sunulabilir: (1) Ahlak ve Hukuk serisinin 7. ve 8. sınıf kitaplarının da aynı kategorilerle incelenmesi, serinin bütününde ahlakın temellendirilmesinin nasıl değiştiğini gösterebilir. (2) Kitabın sınıfta nasıl öğretildiği ve öğrencilerin bu ahlak dilini nasıl içselleştirdiği, öğretmen ve öğrencilerle yapılacak saha çalışmalarıyla araştırılmalıdır. (3) Türkiye’deki Din Kültürü ve Ahlak Bilgisi ile Çin’deki Ahlak ve Hukuk kitaplarının aynı değerler üzerinden karşılaştırmalı içerik analizi, seküler ve dinî temellendirme biçimlerinin değerler eğitimine etkisini görünür kılabilir. (4) Çin’deki dinî azınlıkların okul dışı din eğitimi kurumları ile resmî ahlak eğitimi arasındaki ilişki ayrıca incelenmelidir.</w:t>
      </w:r>
    </w:p>
    <w:p>
      <w:r>
        <w:br w:type="page"/>
      </w:r>
    </w:p>
    <w:p>
      <w:pPr>
        <w:spacing w:after="120" w:before="240" w:line="360"/>
        <w:jc w:val="center"/>
      </w:pPr>
      <w:r>
        <w:rPr>
          <w:rFonts w:ascii="Times New Roman" w:cs="Times New Roman" w:eastAsia="Times New Roman" w:hAnsi="Times New Roman"/>
          <w:b/>
          <w:bCs/>
          <w:i w:val="false"/>
          <w:iCs w:val="false"/>
          <w:sz w:val="24"/>
          <w:szCs w:val="24"/>
        </w:rPr>
        <w:t xml:space="preserve">Kaynakça</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Adilijiang, A. [YAZAR ADININ HANGİ ÖĞESİNİN SOYADI OLDUĞU BELGEDE GÖRÜLEMEDİ; KAPAKTA “AIERKEN ADILIJIANG”]. (2019). </w:t>
      </w:r>
      <w:r>
        <w:rPr>
          <w:rFonts w:ascii="Times New Roman" w:cs="Times New Roman" w:eastAsia="Times New Roman" w:hAnsi="Times New Roman"/>
          <w:i/>
          <w:iCs/>
          <w:sz w:val="24"/>
          <w:szCs w:val="24"/>
        </w:rPr>
        <w:t xml:space="preserve">1908 Jön Türk Devrimi ile 1911 Çin Devriminin karşılıklı analizi</w:t>
      </w:r>
      <w:r>
        <w:rPr>
          <w:rFonts w:ascii="Times New Roman" w:cs="Times New Roman" w:eastAsia="Times New Roman" w:hAnsi="Times New Roman"/>
          <w:i w:val="false"/>
          <w:iCs w:val="false"/>
          <w:sz w:val="24"/>
          <w:szCs w:val="24"/>
        </w:rPr>
        <w:t xml:space="preserve"> [Yayımlanmamış yüksek lisans tezi]. Fatih Sultan Mehmet Vakıf Üniversitesi. [VERİ TABANI / TEZ NO GÖRÜLEMEDİ]</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Aimaiti, M. (2023). </w:t>
      </w:r>
      <w:r>
        <w:rPr>
          <w:rFonts w:ascii="Times New Roman" w:cs="Times New Roman" w:eastAsia="Times New Roman" w:hAnsi="Times New Roman"/>
          <w:i/>
          <w:iCs/>
          <w:sz w:val="24"/>
          <w:szCs w:val="24"/>
        </w:rPr>
        <w:t xml:space="preserve">Türkiye, Çin ve Rusya eğitim sistemlerinin karşılaştırmalı olarak incelenmesi</w:t>
      </w:r>
      <w:r>
        <w:rPr>
          <w:rFonts w:ascii="Times New Roman" w:cs="Times New Roman" w:eastAsia="Times New Roman" w:hAnsi="Times New Roman"/>
          <w:i w:val="false"/>
          <w:iCs w:val="false"/>
          <w:sz w:val="24"/>
          <w:szCs w:val="24"/>
        </w:rPr>
        <w:t xml:space="preserve"> [Yayımlanmamış yüksek lisans tezi]. Fatih Sultan Mehmet Vakıf Üniversitesi. [VERİ TABANI / TEZ NO GÖRÜLEMEDİ]</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Ametbek, N. (2023). </w:t>
      </w:r>
      <w:r>
        <w:rPr>
          <w:rFonts w:ascii="Times New Roman" w:cs="Times New Roman" w:eastAsia="Times New Roman" w:hAnsi="Times New Roman"/>
          <w:i/>
          <w:iCs/>
          <w:sz w:val="24"/>
          <w:szCs w:val="24"/>
        </w:rPr>
        <w:t xml:space="preserve">Çin ulusal kimliği’nin dış politikaya yansıması: Kuşak-Yol Girişimi örneği</w:t>
      </w:r>
      <w:r>
        <w:rPr>
          <w:rFonts w:ascii="Times New Roman" w:cs="Times New Roman" w:eastAsia="Times New Roman" w:hAnsi="Times New Roman"/>
          <w:i w:val="false"/>
          <w:iCs w:val="false"/>
          <w:sz w:val="24"/>
          <w:szCs w:val="24"/>
        </w:rPr>
        <w:t xml:space="preserve"> [Yayımlanmamış doktora tezi]. Ankara Üniversitesi. [VERİ TABANI / TEZ NO GÖRÜLEMEDİ]</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Aydın, A. T. (2024). Çin Halk Cumhuriyeti eğitim sisteminin değerlendirilmesi [Evaluation of the education system of the People’s Republic of China]. </w:t>
      </w:r>
      <w:r>
        <w:rPr>
          <w:rFonts w:ascii="Times New Roman" w:cs="Times New Roman" w:eastAsia="Times New Roman" w:hAnsi="Times New Roman"/>
          <w:i/>
          <w:iCs/>
          <w:sz w:val="24"/>
          <w:szCs w:val="24"/>
        </w:rPr>
        <w:t xml:space="preserve">Mersin Üniversitesi Eğitim Fakültesi Dergisi, 20</w:t>
      </w:r>
      <w:r>
        <w:rPr>
          <w:rFonts w:ascii="Times New Roman" w:cs="Times New Roman" w:eastAsia="Times New Roman" w:hAnsi="Times New Roman"/>
          <w:i w:val="false"/>
          <w:iCs w:val="false"/>
          <w:sz w:val="24"/>
          <w:szCs w:val="24"/>
        </w:rPr>
        <w:t xml:space="preserve">(2), 325–346. https://doi.org/10.17860/mersinefd.1504941</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Aydın, C. (2022). </w:t>
      </w:r>
      <w:r>
        <w:rPr>
          <w:rFonts w:ascii="Times New Roman" w:cs="Times New Roman" w:eastAsia="Times New Roman" w:hAnsi="Times New Roman"/>
          <w:i/>
          <w:iCs/>
          <w:sz w:val="24"/>
          <w:szCs w:val="24"/>
        </w:rPr>
        <w:t xml:space="preserve">Kadim Çin düşüncesinde ahlak</w:t>
      </w:r>
      <w:r>
        <w:rPr>
          <w:rFonts w:ascii="Times New Roman" w:cs="Times New Roman" w:eastAsia="Times New Roman" w:hAnsi="Times New Roman"/>
          <w:i w:val="false"/>
          <w:iCs w:val="false"/>
          <w:sz w:val="24"/>
          <w:szCs w:val="24"/>
        </w:rPr>
        <w:t xml:space="preserve"> [Yayımlanmamış yüksek lisans tezi]. Ankara Yıldırım Beyazıt Üniversitesi. [VERİ TABANI / TEZ NO GÖRÜLEMEDİ]</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Coşkun, B., &amp; Çelikten, M. (2020). Çin Halk Cumhuriyeti eğitim sistemi. </w:t>
      </w:r>
      <w:r>
        <w:rPr>
          <w:rFonts w:ascii="Times New Roman" w:cs="Times New Roman" w:eastAsia="Times New Roman" w:hAnsi="Times New Roman"/>
          <w:i/>
          <w:iCs/>
          <w:sz w:val="24"/>
          <w:szCs w:val="24"/>
        </w:rPr>
        <w:t xml:space="preserve">OPUS Uluslararası Toplum Araştırmaları Dergisi, 15</w:t>
      </w:r>
      <w:r>
        <w:rPr>
          <w:rFonts w:ascii="Times New Roman" w:cs="Times New Roman" w:eastAsia="Times New Roman" w:hAnsi="Times New Roman"/>
          <w:i w:val="false"/>
          <w:iCs w:val="false"/>
          <w:sz w:val="24"/>
          <w:szCs w:val="24"/>
        </w:rPr>
        <w:t xml:space="preserve">(24), 2982–3011. https://doi.org/10.26466/opus.669104</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Ergül, Y. (2025). </w:t>
      </w:r>
      <w:r>
        <w:rPr>
          <w:rFonts w:ascii="Times New Roman" w:cs="Times New Roman" w:eastAsia="Times New Roman" w:hAnsi="Times New Roman"/>
          <w:i/>
          <w:iCs/>
          <w:sz w:val="24"/>
          <w:szCs w:val="24"/>
        </w:rPr>
        <w:t xml:space="preserve">Çin’in küresel güç söylemi: Çin Rüyası</w:t>
      </w:r>
      <w:r>
        <w:rPr>
          <w:rFonts w:ascii="Times New Roman" w:cs="Times New Roman" w:eastAsia="Times New Roman" w:hAnsi="Times New Roman"/>
          <w:i w:val="false"/>
          <w:iCs w:val="false"/>
          <w:sz w:val="24"/>
          <w:szCs w:val="24"/>
        </w:rPr>
        <w:t xml:space="preserve"> [Yayımlanmamış yüksek lisans tezi]. Nevşehir Hacı Bektaş Veli Üniversitesi. [VERİ TABANI / TEZ NO GÖRÜLEMEDİ]</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Gökenç Gülez, S. (2023). Modern Çin eğitim sisteminde geleneksel izler: Konfuçyüsçü eğitimin yeniden canlanması. </w:t>
      </w:r>
      <w:r>
        <w:rPr>
          <w:rFonts w:ascii="Times New Roman" w:cs="Times New Roman" w:eastAsia="Times New Roman" w:hAnsi="Times New Roman"/>
          <w:i/>
          <w:iCs/>
          <w:sz w:val="24"/>
          <w:szCs w:val="24"/>
        </w:rPr>
        <w:t xml:space="preserve">Çukurova Üniversitesi Sosyal Bilimler Enstitüsü Dergisi, 32</w:t>
      </w:r>
      <w:r>
        <w:rPr>
          <w:rFonts w:ascii="Times New Roman" w:cs="Times New Roman" w:eastAsia="Times New Roman" w:hAnsi="Times New Roman"/>
          <w:i w:val="false"/>
          <w:iCs w:val="false"/>
          <w:sz w:val="24"/>
          <w:szCs w:val="24"/>
        </w:rPr>
        <w:t xml:space="preserve">(1), 313–327. https://doi.org/10.35379/cusosbil.1259073</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Hsu, T.-Y. (2024). </w:t>
      </w:r>
      <w:r>
        <w:rPr>
          <w:rFonts w:ascii="Times New Roman" w:cs="Times New Roman" w:eastAsia="Times New Roman" w:hAnsi="Times New Roman"/>
          <w:i/>
          <w:iCs/>
          <w:sz w:val="24"/>
          <w:szCs w:val="24"/>
        </w:rPr>
        <w:t xml:space="preserve">Identity disassociation from historically embedded culture and identity: A comparison between de-Chineselized Taiwanese identity and de-Islamized Turkish identity</w:t>
      </w:r>
      <w:r>
        <w:rPr>
          <w:rFonts w:ascii="Times New Roman" w:cs="Times New Roman" w:eastAsia="Times New Roman" w:hAnsi="Times New Roman"/>
          <w:i w:val="false"/>
          <w:iCs w:val="false"/>
          <w:sz w:val="24"/>
          <w:szCs w:val="24"/>
        </w:rPr>
        <w:t xml:space="preserve"> [Yayımlanmamış doktora tezi]. Middle East Technical University. [VERİ TABANI / TEZ NO GÖRÜLEMEDİ]</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Işık, S. (2023). </w:t>
      </w:r>
      <w:r>
        <w:rPr>
          <w:rFonts w:ascii="Times New Roman" w:cs="Times New Roman" w:eastAsia="Times New Roman" w:hAnsi="Times New Roman"/>
          <w:i/>
          <w:iCs/>
          <w:sz w:val="24"/>
          <w:szCs w:val="24"/>
        </w:rPr>
        <w:t xml:space="preserve">Değerler eğitimi açısından Nasrettin Hoca ve Afanti fıkraları: Türk ve Çin kültürü karşılaştırması</w:t>
      </w:r>
      <w:r>
        <w:rPr>
          <w:rFonts w:ascii="Times New Roman" w:cs="Times New Roman" w:eastAsia="Times New Roman" w:hAnsi="Times New Roman"/>
          <w:i w:val="false"/>
          <w:iCs w:val="false"/>
          <w:sz w:val="24"/>
          <w:szCs w:val="24"/>
        </w:rPr>
        <w:t xml:space="preserve"> [Yayımlanmamış yüksek lisans tezi]. Erciyes Üniversitesi. [VERİ TABANI / TEZ NO GÖRÜLEMEDİ]</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Jiaoyubu [教育部; Çin Halk Cumhuriyeti Eğitim Bakanlığı]. (2018). </w:t>
      </w:r>
      <w:r>
        <w:rPr>
          <w:rFonts w:ascii="Times New Roman" w:cs="Times New Roman" w:eastAsia="Times New Roman" w:hAnsi="Times New Roman"/>
          <w:i/>
          <w:iCs/>
          <w:sz w:val="24"/>
          <w:szCs w:val="24"/>
        </w:rPr>
        <w:t xml:space="preserve">义务教育教科书：道德与法治 九年级 下册</w:t>
      </w:r>
      <w:r>
        <w:rPr>
          <w:rFonts w:ascii="Times New Roman" w:cs="Times New Roman" w:eastAsia="Times New Roman" w:hAnsi="Times New Roman"/>
          <w:i w:val="false"/>
          <w:iCs w:val="false"/>
          <w:sz w:val="24"/>
          <w:szCs w:val="24"/>
        </w:rPr>
        <w:t xml:space="preserve"> [Zorunlu eğitim ders kitabı: Ahlak ve hukuk, 9. sınıf alt cilt] (朱小蔓, Genel Ed.; 1. bs., 2022 tarihli 5. basım). 人民教育出版社 [People’s Education Press].</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Jiaoyubu [教育部; Çin Halk Cumhuriyeti Eğitim Bakanlığı]. (2021). </w:t>
      </w:r>
      <w:r>
        <w:rPr>
          <w:rFonts w:ascii="Times New Roman" w:cs="Times New Roman" w:eastAsia="Times New Roman" w:hAnsi="Times New Roman"/>
          <w:i/>
          <w:iCs/>
          <w:sz w:val="24"/>
          <w:szCs w:val="24"/>
        </w:rPr>
        <w:t xml:space="preserve">义务教育教科书：道德与法治 九年级 上册</w:t>
      </w:r>
      <w:r>
        <w:rPr>
          <w:rFonts w:ascii="Times New Roman" w:cs="Times New Roman" w:eastAsia="Times New Roman" w:hAnsi="Times New Roman"/>
          <w:i w:val="false"/>
          <w:iCs w:val="false"/>
          <w:sz w:val="24"/>
          <w:szCs w:val="24"/>
        </w:rPr>
        <w:t xml:space="preserve"> [Zorunlu eğitim ders kitabı: Ahlak ve hukuk, 9. sınıf üst cilt] (朱小蔓, Genel Ed.; 2. bs.). 人民教育出版社 [People’s Education Press].</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Karacadagli, I. [伊波]. (2019). </w:t>
      </w:r>
      <w:r>
        <w:rPr>
          <w:rFonts w:ascii="Times New Roman" w:cs="Times New Roman" w:eastAsia="Times New Roman" w:hAnsi="Times New Roman"/>
          <w:i/>
          <w:iCs/>
          <w:sz w:val="24"/>
          <w:szCs w:val="24"/>
        </w:rPr>
        <w:t xml:space="preserve">中国回民与土耳其穆斯林的节日、习俗及礼仪文化比较</w:t>
      </w:r>
      <w:r>
        <w:rPr>
          <w:rFonts w:ascii="Times New Roman" w:cs="Times New Roman" w:eastAsia="Times New Roman" w:hAnsi="Times New Roman"/>
          <w:i w:val="false"/>
          <w:iCs w:val="false"/>
          <w:sz w:val="24"/>
          <w:szCs w:val="24"/>
        </w:rPr>
        <w:t xml:space="preserve"> [A comparative study on Chinese Hui Muslims and Turkish Muslims] [Yayımlanmamış yüksek lisans tezi]. 北京语言大学 [Beijing Language and Culture University].</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Kişi, E. (2021). </w:t>
      </w:r>
      <w:r>
        <w:rPr>
          <w:rFonts w:ascii="Times New Roman" w:cs="Times New Roman" w:eastAsia="Times New Roman" w:hAnsi="Times New Roman"/>
          <w:i/>
          <w:iCs/>
          <w:sz w:val="24"/>
          <w:szCs w:val="24"/>
        </w:rPr>
        <w:t xml:space="preserve">Çin milliyetçiliğinin sosyalizm ekseninde yükselişi</w:t>
      </w:r>
      <w:r>
        <w:rPr>
          <w:rFonts w:ascii="Times New Roman" w:cs="Times New Roman" w:eastAsia="Times New Roman" w:hAnsi="Times New Roman"/>
          <w:i w:val="false"/>
          <w:iCs w:val="false"/>
          <w:sz w:val="24"/>
          <w:szCs w:val="24"/>
        </w:rPr>
        <w:t xml:space="preserve"> [Yayımlanmamış doktora tezi]. Kırıkkale Üniversitesi. [VERİ TABANI / TEZ NO GÖRÜLEMEDİ]</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Ma, Z. (2019). </w:t>
      </w:r>
      <w:r>
        <w:rPr>
          <w:rFonts w:ascii="Times New Roman" w:cs="Times New Roman" w:eastAsia="Times New Roman" w:hAnsi="Times New Roman"/>
          <w:i/>
          <w:iCs/>
          <w:sz w:val="24"/>
          <w:szCs w:val="24"/>
        </w:rPr>
        <w:t xml:space="preserve">Çin’de İslam’ı yeniden canlandırma çabaları (Ming ve Qing dönemleri 1368-1912)</w:t>
      </w:r>
      <w:r>
        <w:rPr>
          <w:rFonts w:ascii="Times New Roman" w:cs="Times New Roman" w:eastAsia="Times New Roman" w:hAnsi="Times New Roman"/>
          <w:i w:val="false"/>
          <w:iCs w:val="false"/>
          <w:sz w:val="24"/>
          <w:szCs w:val="24"/>
        </w:rPr>
        <w:t xml:space="preserve"> [Yayımlanmamış yüksek lisans tezi]. Necmettin Erbakan Üniversitesi. [VERİ TABANI / TEZ NO GÖRÜLEMEDİ]</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Peters, M. A. (2017). The Chinese Dream: Xi Jinping thought on Socialism with Chinese characteristics for a new era [Editorial]. </w:t>
      </w:r>
      <w:r>
        <w:rPr>
          <w:rFonts w:ascii="Times New Roman" w:cs="Times New Roman" w:eastAsia="Times New Roman" w:hAnsi="Times New Roman"/>
          <w:i/>
          <w:iCs/>
          <w:sz w:val="24"/>
          <w:szCs w:val="24"/>
        </w:rPr>
        <w:t xml:space="preserve">Educational Philosophy and Theory, 49</w:t>
      </w:r>
      <w:r>
        <w:rPr>
          <w:rFonts w:ascii="Times New Roman" w:cs="Times New Roman" w:eastAsia="Times New Roman" w:hAnsi="Times New Roman"/>
          <w:i w:val="false"/>
          <w:iCs w:val="false"/>
          <w:sz w:val="24"/>
          <w:szCs w:val="24"/>
        </w:rPr>
        <w:t xml:space="preserve">(14), 1299–1304. https://doi.org/10.1080/00131857.2017.1407578</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Şevik, A. E. (2022). </w:t>
      </w:r>
      <w:r>
        <w:rPr>
          <w:rFonts w:ascii="Times New Roman" w:cs="Times New Roman" w:eastAsia="Times New Roman" w:hAnsi="Times New Roman"/>
          <w:i/>
          <w:iCs/>
          <w:sz w:val="24"/>
          <w:szCs w:val="24"/>
        </w:rPr>
        <w:t xml:space="preserve">Çin toplumu ve Konfüçyüsün ruhu: Devlet ve toplum etkileşiminin psikoantropolojik ve tarihsel kökenleri üzerine bir inceleme</w:t>
      </w:r>
      <w:r>
        <w:rPr>
          <w:rFonts w:ascii="Times New Roman" w:cs="Times New Roman" w:eastAsia="Times New Roman" w:hAnsi="Times New Roman"/>
          <w:i w:val="false"/>
          <w:iCs w:val="false"/>
          <w:sz w:val="24"/>
          <w:szCs w:val="24"/>
        </w:rPr>
        <w:t xml:space="preserve"> [Yayımlanmamış yüksek lisans tezi]. Kapadokya Üniversitesi. [VERİ TABANI / TEZ NO GÖRÜLEMEDİ]</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Tanrısevdi, F., &amp; Kıral, B. ([YIL GÖRÜLEMEDİ; BELGEDE YALNIZCA GÖNDERİM 11 ARALIK 2018 VE KABUL 27 ARALIK 2018 TARİHLERİ GÖRÜLÜYOR]). Çin ve Türk eğitim sistemlerinin karşılaştırılması. </w:t>
      </w:r>
      <w:r>
        <w:rPr>
          <w:rFonts w:ascii="Times New Roman" w:cs="Times New Roman" w:eastAsia="Times New Roman" w:hAnsi="Times New Roman"/>
          <w:i/>
          <w:iCs/>
          <w:sz w:val="24"/>
          <w:szCs w:val="24"/>
        </w:rPr>
        <w:t xml:space="preserve">Çağdaş Yönetim Bilimleri Dergisi, 5</w:t>
      </w:r>
      <w:r>
        <w:rPr>
          <w:rFonts w:ascii="Times New Roman" w:cs="Times New Roman" w:eastAsia="Times New Roman" w:hAnsi="Times New Roman"/>
          <w:i w:val="false"/>
          <w:iCs w:val="false"/>
          <w:sz w:val="24"/>
          <w:szCs w:val="24"/>
        </w:rPr>
        <w:t xml:space="preserve">(3), 223–240. [DOI GÖRÜLEMEDİ]</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Terzi, Z. N. (2024). </w:t>
      </w:r>
      <w:r>
        <w:rPr>
          <w:rFonts w:ascii="Times New Roman" w:cs="Times New Roman" w:eastAsia="Times New Roman" w:hAnsi="Times New Roman"/>
          <w:i/>
          <w:iCs/>
          <w:sz w:val="24"/>
          <w:szCs w:val="24"/>
        </w:rPr>
        <w:t xml:space="preserve">A comparison of Ottoman and Chinese students sent abroad for modern education</w:t>
      </w:r>
      <w:r>
        <w:rPr>
          <w:rFonts w:ascii="Times New Roman" w:cs="Times New Roman" w:eastAsia="Times New Roman" w:hAnsi="Times New Roman"/>
          <w:i w:val="false"/>
          <w:iCs w:val="false"/>
          <w:sz w:val="24"/>
          <w:szCs w:val="24"/>
        </w:rPr>
        <w:t xml:space="preserve"> [Yayımlanmamış yüksek lisans tezi]. Ibn Haldun University. [VERİ TABANI GÖRÜLEMEDİ; BELGEDE “ULUSAL TEZ MERKEZİ REFERANS NO. 10676369” İBARESİ VAR]</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Tuncer, T. (2021). Doğu Türkistan’da Çin modeli eğitim sistemi. </w:t>
      </w:r>
      <w:r>
        <w:rPr>
          <w:rFonts w:ascii="Times New Roman" w:cs="Times New Roman" w:eastAsia="Times New Roman" w:hAnsi="Times New Roman"/>
          <w:i/>
          <w:iCs/>
          <w:sz w:val="24"/>
          <w:szCs w:val="24"/>
        </w:rPr>
        <w:t xml:space="preserve">Nevşehir Hacı Bektaş Veli Üniversitesi SBE Dergisi, 11</w:t>
      </w:r>
      <w:r>
        <w:rPr>
          <w:rFonts w:ascii="Times New Roman" w:cs="Times New Roman" w:eastAsia="Times New Roman" w:hAnsi="Times New Roman"/>
          <w:i w:val="false"/>
          <w:iCs w:val="false"/>
          <w:sz w:val="24"/>
          <w:szCs w:val="24"/>
        </w:rPr>
        <w:t xml:space="preserve">(4), 2262–2272 [BELGENİN ATIF SATIRINDA 2268–2278 YAZIYOR; SAYFA ALTLARINDAKİ NUMARALAR 2262–2272]. https://doi.org/10.30783/nevsosbilen.1028912</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Yeniacun, S. H. ([YIL GÖRÜLEMEDİ]). Yükselen güç Çin’in gençlik politikaları ve Çin gençliği üzerine bir değerlendirme. </w:t>
      </w:r>
      <w:r>
        <w:rPr>
          <w:rFonts w:ascii="Times New Roman" w:cs="Times New Roman" w:eastAsia="Times New Roman" w:hAnsi="Times New Roman"/>
          <w:i/>
          <w:iCs/>
          <w:sz w:val="24"/>
          <w:szCs w:val="24"/>
        </w:rPr>
        <w:t xml:space="preserve">Asya Araştırmaları Dergisi, 4</w:t>
      </w:r>
      <w:r>
        <w:rPr>
          <w:rFonts w:ascii="Times New Roman" w:cs="Times New Roman" w:eastAsia="Times New Roman" w:hAnsi="Times New Roman"/>
          <w:i w:val="false"/>
          <w:iCs w:val="false"/>
          <w:sz w:val="24"/>
          <w:szCs w:val="24"/>
        </w:rPr>
        <w:t xml:space="preserve">(2), 203–211. https://doi.org/10.34189/asyam.4.2.006</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Wang, C., &amp; Peters, M. A. (2023). Contemporary Chinese Marxism: Disciplines, teaching platforms and status quo of basic academic research. </w:t>
      </w:r>
      <w:r>
        <w:rPr>
          <w:rFonts w:ascii="Times New Roman" w:cs="Times New Roman" w:eastAsia="Times New Roman" w:hAnsi="Times New Roman"/>
          <w:i/>
          <w:iCs/>
          <w:sz w:val="24"/>
          <w:szCs w:val="24"/>
        </w:rPr>
        <w:t xml:space="preserve">Educational Philosophy and Theory, 55</w:t>
      </w:r>
      <w:r>
        <w:rPr>
          <w:rFonts w:ascii="Times New Roman" w:cs="Times New Roman" w:eastAsia="Times New Roman" w:hAnsi="Times New Roman"/>
          <w:i w:val="false"/>
          <w:iCs w:val="false"/>
          <w:sz w:val="24"/>
          <w:szCs w:val="24"/>
        </w:rPr>
        <w:t xml:space="preserve">(8), 877–887. https://doi.org/10.1080/00131857.2021.1929171</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Wang, C. (2023). Resurgence of Confucian education in contemporary China: Parental involvement, moral anxiety, and the pedagogy of memorisation. </w:t>
      </w:r>
      <w:r>
        <w:rPr>
          <w:rFonts w:ascii="Times New Roman" w:cs="Times New Roman" w:eastAsia="Times New Roman" w:hAnsi="Times New Roman"/>
          <w:i/>
          <w:iCs/>
          <w:sz w:val="24"/>
          <w:szCs w:val="24"/>
        </w:rPr>
        <w:t xml:space="preserve">Journal of Moral Education, 52</w:t>
      </w:r>
      <w:r>
        <w:rPr>
          <w:rFonts w:ascii="Times New Roman" w:cs="Times New Roman" w:eastAsia="Times New Roman" w:hAnsi="Times New Roman"/>
          <w:i w:val="false"/>
          <w:iCs w:val="false"/>
          <w:sz w:val="24"/>
          <w:szCs w:val="24"/>
        </w:rPr>
        <w:t xml:space="preserve">(3), 325–342. https://doi.org/10.1080/03057240.2022.2066639</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孙彩平 [Sun, C.]. (2019). 策略即理念 方法即内容——道德与法治课堂教学策略与方法的深度理解 [Strateji anlayıştır, yöntem içeriktir: Ahlak ve Hukuk dersinde öğretim strateji ve yöntemlerinin derinlemesine kavranışı]. </w:t>
      </w:r>
      <w:r>
        <w:rPr>
          <w:rFonts w:ascii="Times New Roman" w:cs="Times New Roman" w:eastAsia="Times New Roman" w:hAnsi="Times New Roman"/>
          <w:i/>
          <w:iCs/>
          <w:sz w:val="24"/>
          <w:szCs w:val="24"/>
        </w:rPr>
        <w:t xml:space="preserve">中国德育</w:t>
      </w:r>
      <w:r>
        <w:rPr>
          <w:rFonts w:ascii="Times New Roman" w:cs="Times New Roman" w:eastAsia="Times New Roman" w:hAnsi="Times New Roman"/>
          <w:i w:val="false"/>
          <w:iCs w:val="false"/>
          <w:sz w:val="24"/>
          <w:szCs w:val="24"/>
        </w:rPr>
        <w:t xml:space="preserve">, [CİLT GÖRÜLEMEDİ](03), [SAYFA ARALIĞI GÖRÜLEMEDİ].</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张娟凤 [Zhang, J.]. ([YIL GÖRÜLEMEDİ]). 初中道德与法治教学有效落实中华优秀传统文化教育的思考 [Ortaokul Ahlak ve Hukuk öğretiminde Çin’in üstün geleneksel kültürü eğitiminin etkili biçimde hayata geçirilmesi üzerine düşünceler]. </w:t>
      </w:r>
      <w:r>
        <w:rPr>
          <w:rFonts w:ascii="Times New Roman" w:cs="Times New Roman" w:eastAsia="Times New Roman" w:hAnsi="Times New Roman"/>
          <w:i/>
          <w:iCs/>
          <w:sz w:val="24"/>
          <w:szCs w:val="24"/>
        </w:rPr>
        <w:t xml:space="preserve">[DERGİ ADI GÖRÜLEMEDİ]</w:t>
      </w:r>
      <w:r>
        <w:rPr>
          <w:rFonts w:ascii="Times New Roman" w:cs="Times New Roman" w:eastAsia="Times New Roman" w:hAnsi="Times New Roman"/>
          <w:i w:val="false"/>
          <w:iCs w:val="false"/>
          <w:sz w:val="24"/>
          <w:szCs w:val="24"/>
        </w:rPr>
        <w:t xml:space="preserve">, [CİLT VE SAYI GÖRÜLEMEDİ], 217–219, 195.</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李晓东 [Li, X.], &amp; 李楠 [Li, N.]. (2022). 义务教育道德与法治课程的新要求及教学应对——以统编教材《道德与法治》（八年级上册）为例 [New requirements and teaching countermeasures of moral and legal course in compulsory education: Take the unified textbook Moral and Legal Course (Volume 1 of Grade 8) as an example]. </w:t>
      </w:r>
      <w:r>
        <w:rPr>
          <w:rFonts w:ascii="Times New Roman" w:cs="Times New Roman" w:eastAsia="Times New Roman" w:hAnsi="Times New Roman"/>
          <w:i/>
          <w:iCs/>
          <w:sz w:val="24"/>
          <w:szCs w:val="24"/>
        </w:rPr>
        <w:t xml:space="preserve">天津师范大学学报（基础教育版）, 23</w:t>
      </w:r>
      <w:r>
        <w:rPr>
          <w:rFonts w:ascii="Times New Roman" w:cs="Times New Roman" w:eastAsia="Times New Roman" w:hAnsi="Times New Roman"/>
          <w:i w:val="false"/>
          <w:iCs w:val="false"/>
          <w:sz w:val="24"/>
          <w:szCs w:val="24"/>
        </w:rPr>
        <w:t xml:space="preserve">(4), 7–13. https://doi.org/10.16826/j.cnki.1009-7228.2022.04.002</w:t>
      </w:r>
    </w:p>
    <w:p>
      <w:pPr>
        <w:spacing w:after="120" w:before="120" w:line="360"/>
        <w:ind w:left="720" w:hanging="720"/>
        <w:jc w:val="both"/>
      </w:pPr>
      <w:r>
        <w:rPr>
          <w:rFonts w:ascii="Times New Roman" w:cs="Times New Roman" w:eastAsia="Times New Roman" w:hAnsi="Times New Roman"/>
          <w:i w:val="false"/>
          <w:iCs w:val="false"/>
          <w:sz w:val="24"/>
          <w:szCs w:val="24"/>
        </w:rPr>
        <w:t xml:space="preserve">高德胜 [Gao, D.]. ([YIL GÖRÜLEMEDİ]). 论小学《道德与法治》教材的“叙事思维” [İlkokul Ahlak ve Hukuk ders kitaplarının “anlatı düşüncesi” üzerine]. </w:t>
      </w:r>
      <w:r>
        <w:rPr>
          <w:rFonts w:ascii="Times New Roman" w:cs="Times New Roman" w:eastAsia="Times New Roman" w:hAnsi="Times New Roman"/>
          <w:i/>
          <w:iCs/>
          <w:sz w:val="24"/>
          <w:szCs w:val="24"/>
        </w:rPr>
        <w:t xml:space="preserve">课程·教材·教法, 39</w:t>
      </w:r>
      <w:r>
        <w:rPr>
          <w:rFonts w:ascii="Times New Roman" w:cs="Times New Roman" w:eastAsia="Times New Roman" w:hAnsi="Times New Roman"/>
          <w:i w:val="false"/>
          <w:iCs w:val="false"/>
          <w:sz w:val="24"/>
          <w:szCs w:val="24"/>
        </w:rPr>
        <w:t xml:space="preserve">(6), [SAYFA ARALIĞI GÖRÜLEMEDİ].</w:t>
      </w:r>
    </w:p>
    <w:p>
      <w:r>
        <w:br w:type="page"/>
      </w:r>
    </w:p>
    <w:p>
      <w:pPr>
        <w:spacing w:after="120" w:before="360" w:line="360"/>
        <w:jc w:val="center"/>
      </w:pPr>
      <w:r>
        <w:rPr>
          <w:rFonts w:ascii="Times New Roman" w:cs="Times New Roman" w:eastAsia="Times New Roman" w:hAnsi="Times New Roman"/>
          <w:b/>
          <w:bCs/>
          <w:i w:val="false"/>
          <w:iCs w:val="false"/>
          <w:sz w:val="24"/>
          <w:szCs w:val="24"/>
        </w:rPr>
        <w:t xml:space="preserve">Moral and Legal Education in the Chinese Education System: A Content Analysis of Grade 9 Textbooks</w:t>
      </w:r>
    </w:p>
    <w:p>
      <w:pPr>
        <w:spacing w:after="120" w:before="240" w:line="360"/>
        <w:jc w:val="center"/>
      </w:pPr>
      <w:r>
        <w:rPr>
          <w:rFonts w:ascii="Times New Roman" w:cs="Times New Roman" w:eastAsia="Times New Roman" w:hAnsi="Times New Roman"/>
          <w:b/>
          <w:bCs/>
          <w:i w:val="false"/>
          <w:iCs w:val="false"/>
          <w:sz w:val="24"/>
          <w:szCs w:val="24"/>
        </w:rPr>
        <w:t xml:space="preserve">Extended Abstract</w:t>
      </w:r>
    </w:p>
    <w:p>
      <w:pPr>
        <w:spacing w:after="120" w:before="120" w:line="360"/>
        <w:jc w:val="left"/>
      </w:pPr>
      <w:r>
        <w:rPr>
          <w:rFonts w:ascii="Times New Roman" w:cs="Times New Roman" w:eastAsia="Times New Roman" w:hAnsi="Times New Roman"/>
          <w:b/>
          <w:bCs/>
          <w:i w:val="false"/>
          <w:iCs w:val="false"/>
          <w:sz w:val="24"/>
          <w:szCs w:val="24"/>
        </w:rPr>
        <w:t xml:space="preserve">Introduction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 comparative study of the Turkish, Chinese and Russian systems identifies the stage of compulsory education as one of their most important differences and notes that in China the nine years of compulsory education comprise six years of primary and three years of lower secondary schooling (Aimaiti, 2023, p. 97). Grade 9 is therefore both the final year of compulsory education and the year in which pupils prepare for the senior secondary entrance examination. The subject now known as Morality and Rule of Law (道德与法治) is of recent origin: from 2016 the earlier textbooks for moral and ideological education were renamed under this single title [SAĞLANAN BELGELERDE KAYNAK BULUNAMADI: the Ministry of Education notice 教基二厅函〔2016〕12号], and it has been stressed that placing the fostering of virtue and the ideological guidance of the subject at the head of the five principles of the 2022 curriculum standard shows the importance attached to them (Li &amp; Li, 2022, p. 8). Turkish scholarship has described the legal and ideological framework of Chinese education, including the socialist and secular principles enshrined in the 1995 Education Law (Coşkun &amp; Çelikten, 2020, p. 3004), and has also identified Xi Jinping’s reference to Confucius at an international symposium as a factor in the revival of the Confucian model of education (Gökenç Gülez, 2023, p. 325). Nevertheless, the documents available to this study contain no analysis of the content of the textbook itself, based on the original Chinese text and undertaken from the perspectives of values education and religious education. For a religious educator, the central question is how an officially secular and ideologically Marxist curriculum grounds morality. The study addresses four questions: which values the textbook teaches and on what it grounds them; how law and citizenship are presented; within which ideological framework moral instruction is placed; and in what ways religion, belief and tradition appear.</w:t>
      </w:r>
    </w:p>
    <w:p>
      <w:pPr>
        <w:spacing w:after="120" w:before="120" w:line="360"/>
        <w:jc w:val="left"/>
      </w:pPr>
      <w:r>
        <w:rPr>
          <w:rFonts w:ascii="Times New Roman" w:cs="Times New Roman" w:eastAsia="Times New Roman" w:hAnsi="Times New Roman"/>
          <w:b/>
          <w:bCs/>
          <w:i w:val="false"/>
          <w:iCs w:val="false"/>
          <w:sz w:val="24"/>
          <w:szCs w:val="24"/>
        </w:rPr>
        <w:t xml:space="preserve">Method</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study adopts a qualitative design based on document analysis and content analysis. The data source consists of the two volumes of the Grade 9 Morality and Rule of Law textbook compiled under the organisation of the Ministry of Education and published as the unified edition (统编版) by People’s Education Press: the first-semester volume (second edition, June 2021) and the second-semester volume (first edition, December 2018; fifth printing, January 2022). The first volume contains four units and eight lessons, and the second contains three units and seven lessons. Both volumes were read in full in their original Chinese. The analysis was organised around four categories derived from the research questions: values, law and citizenship, ideological framework, and religion, belief and tradition. Key terms such as 宗教 (religion), 信仰 (belief), 儒家 (Confucian school), 传统美德 (traditional virtues), 神圣 (sacred), 灵魂 (soul) and 命运 (destiny) were searched across the whole text and every occurrence was read in context. Term frequencies counted in the body text serve only as supporting indicators. All translations from Chinese are the researcher’s own.</w:t>
      </w:r>
    </w:p>
    <w:p>
      <w:pPr>
        <w:spacing w:after="120" w:before="120" w:line="360"/>
        <w:jc w:val="left"/>
      </w:pPr>
      <w:r>
        <w:rPr>
          <w:rFonts w:ascii="Times New Roman" w:cs="Times New Roman" w:eastAsia="Times New Roman" w:hAnsi="Times New Roman"/>
          <w:b/>
          <w:bCs/>
          <w:i w:val="false"/>
          <w:iCs w:val="false"/>
          <w:sz w:val="24"/>
          <w:szCs w:val="24"/>
        </w:rPr>
        <w:t xml:space="preserve">Findings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textbook assigns only a short main text to the transmission of information and devotes most of its pages to activity and information frames. The most frequent frame, “Explore and Share”, appears 68 times in the first volume and 70 times in the second. The activities appear open-ended, since pupils debate, comment in forums and weigh opposing speech bubbles, but in the activities examined the questions are often steered towards the conclusion already stated in the main text. When pupils are asked why one should obey the law, for instance, the options offered rest on avoiding trouble, fear, rule-following and freedom, and no transcendent justification appears among them.</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With regard to values, the first unit builds a historical narrative of five thousand years of civilisation, a century of suffering and national rejuvenation under the leadership of the Communist Party of China. The textbook states that “only socialism can save China” (Jiaoyubu, 2021, p. 5) and declares the core socialist values to be “the standard by which contemporary Chinese judge right and wrong” (Jiaoyubu, 2021, p. 71). It acknowledges that values such as kindness, integrity and honesty are common to humanity, yet, after stressing that values differ markedly across nations and eras, it presents China’s unique cultural tradition, historical destiny and national conditions as making adherence to Chinese values inevitable. Traditional virtues, including filial piety and respect for teachers, are described as the essence of Chinese culture and as a “cultural gene”. Patriotism is defined as the unity of loving the country, the Party and socialism (Jiaoyubu, 2021, p. 67).</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The second unit is devoted to democracy and the rule of law. Here the source of law is placed explicitly within the human realm through an unattributed classical maxim: law “neither descends from heaven nor springs from the earth; it arises among people and accords with the human heart” (Jiaoyubu, 2021, p. 55). Law and morality are presented as mutually reinforcing, and the Confucian notion of rule by virtue (德治) is joined to the discourse of the rule of law. Citizens are expected to make democratic ideas and the spirit of the rule of law their “conscious belief”, and to become “faithful venerators” of the rule of law.</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Ideological density is concentrated in the first volume. The Communist Party of China is named 31 times, Xi Jinping 18 times and the Chinese Dream 25 times. In the second volume the ideological vocabulary becomes diplomatic rather than doctrinal: “a community with a shared future for humanity” occurs nine times in the running text and also names a lesson, and China is presented as the country that champions the common values of all humankind.</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Religion is mentioned directly in only three places across the two volumes. It appears as an aspect of ethnic diversity within the principle of equality, as a security concern in the call to oppose terrorism carried out in the name of ethnicity and religion (Jiaoyubu, 2021, p. 98), and among the threats to peace as “religious conflicts”. The only belief tradition described in detail is the folk cult of Mazu, which is introduced, together with its temples, sacrifices and more than two hundred million adherents, as an important spiritual bond uniting Chinese at home and abroad, and pupils are asked what inspiration it offers for national reunification. Confucian sayings are quoted frequently, mostly without attribution, whereas the Analects, Mencius and the Book of Rites are named only a few times; their cosmological and ritual dimensions are left unexplained, and on the recommended reading list the Analects appear alongside the diary of the communist soldier Lei Feng. Religious vocabulary is redirected towards secular objects: culture is the “soul” of a nation, ethnic unity is a “sacred duty”, Taiwan is “sacred territory”, and the people’s “belief” gives the state its strength. In the final unit, the meaning of life is located in labour and service, the pupil’s destiny is tied to that of the nation, and the book closes with Liang Qichao’s words, which ascribe immortality to “young China” rather than to the individual.</w:t>
      </w:r>
    </w:p>
    <w:p>
      <w:pPr>
        <w:spacing w:after="120" w:before="120" w:line="360"/>
        <w:jc w:val="left"/>
      </w:pPr>
      <w:r>
        <w:rPr>
          <w:rFonts w:ascii="Times New Roman" w:cs="Times New Roman" w:eastAsia="Times New Roman" w:hAnsi="Times New Roman"/>
          <w:b/>
          <w:bCs/>
          <w:i w:val="false"/>
          <w:iCs w:val="false"/>
          <w:sz w:val="24"/>
          <w:szCs w:val="24"/>
        </w:rPr>
        <w:t xml:space="preserve">Discussion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findings show that the textbook grounds morality in a wholly immanent foundation made up of history, the nation, the Party, the constitution and a selectively inherited tradition. This accords with Turkish studies that describe the socialist and secular legal framework of Chinese education (Coşkun &amp; Çelikten, 2020, pp. 2987, 3004). The place of the Confucian heritage confirms the literature on its selective revival, in which Confucian teaching is reinterpreted so that its useful elements are emphasised and nothing conflicts with communist doctrine (Şevik, 2022, p. 64). The textbook, however, passes over the religious and cosmological dimensions of that tradition in silence.</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From the perspective of religious education, the most striking feature is the transfer of religious patterns of language to secular objects. Belief, sacredness, soul and the “right path” are directed towards the legal order, national unity and socialism with Chinese characteristics. Read alongside the observation that socialism became a body of spiritual values for the Chinese people (Kişi, 2021, p. 87) and the remark by Peters (2017, p. 1303) on the transcendental force of “chosenness” in the Chinese Dream narrative, this pattern may be interpreted, cautiously, as a form of secular sacralisation or an implicit theology. The textbook makes no theological claim and never refers to God, revelation or the afterlife. Instead, it hands over certain social functions of religion, such as conferring sacredness, demanding devotion, offering exemplary figures and drawing a horizon of salvation, to the nation, the Party and the idea of national rejuvenation. The silence surrounding the religious identities of minorities should be read in the same light.</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A comparison with Türkiye shows that the principal difference lies in the foundation of morality. Whereas religion and ethics are taught in Türkiye through Religious Culture and Ethics from Grade 4 onwards [SAĞLANAN BELGELERDE KAYNAK BULUNAMADI: MEB weekly timetable], the Chinese textbook grounds the same virtues, such as filial piety, respect for elders, mutual aid and honesty, in national tradition and socialist values. Both systems nonetheless share the transmission of values through classical maxims, exemplary figures, and the presentation of national unity and patriotism as moral duties. Any comparison, however, must avoid the error of copying another country’s education system (Tanrısevdi &amp; Kıral, [YIL GÖRÜLEMEDİ], p. 238).</w:t>
      </w:r>
    </w:p>
    <w:p>
      <w:pPr>
        <w:spacing w:after="120" w:before="120" w:line="360"/>
        <w:ind w:firstLine="284"/>
        <w:jc w:val="both"/>
      </w:pPr>
      <w:r>
        <w:rPr>
          <w:rFonts w:ascii="Times New Roman" w:cs="Times New Roman" w:eastAsia="Times New Roman" w:hAnsi="Times New Roman"/>
          <w:b w:val="false"/>
          <w:bCs w:val="false"/>
          <w:i w:val="false"/>
          <w:iCs w:val="false"/>
          <w:sz w:val="24"/>
          <w:szCs w:val="24"/>
        </w:rPr>
        <w:t xml:space="preserve">The study recommends extending the analysis to the Grade 7 and 8 textbooks of the series, investigating through fieldwork how teachers and pupils engage with this moral language, carrying out a comparative content analysis of the Turkish and Chinese textbooks on the same values, and examining the relationship between the out-of-school religious education of China’s religious minorities and official moral education.</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20"/>
          <w:szCs w:val="20"/>
        </w:rPr>
        <w:t xml:space="preserve">[GEREKİRSE YAZAR TARAFINDAN DOLDURULACAK: çalışmanın üretildiği tez, proje veya bildiri bilgisi. Dergi, yazar adlarının makale dosyasında yer almamasını istemektedir.]</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2026-10-29T10:44:46.581Z</dcterms:created>
  <dcterms:modified xsi:type="dcterms:W3CDTF">2026-10-29T10:44:46.582Z</dcterms:modified>
</cp:coreProperties>
</file>

<file path=docProps/custom.xml><?xml version="1.0" encoding="utf-8"?>
<Properties xmlns="http://schemas.openxmlformats.org/officeDocument/2006/custom-properties" xmlns:vt="http://schemas.openxmlformats.org/officeDocument/2006/docPropsVTypes"/>
</file>