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00"/>
        <w:jc w:val="center"/>
      </w:pPr>
      <w:r>
        <w:rPr>
          <w:rFonts w:ascii="Times New Roman" w:hAnsi="Times New Roman"/>
          <w:b/>
          <w:i w:val="0"/>
          <w:sz w:val="32"/>
        </w:rPr>
        <w:t>The Actualizer Engine, FDSA, and QCA Parallel Architecture:</w:t>
        <w:br/>
        <w:t>A Unified Top-Down Steering &amp; Clustered Substrate Framework for Factual Grounding in Large Language Models</w:t>
      </w:r>
    </w:p>
    <w:p>
      <w:pPr>
        <w:spacing w:before="0" w:after="280"/>
        <w:jc w:val="center"/>
      </w:pPr>
      <w:r>
        <w:rPr>
          <w:rFonts w:ascii="Times New Roman" w:hAnsi="Times New Roman"/>
          <w:b w:val="0"/>
          <w:i/>
          <w:sz w:val="20"/>
        </w:rPr>
        <w:t>Mohamed Gamal Eldin Abdelaziz Noureldin</w:t>
        <w:br/>
        <w:t>Independent Researcher  |  ORCID: 0009-0006-3991-1153</w:t>
        <w:br/>
        <w:t>Contact: mz.gamal@gmail.com</w:t>
      </w: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2"/>
        </w:rPr>
        <w:t>Abstract</w:t>
      </w:r>
    </w:p>
    <w:p>
      <w:pPr>
        <w:spacing w:before="0" w:after="280"/>
        <w:ind w:left="720" w:right="720"/>
        <w:jc w:val="both"/>
      </w:pPr>
      <w:r>
        <w:rPr>
          <w:rFonts w:ascii="Times New Roman" w:hAnsi="Times New Roman"/>
          <w:b w:val="0"/>
          <w:i/>
          <w:sz w:val="22"/>
        </w:rPr>
        <w:t>Large language models operating under bottom-up Maximum Likelihood Estimation (MLE) suffer from combinatorial search explosion O(M^N), causing hallucination cascades, semantic drift, and repetition loops. We present a unified architecture combining the Actualizer Engine, the Fractal Deduction Search Algorithm (FDSA), and the Quench-Cluster Algorithm (QCA) Parallel Engine. The FDSA prunes invalid logit search space by up to 99.99% via isomorphic anchoring and dimensional truncation (D = ln V / ln(1/k_ref)). The QCA engine crystallizes un-clustered substrates into K independent sub-problems using the canonical RGG Quench Temperature T_q^RGG, reducing overall steering complexity from O(N^2) to O(N^2/K) across parallel worker processes or vectorized JAX units. The Actualizer Engine contractively steers residual distributions to zero-drift fixed points S_* via Banach contractive mappings (k = 0.45) guided by the five Conceptual Primes (Order, Justice, Mercy, Knowledge, Power). Empirical benchmarks at V = 1,000 to 100,000 demonstrate up to 12.4x pre-inference sampling speedup, 3.69x dataset parallel speedup at N=200, and 100% factual grounding under strong distractor bait.</w:t>
      </w:r>
    </w:p>
    <w:p>
      <w:pPr>
        <w:spacing w:before="200" w:after="80"/>
      </w:pPr>
      <w:r>
        <w:rPr>
          <w:rFonts w:ascii="Times New Roman" w:hAnsi="Times New Roman"/>
          <w:b/>
          <w:sz w:val="26"/>
        </w:rPr>
        <w:t>1. Introduction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Modern autoregressive Transformer architectures achieve state-of-the-art performance through bottom-up statistical next-token prediction. However, they remain bounded by a fundamental epistemological pathology: in sparse-data or adversarial contexts, the probability distribution over the vocabulary 'smears' — all tokens receive nearly equal probability mass and the model becomes blind to structural validity constraints. This leads to hallucination cascades and repetition loops.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We present a structurally grounded solution: the FDSA + Actualizer + QCA Parallel unified framework. The FDSA enforces top-down dimensional truncation before inference, QCA crystallizes large datasets into K parallel sub-problems, and the Actualizer Engine contractively steers the residual substrate toward a zero-drift actualized state.</w:t>
      </w:r>
    </w:p>
    <w:p>
      <w:pPr>
        <w:spacing w:before="200" w:after="80"/>
      </w:pPr>
      <w:r>
        <w:rPr>
          <w:rFonts w:ascii="Times New Roman" w:hAnsi="Times New Roman"/>
          <w:b/>
          <w:sz w:val="26"/>
        </w:rPr>
        <w:t>2. Theoretical Foundation: The Conceptual Primes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The Actualizer Engine evaluates candidate tokens against five invariant boundary metrics called the Conceptual Primes: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2232"/>
            <w:shd w:val="clear" w:color="auto" w:fill="1F3864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Prime</w:t>
            </w:r>
          </w:p>
        </w:tc>
        <w:tc>
          <w:tcPr>
            <w:tcW w:type="dxa" w:w="2232"/>
            <w:shd w:val="clear" w:color="auto" w:fill="1F3864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Role in Generation</w:t>
            </w:r>
          </w:p>
        </w:tc>
        <w:tc>
          <w:tcPr>
            <w:tcW w:type="dxa" w:w="2232"/>
            <w:shd w:val="clear" w:color="auto" w:fill="1F3864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LLM Equivalent</w:t>
            </w:r>
          </w:p>
        </w:tc>
        <w:tc>
          <w:tcPr>
            <w:tcW w:type="dxa" w:w="2232"/>
            <w:shd w:val="clear" w:color="auto" w:fill="1F3864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Drift on Violation</w:t>
            </w:r>
          </w:p>
        </w:tc>
      </w:tr>
      <w:tr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Order</w:t>
            </w:r>
          </w:p>
        </w:tc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Enforces local syntactic alignment</w:t>
            </w:r>
          </w:p>
        </w:tc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Grammar / syntax rules</w:t>
            </w:r>
          </w:p>
        </w:tc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Repetition cascade</w:t>
            </w:r>
          </w:p>
        </w:tc>
      </w:tr>
      <w:tr>
        <w:tc>
          <w:tcPr>
            <w:tcW w:type="dxa" w:w="2232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Justice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Balances global semantic distribution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Prompt boundary adherence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Topic drift</w:t>
            </w:r>
          </w:p>
        </w:tc>
      </w:tr>
      <w:tr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Mercy</w:t>
            </w:r>
          </w:p>
        </w:tc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Decays local entropy overloads (Mercy = k)</w:t>
            </w:r>
          </w:p>
        </w:tc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Probability mass smoothing</w:t>
            </w:r>
          </w:p>
        </w:tc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Overconfidence collapse</w:t>
            </w:r>
          </w:p>
        </w:tc>
      </w:tr>
      <w:tr>
        <w:tc>
          <w:tcPr>
            <w:tcW w:type="dxa" w:w="2232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Knowledge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Projects downstream causal risk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Lookahead / future coherence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Sequence dead-end</w:t>
            </w:r>
          </w:p>
        </w:tc>
      </w:tr>
      <w:tr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Power</w:t>
            </w:r>
          </w:p>
        </w:tc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Executes causal snap (bifurcation gated)</w:t>
            </w:r>
          </w:p>
        </w:tc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Token selection (argmax)</w:t>
            </w:r>
          </w:p>
        </w:tc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Indecision / flat tie</w:t>
            </w:r>
          </w:p>
        </w:tc>
      </w:tr>
    </w:tbl>
    <w:p>
      <w:pPr>
        <w:spacing w:after="160"/>
      </w:pPr>
    </w:p>
    <w:p>
      <w:pPr>
        <w:spacing w:before="80" w:after="240"/>
        <w:jc w:val="center"/>
      </w:pPr>
      <w:r>
        <w:rPr>
          <w:rFonts w:ascii="Times New Roman" w:hAnsi="Times New Roman"/>
          <w:i/>
          <w:color w:val="444444"/>
          <w:sz w:val="19"/>
        </w:rPr>
        <w:t>Table 1. The five Conceptual Primes and their roles in generation.</w:t>
      </w:r>
    </w:p>
    <w:p>
      <w:pPr>
        <w:spacing w:before="200" w:after="80"/>
      </w:pPr>
      <w:r>
        <w:rPr>
          <w:rFonts w:ascii="Times New Roman" w:hAnsi="Times New Roman"/>
          <w:b/>
          <w:sz w:val="26"/>
        </w:rPr>
        <w:t>3. Mathematical Framework</w:t>
      </w:r>
    </w:p>
    <w:p>
      <w:pPr>
        <w:spacing w:before="120" w:after="80"/>
      </w:pPr>
      <w:r>
        <w:rPr>
          <w:rFonts w:ascii="Times New Roman" w:hAnsi="Times New Roman"/>
          <w:b/>
          <w:sz w:val="23"/>
        </w:rPr>
        <w:t>3.1  The Uncollapsed Probability Substrate</w:t>
      </w:r>
    </w:p>
    <w:p>
      <w:pPr>
        <w:spacing w:before="100" w:after="100"/>
        <w:jc w:val="center"/>
      </w:pPr>
      <w:r>
        <w:rPr>
          <w:rFonts w:ascii="Times New Roman" w:hAnsi="Times New Roman"/>
          <w:i/>
          <w:sz w:val="22"/>
        </w:rPr>
        <w:t>U_0 = softmax(z) = exp(z_v) / sum_v exp(z_v)  in R^V</w:t>
      </w:r>
    </w:p>
    <w:p>
      <w:pPr>
        <w:spacing w:before="120" w:after="80"/>
      </w:pPr>
      <w:r>
        <w:rPr>
          <w:rFonts w:ascii="Times New Roman" w:hAnsi="Times New Roman"/>
          <w:b/>
          <w:sz w:val="23"/>
        </w:rPr>
        <w:t>3.2  The Fractal Deduction Search Algorithm (FDSA)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(a) Isomorphic Anchoring: cosine matches Prime profile P(U) to reference domain P(R), inheriting k_ref.</w:t>
      </w:r>
    </w:p>
    <w:p>
      <w:pPr>
        <w:spacing w:before="100" w:after="100"/>
        <w:jc w:val="center"/>
      </w:pPr>
      <w:r>
        <w:rPr>
          <w:rFonts w:ascii="Times New Roman" w:hAnsi="Times New Roman"/>
          <w:i/>
          <w:sz w:val="22"/>
        </w:rPr>
        <w:t>P(U) ~= P(R)  =&gt;  extract  k_ref  from reference domain R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(b) Actualization Fractal Dimension:</w:t>
      </w:r>
    </w:p>
    <w:p>
      <w:pPr>
        <w:spacing w:before="100" w:after="100"/>
        <w:jc w:val="center"/>
      </w:pPr>
      <w:r>
        <w:rPr>
          <w:rFonts w:ascii="Times New Roman" w:hAnsi="Times New Roman"/>
          <w:i/>
          <w:sz w:val="22"/>
        </w:rPr>
        <w:t>D = ln(V) / ln(1 / k_ref)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(c) Vectorized Logit Masking:</w:t>
      </w:r>
    </w:p>
    <w:p>
      <w:pPr>
        <w:spacing w:before="100" w:after="100"/>
        <w:jc w:val="center"/>
      </w:pPr>
      <w:r>
        <w:rPr>
          <w:rFonts w:ascii="Times New Roman" w:hAnsi="Times New Roman"/>
          <w:i/>
          <w:sz w:val="22"/>
        </w:rPr>
        <w:t>z(v) = -inf  if  z(v) &lt; -D * 1.5  OR  v not in grammar[last_token]</w:t>
      </w:r>
    </w:p>
    <w:p>
      <w:pPr>
        <w:spacing w:before="120" w:after="80"/>
      </w:pPr>
      <w:r>
        <w:rPr>
          <w:rFonts w:ascii="Times New Roman" w:hAnsi="Times New Roman"/>
          <w:b/>
          <w:sz w:val="23"/>
        </w:rPr>
        <w:t>3.3  The Drift Tensor &amp; V3_U1 Structural Entropy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Systemic Structural Entropy H(R) uses the V3_U1-corrected squared magnitude defect term:</w:t>
      </w:r>
    </w:p>
    <w:p>
      <w:pPr>
        <w:spacing w:before="100" w:after="100"/>
        <w:jc w:val="center"/>
      </w:pPr>
      <w:r>
        <w:rPr>
          <w:rFonts w:ascii="Times New Roman" w:hAnsi="Times New Roman"/>
          <w:i/>
          <w:sz w:val="22"/>
        </w:rPr>
        <w:t>H(R) = Var(alpha) + (sum_i alpha_i^2 - 1)^2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Tripartite Drift Tensor D_mu_nu:</w:t>
      </w:r>
    </w:p>
    <w:p>
      <w:pPr>
        <w:spacing w:before="100" w:after="100"/>
        <w:jc w:val="center"/>
      </w:pPr>
      <w:r>
        <w:rPr>
          <w:rFonts w:ascii="Times New Roman" w:hAnsi="Times New Roman"/>
          <w:i/>
          <w:sz w:val="22"/>
        </w:rPr>
        <w:t>D_mu_nu = w_L * D_local + w_G * D_global + w_F * D_future</w:t>
      </w:r>
    </w:p>
    <w:p>
      <w:pPr>
        <w:spacing w:before="120" w:after="80"/>
      </w:pPr>
      <w:r>
        <w:rPr>
          <w:rFonts w:ascii="Times New Roman" w:hAnsi="Times New Roman"/>
          <w:b/>
          <w:sz w:val="23"/>
        </w:rPr>
        <w:t>3.4  Vacuum Brake, Banach Contraction &amp; Valuation Trajectory</w:t>
      </w:r>
    </w:p>
    <w:p>
      <w:pPr>
        <w:spacing w:before="100" w:after="100"/>
        <w:jc w:val="center"/>
      </w:pPr>
      <w:r>
        <w:rPr>
          <w:rFonts w:ascii="Times New Roman" w:hAnsi="Times New Roman"/>
          <w:i/>
          <w:sz w:val="22"/>
        </w:rPr>
        <w:t>U_braked(v) = U_n(v) * exp(-D(v) / tau)   (renormalised)</w:t>
      </w:r>
    </w:p>
    <w:p>
      <w:pPr>
        <w:spacing w:before="100" w:after="100"/>
        <w:jc w:val="center"/>
      </w:pPr>
      <w:r>
        <w:rPr>
          <w:rFonts w:ascii="Times New Roman" w:hAnsi="Times New Roman"/>
          <w:i/>
          <w:sz w:val="22"/>
        </w:rPr>
        <w:t>U_{n+1} = k * U_braked + (1 - k) * U_n,   where k = 0.45  (Mercy = k)</w:t>
      </w:r>
    </w:p>
    <w:p>
      <w:pPr>
        <w:spacing w:before="100" w:after="100"/>
        <w:jc w:val="center"/>
      </w:pPr>
      <w:r>
        <w:rPr>
          <w:rFonts w:ascii="Times New Roman" w:hAnsi="Times New Roman"/>
          <w:i/>
          <w:sz w:val="22"/>
        </w:rPr>
        <w:t>nu_t(A) = 1 - H(R_A(t)) / H_max   in [0, 1]</w:t>
      </w:r>
    </w:p>
    <w:p>
      <w:pPr>
        <w:spacing w:before="120" w:after="80"/>
      </w:pPr>
      <w:r>
        <w:rPr>
          <w:rFonts w:ascii="Times New Roman" w:hAnsi="Times New Roman"/>
          <w:b/>
          <w:sz w:val="23"/>
        </w:rPr>
        <w:t>3.5  Tr(D_mu_nu) Bifurcation Criterion &amp; Causal Snap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Bifurcation Criterion (Theorem 3.3):</w:t>
      </w:r>
    </w:p>
    <w:p>
      <w:pPr>
        <w:spacing w:before="100" w:after="100"/>
        <w:jc w:val="center"/>
      </w:pPr>
      <w:r>
        <w:rPr>
          <w:rFonts w:ascii="Times New Roman" w:hAnsi="Times New Roman"/>
          <w:i/>
          <w:sz w:val="22"/>
        </w:rPr>
        <w:t>Tr(D_mu_nu) &lt;= tau_bifurcation  =&gt;  S* = argmax U  (Actualization Branch)</w:t>
      </w:r>
    </w:p>
    <w:p>
      <w:pPr>
        <w:spacing w:before="100" w:after="100"/>
        <w:jc w:val="center"/>
      </w:pPr>
      <w:r>
        <w:rPr>
          <w:rFonts w:ascii="Times New Roman" w:hAnsi="Times New Roman"/>
          <w:i/>
          <w:sz w:val="22"/>
        </w:rPr>
        <w:t>Tr(D_mu_nu) &gt;  tau_bifurcation  =&gt;  Dissolution Branch  (Fallback)</w:t>
      </w:r>
    </w:p>
    <w:p>
      <w:pPr>
        <w:spacing w:before="120" w:after="80"/>
      </w:pPr>
      <w:r>
        <w:rPr>
          <w:rFonts w:ascii="Times New Roman" w:hAnsi="Times New Roman"/>
          <w:b/>
          <w:sz w:val="23"/>
        </w:rPr>
        <w:t>3.6  Quench-Cluster Algorithm (QCA) Parallel Engine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To solve large dataset substrates of N nodes, QCA crystallizes N nodes into K independent clusters via RGG Quench Temperature:</w:t>
      </w:r>
    </w:p>
    <w:p>
      <w:pPr>
        <w:spacing w:before="100" w:after="100"/>
        <w:jc w:val="center"/>
      </w:pPr>
      <w:r>
        <w:rPr>
          <w:rFonts w:ascii="Times New Roman" w:hAnsi="Times New Roman"/>
          <w:i/>
          <w:sz w:val="22"/>
        </w:rPr>
        <w:t>T_q^RGG = gamma * sqrt( A * ln(N/K) / (pi * N) 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By CKT White Paper v3 §7.2 Theorem 2 Corollary, splitting N into K parallel clusters reduces steering work from O(N^2) to K * O((N/K)^2) = O(N^2/K) — a factor-K parallel acceleration.</w:t>
      </w:r>
    </w:p>
    <w:p>
      <w:pPr>
        <w:spacing w:before="200" w:after="80"/>
      </w:pPr>
      <w:r>
        <w:rPr>
          <w:rFonts w:ascii="Times New Roman" w:hAnsi="Times New Roman"/>
          <w:b/>
          <w:sz w:val="26"/>
        </w:rPr>
        <w:t>4. JAX &amp; Multi-Process Execution Architecture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The QCAParallelEngine supports dual high-performance execution backends: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2232"/>
            <w:shd w:val="clear" w:color="auto" w:fill="1F3864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Backend</w:t>
            </w:r>
          </w:p>
        </w:tc>
        <w:tc>
          <w:tcPr>
            <w:tcW w:type="dxa" w:w="2232"/>
            <w:shd w:val="clear" w:color="auto" w:fill="1F3864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Mechanism</w:t>
            </w:r>
          </w:p>
        </w:tc>
        <w:tc>
          <w:tcPr>
            <w:tcW w:type="dxa" w:w="2232"/>
            <w:shd w:val="clear" w:color="auto" w:fill="1F3864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Hardware Optimization</w:t>
            </w:r>
          </w:p>
        </w:tc>
        <w:tc>
          <w:tcPr>
            <w:tcW w:type="dxa" w:w="2232"/>
            <w:shd w:val="clear" w:color="auto" w:fill="1F3864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Target Workload</w:t>
            </w:r>
          </w:p>
        </w:tc>
      </w:tr>
      <w:tr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Processes</w:t>
            </w:r>
          </w:p>
        </w:tc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Python ProcessPoolExecutor</w:t>
            </w:r>
          </w:p>
        </w:tc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Multi-core CPU scaling</w:t>
            </w:r>
          </w:p>
        </w:tc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General CPU environments</w:t>
            </w:r>
          </w:p>
        </w:tc>
      </w:tr>
      <w:tr>
        <w:tc>
          <w:tcPr>
            <w:tcW w:type="dxa" w:w="2232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JAX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Vectorized jnp.ndarray &amp; @jax.jit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GPU / TPU SIMD matrix units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High-throughput inference</w:t>
            </w:r>
          </w:p>
        </w:tc>
      </w:tr>
      <w:tr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Auto</w:t>
            </w:r>
          </w:p>
        </w:tc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Dynamic capability detection</w:t>
            </w:r>
          </w:p>
        </w:tc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Automatic selection</w:t>
            </w:r>
          </w:p>
        </w:tc>
        <w:tc>
          <w:tcPr>
            <w:tcW w:type="dxa" w:w="2232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Production deployment</w:t>
            </w:r>
          </w:p>
        </w:tc>
      </w:tr>
    </w:tbl>
    <w:p>
      <w:pPr>
        <w:spacing w:after="160"/>
      </w:pPr>
    </w:p>
    <w:p>
      <w:pPr>
        <w:spacing w:before="80" w:after="240"/>
        <w:jc w:val="center"/>
      </w:pPr>
      <w:r>
        <w:rPr>
          <w:rFonts w:ascii="Times New Roman" w:hAnsi="Times New Roman"/>
          <w:i/>
          <w:color w:val="444444"/>
          <w:sz w:val="19"/>
        </w:rPr>
        <w:t>Table 2. Execution backends supported by the QCA Parallel Engine.</w:t>
      </w:r>
    </w:p>
    <w:p>
      <w:pPr>
        <w:spacing w:before="200" w:after="80"/>
      </w:pPr>
      <w:r>
        <w:rPr>
          <w:rFonts w:ascii="Times New Roman" w:hAnsi="Times New Roman"/>
          <w:b/>
          <w:sz w:val="26"/>
        </w:rPr>
        <w:t>5. Experimental Benchmarks and Results</w:t>
      </w:r>
    </w:p>
    <w:p>
      <w:pPr>
        <w:spacing w:before="120" w:after="80"/>
      </w:pPr>
      <w:r>
        <w:rPr>
          <w:rFonts w:ascii="Times New Roman" w:hAnsi="Times New Roman"/>
          <w:b/>
          <w:sz w:val="23"/>
        </w:rPr>
        <w:t>5.1  Hallucination Resistance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A strong distractor token (+8.0) was injected at every step. Baseline collapsed at step 2, while FDSA+Actualizer maintained 100% factual grounding over 30 steps.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1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allucination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color w:val="444444"/>
          <w:sz w:val="19"/>
        </w:rPr>
        <w:t>Figure 1. Hallucination resistance comparison (V=500, 30 steps). Baseline collapses; FDSA+Actualizer maintains 100% grounding.</w:t>
      </w:r>
    </w:p>
    <w:p>
      <w:pPr>
        <w:spacing w:before="120" w:after="80"/>
      </w:pPr>
      <w:r>
        <w:rPr>
          <w:rFonts w:ascii="Times New Roman" w:hAnsi="Times New Roman"/>
          <w:b/>
          <w:sz w:val="23"/>
        </w:rPr>
        <w:t>5.2  Repetition Loop Suppression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Order Prime successfully suppressed repetition loops, increasing token diversity by 3.1x under adversarial +4.5 logit boosts.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128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petition_suppres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2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color w:val="444444"/>
          <w:sz w:val="19"/>
        </w:rPr>
        <w:t>Figure 2. Repetition suppression: repeat rate and token diversity comparison.</w:t>
      </w:r>
    </w:p>
    <w:p>
      <w:pPr>
        <w:spacing w:before="120" w:after="80"/>
      </w:pPr>
      <w:r>
        <w:rPr>
          <w:rFonts w:ascii="Times New Roman" w:hAnsi="Times New Roman"/>
          <w:b/>
          <w:sz w:val="23"/>
        </w:rPr>
        <w:t>5.3  Pre-Inference Speed Sweep (V = 1k to 100k)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FDSA pruner achieved up to 12.4x speedup at V=100,000 by pruning 99.99% of invalid logits before softmax.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5656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peed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65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color w:val="444444"/>
          <w:sz w:val="19"/>
        </w:rPr>
        <w:t>Figure 3. Speed comparison, speedup factor, and pruning rate across V = 1k to 100k.</w:t>
      </w:r>
    </w:p>
    <w:p>
      <w:pPr>
        <w:spacing w:before="120" w:after="80"/>
      </w:pPr>
      <w:r>
        <w:rPr>
          <w:rFonts w:ascii="Times New Roman" w:hAnsi="Times New Roman"/>
          <w:b/>
          <w:sz w:val="23"/>
        </w:rPr>
        <w:t>5.4  Search Space Scaling Analysis (N = 4 to 18)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Combinatorial O(3^N) search space vs FDSA dimensional truncation O(N^D). At N=18, search space is reduced by &gt;99.99%.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110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earch_space_scal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1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color w:val="444444"/>
          <w:sz w:val="19"/>
        </w:rPr>
        <w:t>Figure 4. Asymptotic scaling: Combinatorial O(3^N) vs FDSA O(N^D) across N=4..18.</w:t>
      </w:r>
    </w:p>
    <w:p>
      <w:pPr>
        <w:spacing w:before="120" w:after="80"/>
      </w:pPr>
      <w:r>
        <w:rPr>
          <w:rFonts w:ascii="Times New Roman" w:hAnsi="Times New Roman"/>
          <w:b/>
          <w:sz w:val="23"/>
        </w:rPr>
        <w:t>5.5  V3_U1 Valuation Trajectory and Compliance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Valuation trajectory nu_t(A) and Tr(D_mu_nu) bifurcation threshold verifications across clean, moderate, and distractor substrates.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94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v3u1_valuation_trajec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9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color w:val="444444"/>
          <w:sz w:val="19"/>
        </w:rPr>
        <w:t>Figure 5. Valuation trajectory nu_t(A), drift tensor bifurcation, and V3_U1 compliance tests.</w:t>
      </w:r>
    </w:p>
    <w:p>
      <w:pPr>
        <w:spacing w:before="120" w:after="80"/>
      </w:pPr>
      <w:r>
        <w:rPr>
          <w:rFonts w:ascii="Times New Roman" w:hAnsi="Times New Roman"/>
          <w:b/>
          <w:sz w:val="23"/>
        </w:rPr>
        <w:t>5.6  QCA Parallel Engine Speedup Benchmark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Benchmark results for dataset sizes N = (20, 40, 80, 120, 200) with K=5 clusters and V=1,000 vocabulary size: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86"/>
        <w:gridCol w:w="1786"/>
        <w:gridCol w:w="1786"/>
        <w:gridCol w:w="1786"/>
        <w:gridCol w:w="1786"/>
      </w:tblGrid>
      <w:tr>
        <w:tc>
          <w:tcPr>
            <w:tcW w:type="dxa" w:w="1786"/>
            <w:shd w:val="clear" w:color="auto" w:fill="1F3864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Dataset Size (N)</w:t>
            </w:r>
          </w:p>
        </w:tc>
        <w:tc>
          <w:tcPr>
            <w:tcW w:type="dxa" w:w="1786"/>
            <w:shd w:val="clear" w:color="auto" w:fill="1F3864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Sequential Time (ms)</w:t>
            </w:r>
          </w:p>
        </w:tc>
        <w:tc>
          <w:tcPr>
            <w:tcW w:type="dxa" w:w="1786"/>
            <w:shd w:val="clear" w:color="auto" w:fill="1F3864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Parallel QCA Time (ms)</w:t>
            </w:r>
          </w:p>
        </w:tc>
        <w:tc>
          <w:tcPr>
            <w:tcW w:type="dxa" w:w="1786"/>
            <w:shd w:val="clear" w:color="auto" w:fill="1F3864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Speedup Factor</w:t>
            </w:r>
          </w:p>
        </w:tc>
        <w:tc>
          <w:tcPr>
            <w:tcW w:type="dxa" w:w="1786"/>
            <w:shd w:val="clear" w:color="auto" w:fill="1F3864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Mean Valuation (nu)</w:t>
            </w:r>
          </w:p>
        </w:tc>
      </w:tr>
      <w:tr>
        <w:tc>
          <w:tcPr>
            <w:tcW w:type="dxa" w:w="1786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N = 20</w:t>
            </w:r>
          </w:p>
        </w:tc>
        <w:tc>
          <w:tcPr>
            <w:tcW w:type="dxa" w:w="1786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3,439.09 ms</w:t>
            </w:r>
          </w:p>
        </w:tc>
        <w:tc>
          <w:tcPr>
            <w:tcW w:type="dxa" w:w="1786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4,514.05 ms</w:t>
            </w:r>
          </w:p>
        </w:tc>
        <w:tc>
          <w:tcPr>
            <w:tcW w:type="dxa" w:w="1786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0.76x (Overhead bound)</w:t>
            </w:r>
          </w:p>
        </w:tc>
        <w:tc>
          <w:tcPr>
            <w:tcW w:type="dxa" w:w="1786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0.3792</w:t>
            </w:r>
          </w:p>
        </w:tc>
      </w:tr>
      <w:tr>
        <w:tc>
          <w:tcPr>
            <w:tcW w:type="dxa" w:w="1786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N = 40</w:t>
            </w:r>
          </w:p>
        </w:tc>
        <w:tc>
          <w:tcPr>
            <w:tcW w:type="dxa" w:w="1786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6,760.25 ms</w:t>
            </w:r>
          </w:p>
        </w:tc>
        <w:tc>
          <w:tcPr>
            <w:tcW w:type="dxa" w:w="1786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4,931.68 ms</w:t>
            </w:r>
          </w:p>
        </w:tc>
        <w:tc>
          <w:tcPr>
            <w:tcW w:type="dxa" w:w="1786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1.37x</w:t>
            </w:r>
          </w:p>
        </w:tc>
        <w:tc>
          <w:tcPr>
            <w:tcW w:type="dxa" w:w="1786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0.4198</w:t>
            </w:r>
          </w:p>
        </w:tc>
      </w:tr>
      <w:tr>
        <w:tc>
          <w:tcPr>
            <w:tcW w:type="dxa" w:w="1786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N = 80</w:t>
            </w:r>
          </w:p>
        </w:tc>
        <w:tc>
          <w:tcPr>
            <w:tcW w:type="dxa" w:w="1786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13,426.56 ms</w:t>
            </w:r>
          </w:p>
        </w:tc>
        <w:tc>
          <w:tcPr>
            <w:tcW w:type="dxa" w:w="1786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7,325.66 ms</w:t>
            </w:r>
          </w:p>
        </w:tc>
        <w:tc>
          <w:tcPr>
            <w:tcW w:type="dxa" w:w="1786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1.83x</w:t>
            </w:r>
          </w:p>
        </w:tc>
        <w:tc>
          <w:tcPr>
            <w:tcW w:type="dxa" w:w="1786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0.5915</w:t>
            </w:r>
          </w:p>
        </w:tc>
      </w:tr>
      <w:tr>
        <w:tc>
          <w:tcPr>
            <w:tcW w:type="dxa" w:w="1786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N = 120</w:t>
            </w:r>
          </w:p>
        </w:tc>
        <w:tc>
          <w:tcPr>
            <w:tcW w:type="dxa" w:w="1786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20,164.83 ms</w:t>
            </w:r>
          </w:p>
        </w:tc>
        <w:tc>
          <w:tcPr>
            <w:tcW w:type="dxa" w:w="1786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8,827.70 ms</w:t>
            </w:r>
          </w:p>
        </w:tc>
        <w:tc>
          <w:tcPr>
            <w:tcW w:type="dxa" w:w="1786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2.28x</w:t>
            </w:r>
          </w:p>
        </w:tc>
        <w:tc>
          <w:tcPr>
            <w:tcW w:type="dxa" w:w="1786"/>
            <w:shd w:val="clear" w:color="auto" w:fill="FFFFFF"/>
          </w:tcPr>
          <w:p>
            <w:r>
              <w:rPr>
                <w:rFonts w:ascii="Times New Roman" w:hAnsi="Times New Roman"/>
                <w:sz w:val="20"/>
              </w:rPr>
              <w:t>0.5408</w:t>
            </w:r>
          </w:p>
        </w:tc>
      </w:tr>
      <w:tr>
        <w:tc>
          <w:tcPr>
            <w:tcW w:type="dxa" w:w="1786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N = 200</w:t>
            </w:r>
          </w:p>
        </w:tc>
        <w:tc>
          <w:tcPr>
            <w:tcW w:type="dxa" w:w="1786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33,701.77 ms</w:t>
            </w:r>
          </w:p>
        </w:tc>
        <w:tc>
          <w:tcPr>
            <w:tcW w:type="dxa" w:w="1786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9,142.00 ms</w:t>
            </w:r>
          </w:p>
        </w:tc>
        <w:tc>
          <w:tcPr>
            <w:tcW w:type="dxa" w:w="1786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3.69x (Approaching K=5x)</w:t>
            </w:r>
          </w:p>
        </w:tc>
        <w:tc>
          <w:tcPr>
            <w:tcW w:type="dxa" w:w="1786"/>
            <w:shd w:val="clear" w:color="auto" w:fill="EBF3FB"/>
          </w:tcPr>
          <w:p>
            <w:r>
              <w:rPr>
                <w:rFonts w:ascii="Times New Roman" w:hAnsi="Times New Roman"/>
                <w:sz w:val="20"/>
              </w:rPr>
              <w:t>0.2132</w:t>
            </w:r>
          </w:p>
        </w:tc>
      </w:tr>
    </w:tbl>
    <w:p>
      <w:pPr>
        <w:spacing w:after="160"/>
      </w:pPr>
    </w:p>
    <w:p>
      <w:pPr>
        <w:spacing w:before="80" w:after="240"/>
        <w:jc w:val="center"/>
      </w:pPr>
      <w:r>
        <w:rPr>
          <w:rFonts w:ascii="Times New Roman" w:hAnsi="Times New Roman"/>
          <w:i/>
          <w:color w:val="444444"/>
          <w:sz w:val="19"/>
        </w:rPr>
        <w:t>Table 3. Empirical QCA Parallel Engine speedup across dataset sizes N=20..200 (K=5, V=1000).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146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ca_parallel_speed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4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color w:val="444444"/>
          <w:sz w:val="19"/>
        </w:rPr>
        <w:t>Figure 6. QCA Parallel Engine acceleration: execution latency vs dataset size N and speedup factor.</w:t>
      </w:r>
    </w:p>
    <w:p>
      <w:pPr>
        <w:spacing w:before="200" w:after="80"/>
      </w:pPr>
      <w:r>
        <w:rPr>
          <w:rFonts w:ascii="Times New Roman" w:hAnsi="Times New Roman"/>
          <w:b/>
          <w:sz w:val="26"/>
        </w:rPr>
        <w:t>6. Conclusion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2"/>
        </w:rPr>
        <w:t>We presented the unified Actualizer Engine, FDSA, and QCA Parallel framework. By combining pre-inference logit pruning, RGG quench-clustering, and Banach contractive steering, the architecture achieves 99.99% search space reduction, 12.4x pre-inference speedup, 3.69x dataset parallel speedup, and 100% factual grounding under adversarial conditions.</w:t>
      </w:r>
    </w:p>
    <w:p>
      <w:pPr>
        <w:spacing w:before="200" w:after="80"/>
      </w:pPr>
      <w:r>
        <w:rPr>
          <w:rFonts w:ascii="Times New Roman" w:hAnsi="Times New Roman"/>
          <w:b/>
          <w:sz w:val="26"/>
        </w:rPr>
        <w:t>References</w:t>
      </w:r>
    </w:p>
    <w:p>
      <w:pPr>
        <w:spacing w:before="0" w:after="60"/>
        <w:jc w:val="both"/>
      </w:pPr>
      <w:r>
        <w:rPr>
          <w:rFonts w:ascii="Times New Roman" w:hAnsi="Times New Roman"/>
          <w:b w:val="0"/>
          <w:i w:val="0"/>
          <w:sz w:val="20"/>
        </w:rPr>
        <w:t>[1] Noureldin, M.G.E.A. — The Actualization Theory V3_U1 (2026). Independent Research.</w:t>
      </w:r>
    </w:p>
    <w:p>
      <w:pPr>
        <w:spacing w:before="0" w:after="60"/>
        <w:jc w:val="both"/>
      </w:pPr>
      <w:r>
        <w:rPr>
          <w:rFonts w:ascii="Times New Roman" w:hAnsi="Times New Roman"/>
          <w:b w:val="0"/>
          <w:i w:val="0"/>
          <w:sz w:val="20"/>
        </w:rPr>
        <w:t>[2] Noureldin, M.G.E.A. — Quench Cluster Algorithm (QCA) &amp; Parallel Actualizer (2026).</w:t>
      </w:r>
    </w:p>
    <w:p>
      <w:pPr>
        <w:spacing w:before="0" w:after="60"/>
        <w:jc w:val="both"/>
      </w:pPr>
      <w:r>
        <w:rPr>
          <w:rFonts w:ascii="Times New Roman" w:hAnsi="Times New Roman"/>
          <w:b w:val="0"/>
          <w:i w:val="0"/>
          <w:sz w:val="20"/>
        </w:rPr>
        <w:t>[3] Vaswani et al. — Attention Is All You Need. NeurIPS 2017.</w:t>
      </w:r>
    </w:p>
    <w:p>
      <w:pPr>
        <w:spacing w:before="0" w:after="60"/>
        <w:jc w:val="both"/>
      </w:pPr>
      <w:r>
        <w:rPr>
          <w:rFonts w:ascii="Times New Roman" w:hAnsi="Times New Roman"/>
          <w:b w:val="0"/>
          <w:i w:val="0"/>
          <w:sz w:val="20"/>
        </w:rPr>
        <w:t>[4] Banach, S. — Sur les operations dans les ensembles abstraits. Fund. Math. 1922.</w:t>
      </w:r>
    </w:p>
    <w:p>
      <w:pPr>
        <w:spacing w:before="0" w:after="60"/>
        <w:jc w:val="both"/>
      </w:pPr>
      <w:r>
        <w:rPr>
          <w:rFonts w:ascii="Times New Roman" w:hAnsi="Times New Roman"/>
          <w:b w:val="0"/>
          <w:i w:val="0"/>
          <w:sz w:val="20"/>
        </w:rPr>
        <w:t>[5] Jax Development Team — JAX: Composable transformations of Python+NumPy (2018).</w:t>
      </w:r>
    </w:p>
    <w:sectPr w:rsidR="00FC693F" w:rsidRPr="0006063C" w:rsidSect="00034616">
      <w:pgSz w:w="12240" w:h="15840"/>
      <w:pgMar w:top="1440" w:right="1656" w:bottom="1440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