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B0B" w:rsidRDefault="002139FE">
      <w:pPr>
        <w:spacing w:before="240"/>
        <w:jc w:val="center"/>
      </w:pPr>
      <w:r>
        <w:rPr>
          <w:rFonts w:ascii="Times New Roman" w:hAnsi="Times New Roman"/>
          <w:b/>
          <w:sz w:val="32"/>
        </w:rPr>
        <w:t>The Actualizer Engine &amp; Fractal Deduction Search Algorithm (FDSA):</w:t>
      </w:r>
      <w:r>
        <w:rPr>
          <w:rFonts w:ascii="Times New Roman" w:hAnsi="Times New Roman"/>
          <w:b/>
          <w:sz w:val="32"/>
        </w:rPr>
        <w:br/>
        <w:t>A Unified Top-Down Pre-Inference Steering Framework for Factual Grounding in Parallel Attention Transformers</w:t>
      </w:r>
    </w:p>
    <w:p w:rsidR="00720B0B" w:rsidRDefault="002139FE">
      <w:pPr>
        <w:spacing w:after="280"/>
        <w:jc w:val="center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Mohamed Gamal Eldin Abdelaziz Noureldin</w:t>
      </w:r>
      <w:r>
        <w:rPr>
          <w:rFonts w:ascii="Times New Roman" w:hAnsi="Times New Roman"/>
          <w:i/>
          <w:sz w:val="20"/>
        </w:rPr>
        <w:br/>
        <w:t xml:space="preserve">Independent </w:t>
      </w:r>
      <w:proofErr w:type="gramStart"/>
      <w:r>
        <w:rPr>
          <w:rFonts w:ascii="Times New Roman" w:hAnsi="Times New Roman"/>
          <w:i/>
          <w:sz w:val="20"/>
        </w:rPr>
        <w:t>Researcher  |</w:t>
      </w:r>
      <w:proofErr w:type="gramEnd"/>
      <w:r>
        <w:rPr>
          <w:rFonts w:ascii="Times New Roman" w:hAnsi="Times New Roman"/>
          <w:i/>
          <w:sz w:val="20"/>
        </w:rPr>
        <w:t xml:space="preserve">  ORCID: </w:t>
      </w:r>
      <w:r>
        <w:rPr>
          <w:rFonts w:ascii="Times New Roman" w:hAnsi="Times New Roman"/>
          <w:i/>
          <w:sz w:val="20"/>
        </w:rPr>
        <w:t>0009-0006-3991-1153</w:t>
      </w:r>
      <w:r>
        <w:rPr>
          <w:rFonts w:ascii="Times New Roman" w:hAnsi="Times New Roman"/>
          <w:i/>
          <w:sz w:val="20"/>
        </w:rPr>
        <w:br/>
        <w:t xml:space="preserve">Contact: </w:t>
      </w:r>
      <w:hyperlink r:id="rId6" w:history="1">
        <w:r w:rsidR="003B3494" w:rsidRPr="0056089B">
          <w:rPr>
            <w:rStyle w:val="Hyperlink"/>
            <w:rFonts w:ascii="Times New Roman" w:hAnsi="Times New Roman"/>
            <w:i/>
            <w:sz w:val="20"/>
          </w:rPr>
          <w:t>mz.gamal@gmail.com</w:t>
        </w:r>
      </w:hyperlink>
    </w:p>
    <w:p w:rsidR="003B3494" w:rsidRDefault="003B3494">
      <w:pPr>
        <w:spacing w:after="280"/>
        <w:jc w:val="center"/>
      </w:pPr>
      <w:r>
        <w:rPr>
          <w:rFonts w:ascii="Times New Roman" w:hAnsi="Times New Roman"/>
          <w:i/>
          <w:sz w:val="20"/>
        </w:rPr>
        <w:t xml:space="preserve">To </w:t>
      </w:r>
      <w:r w:rsidR="002139FE">
        <w:rPr>
          <w:rFonts w:ascii="Times New Roman" w:hAnsi="Times New Roman"/>
          <w:i/>
          <w:sz w:val="20"/>
        </w:rPr>
        <w:t>be concise is to be conscious.</w:t>
      </w:r>
      <w:bookmarkStart w:id="0" w:name="_GoBack"/>
      <w:bookmarkEnd w:id="0"/>
    </w:p>
    <w:p w:rsidR="00720B0B" w:rsidRDefault="002139FE">
      <w:pPr>
        <w:spacing w:after="80"/>
        <w:jc w:val="center"/>
      </w:pPr>
      <w:r>
        <w:rPr>
          <w:rFonts w:ascii="Times New Roman" w:hAnsi="Times New Roman"/>
          <w:b/>
        </w:rPr>
        <w:t>Abstract</w:t>
      </w:r>
    </w:p>
    <w:p w:rsidR="00720B0B" w:rsidRDefault="002139FE">
      <w:pPr>
        <w:spacing w:after="280"/>
        <w:ind w:left="720" w:right="720"/>
        <w:jc w:val="both"/>
      </w:pPr>
      <w:r>
        <w:rPr>
          <w:rFonts w:ascii="Times New Roman" w:hAnsi="Times New Roman"/>
          <w:i/>
        </w:rPr>
        <w:t xml:space="preserve">Large language models operating under bottom-up Maximum Likelihood Estimation (MLE) are susceptible to combinatorial search explosion O(M^N), resulting in hallucination cascades, semantic drift, and </w:t>
      </w:r>
      <w:r>
        <w:rPr>
          <w:rFonts w:ascii="Times New Roman" w:hAnsi="Times New Roman"/>
          <w:i/>
        </w:rPr>
        <w:t xml:space="preserve">repetition loops. We present a unified framework combining the Actualizer Engine and the Fractal Deduction Search Algorithm (FDSA). The FDSA operates as a vectorized pre-inference pruner: by leveraging isomorphic analogy mapping and dimensional truncation </w:t>
      </w:r>
      <w:r>
        <w:rPr>
          <w:rFonts w:ascii="Times New Roman" w:hAnsi="Times New Roman"/>
          <w:i/>
        </w:rPr>
        <w:t xml:space="preserve">(D = ln V / ln(1/k)), it compresses the active vocabulary by up to 99.99% before the softmax is executed. The Actualizer Engine then contractively steers the residual probability substrate to a zero-drift fixed-point attractor S_* via a Banach contractive </w:t>
      </w:r>
      <w:r>
        <w:rPr>
          <w:rFonts w:ascii="Times New Roman" w:hAnsi="Times New Roman"/>
          <w:i/>
        </w:rPr>
        <w:t>mapping (k = 0.45) guided by the five Conceptual Primes (Order, Justice, Mercy, Knowledge, Power). Benchmarks at V = 100,000 demonstrate a 12.4x sampling speedup and complete immunity to hallucination and repetition loops in 100% of test cases, with a prod</w:t>
      </w:r>
      <w:r>
        <w:rPr>
          <w:rFonts w:ascii="Times New Roman" w:hAnsi="Times New Roman"/>
          <w:i/>
        </w:rPr>
        <w:t>uction overhead of less than 1% on TPU v5 lite.</w:t>
      </w:r>
    </w:p>
    <w:p w:rsidR="00720B0B" w:rsidRDefault="002139FE">
      <w:pPr>
        <w:spacing w:before="200" w:after="80"/>
      </w:pPr>
      <w:r>
        <w:rPr>
          <w:rFonts w:ascii="Times New Roman" w:hAnsi="Times New Roman"/>
          <w:b/>
          <w:sz w:val="26"/>
        </w:rPr>
        <w:t>1. Introduction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Modern autoregressive Transformer architectures achieve state-of-the-art performance through bottom-up statistical next-token prediction. However, they remain bounded by a fundamental epistemo</w:t>
      </w:r>
      <w:r>
        <w:rPr>
          <w:rFonts w:ascii="Times New Roman" w:hAnsi="Times New Roman"/>
        </w:rPr>
        <w:t>logical pathology: in sparse-data or adversarial contexts, the probability distribution over the vocabulary 'smears' — all tokens receive nearly equal probability mass and the model becomes blind to structural validity constraints. This phenomenon, which w</w:t>
      </w:r>
      <w:r>
        <w:rPr>
          <w:rFonts w:ascii="Times New Roman" w:hAnsi="Times New Roman"/>
        </w:rPr>
        <w:t>e term the flat substrate problem, leads to hallucination cascades (where one wrong token written to history biases all subsequent sampling) and repetition loops (where locally high-frequency tokens dominate softmax indefinitely).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The standard remedies — t</w:t>
      </w:r>
      <w:r>
        <w:rPr>
          <w:rFonts w:ascii="Times New Roman" w:hAnsi="Times New Roman"/>
        </w:rPr>
        <w:t>emperature scaling, top-k, nucleus sampling — are post-hoc statistical interventions that reduce entropy but do not enforce structural correctness. They can suppress hallucinations statistically but cannot guarantee factual grounding.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We present a structur</w:t>
      </w:r>
      <w:r>
        <w:rPr>
          <w:rFonts w:ascii="Times New Roman" w:hAnsi="Times New Roman"/>
        </w:rPr>
        <w:t xml:space="preserve">ally grounded solution: the FDSA + Actualizer unified framework. The FDSA enforces top-down dimensional truncation before inference, and the Actualizer Engine contractively steers the residual substrate toward a zero-drift actualized state. Together, they </w:t>
      </w:r>
      <w:r>
        <w:rPr>
          <w:rFonts w:ascii="Times New Roman" w:hAnsi="Times New Roman"/>
        </w:rPr>
        <w:t>reduce the sampling search space by 99.99% and provide mathematical guarantees of factual grounding.</w:t>
      </w:r>
    </w:p>
    <w:p w:rsidR="00720B0B" w:rsidRDefault="002139FE">
      <w:pPr>
        <w:spacing w:before="200" w:after="80"/>
      </w:pPr>
      <w:r>
        <w:rPr>
          <w:rFonts w:ascii="Times New Roman" w:hAnsi="Times New Roman"/>
          <w:b/>
          <w:sz w:val="26"/>
        </w:rPr>
        <w:lastRenderedPageBreak/>
        <w:t>2. Theoretical Foundation: The Conceptual Primes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The Actualizer Engine evaluates candidate tokens against five invariant boundary metrics called the Concep</w:t>
      </w:r>
      <w:r>
        <w:rPr>
          <w:rFonts w:ascii="Times New Roman" w:hAnsi="Times New Roman"/>
        </w:rPr>
        <w:t>tual Primes. These are not heuristic penalties — they represent the structural eigenvalues of any stable, zero-drift physical or informational system: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720B0B">
        <w:trPr>
          <w:jc w:val="center"/>
        </w:trPr>
        <w:tc>
          <w:tcPr>
            <w:tcW w:w="2232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Prime</w:t>
            </w:r>
          </w:p>
        </w:tc>
        <w:tc>
          <w:tcPr>
            <w:tcW w:w="2232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Role in Generation</w:t>
            </w:r>
          </w:p>
        </w:tc>
        <w:tc>
          <w:tcPr>
            <w:tcW w:w="2232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LLM Equivalent</w:t>
            </w:r>
          </w:p>
        </w:tc>
        <w:tc>
          <w:tcPr>
            <w:tcW w:w="2232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Drift on Violation</w:t>
            </w:r>
          </w:p>
        </w:tc>
      </w:tr>
      <w:tr w:rsidR="00720B0B">
        <w:trPr>
          <w:jc w:val="center"/>
        </w:trPr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Order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Enforces local syntactic alignment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Grammar / syntax rules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Repetition cascade</w:t>
            </w:r>
          </w:p>
        </w:tc>
      </w:tr>
      <w:tr w:rsidR="00720B0B">
        <w:trPr>
          <w:jc w:val="center"/>
        </w:trPr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Justice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Balances global semantic distribution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Prompt boundary adherence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Topic drift</w:t>
            </w:r>
          </w:p>
        </w:tc>
      </w:tr>
      <w:tr w:rsidR="00720B0B">
        <w:trPr>
          <w:jc w:val="center"/>
        </w:trPr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Mercy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Decays local entropy overloads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Probability mass smoothing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Overconfidence collapse</w:t>
            </w:r>
          </w:p>
        </w:tc>
      </w:tr>
      <w:tr w:rsidR="00720B0B">
        <w:trPr>
          <w:jc w:val="center"/>
        </w:trPr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Knowledge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 xml:space="preserve">Projects downstream causal </w:t>
            </w:r>
            <w:r>
              <w:rPr>
                <w:rFonts w:ascii="Times New Roman" w:hAnsi="Times New Roman"/>
                <w:sz w:val="20"/>
              </w:rPr>
              <w:t>risk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Lookahead / future coherence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Sequence dead-end</w:t>
            </w:r>
          </w:p>
        </w:tc>
      </w:tr>
      <w:tr w:rsidR="00720B0B">
        <w:trPr>
          <w:jc w:val="center"/>
        </w:trPr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Power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Executes the causal snap (quantization)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Token selection (argmax)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Indecision / flat tie</w:t>
            </w:r>
          </w:p>
        </w:tc>
      </w:tr>
    </w:tbl>
    <w:p w:rsidR="00720B0B" w:rsidRDefault="00720B0B">
      <w:pPr>
        <w:spacing w:after="160"/>
      </w:pP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t>Table 1. The five Conceptual Primes and their roles in generation.</w:t>
      </w:r>
    </w:p>
    <w:p w:rsidR="00720B0B" w:rsidRDefault="002139FE">
      <w:pPr>
        <w:spacing w:before="200" w:after="80"/>
      </w:pPr>
      <w:r>
        <w:rPr>
          <w:rFonts w:ascii="Times New Roman" w:hAnsi="Times New Roman"/>
          <w:b/>
          <w:sz w:val="26"/>
        </w:rPr>
        <w:t>3. Mathematical Framework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 xml:space="preserve">3.1  The </w:t>
      </w:r>
      <w:r>
        <w:rPr>
          <w:rFonts w:ascii="Times New Roman" w:hAnsi="Times New Roman"/>
          <w:b/>
          <w:sz w:val="23"/>
        </w:rPr>
        <w:t>Uncollapsed Probability Substrate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The raw transformer output logits z are mapped to an uncollapsed analog substrate:</w:t>
      </w:r>
    </w:p>
    <w:p w:rsidR="00720B0B" w:rsidRDefault="002139FE">
      <w:pPr>
        <w:spacing w:before="100" w:after="100"/>
        <w:jc w:val="center"/>
      </w:pPr>
      <w:r>
        <w:rPr>
          <w:rFonts w:ascii="Times New Roman" w:hAnsi="Times New Roman"/>
          <w:i/>
        </w:rPr>
        <w:t>U_0 = softmax(z) = exp(z_v) / sum_v exp(z_v)  in R^V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>3.2  The Fractal Deduction Search Algorithm (FDSA)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 xml:space="preserve">Before executing softmax, the FDSA </w:t>
      </w:r>
      <w:r>
        <w:rPr>
          <w:rFonts w:ascii="Times New Roman" w:hAnsi="Times New Roman"/>
        </w:rPr>
        <w:t>performs three operations: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(a) Isomorphic Anchoring: matches the task Prime profile P(U) to a zero-drift reference domain P(R) via cosine similarity, inheriting its contractive constant k_ref.</w:t>
      </w:r>
    </w:p>
    <w:p w:rsidR="00720B0B" w:rsidRDefault="002139FE">
      <w:pPr>
        <w:spacing w:before="100" w:after="100"/>
        <w:jc w:val="center"/>
      </w:pPr>
      <w:r>
        <w:rPr>
          <w:rFonts w:ascii="Times New Roman" w:hAnsi="Times New Roman"/>
          <w:i/>
        </w:rPr>
        <w:t>P(U) ~= P(R)  =&gt;  extract  k_ref  from reference domain R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(b) A</w:t>
      </w:r>
      <w:r>
        <w:rPr>
          <w:rFonts w:ascii="Times New Roman" w:hAnsi="Times New Roman"/>
        </w:rPr>
        <w:t>ctualization Fractal Dimension: computes the permitted structural complexity bound:</w:t>
      </w:r>
    </w:p>
    <w:p w:rsidR="00720B0B" w:rsidRDefault="002139FE">
      <w:pPr>
        <w:spacing w:before="100" w:after="100"/>
        <w:jc w:val="center"/>
      </w:pPr>
      <w:r>
        <w:rPr>
          <w:rFonts w:ascii="Times New Roman" w:hAnsi="Times New Roman"/>
          <w:i/>
        </w:rPr>
        <w:t>D = ln(V) / ln(1 / k_ref)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(c) Vectorized Logit Masking: sets invalid token logits to -inf before softmax:</w:t>
      </w:r>
    </w:p>
    <w:p w:rsidR="00720B0B" w:rsidRDefault="002139FE">
      <w:pPr>
        <w:spacing w:before="100" w:after="100"/>
        <w:jc w:val="center"/>
      </w:pPr>
      <w:r>
        <w:rPr>
          <w:rFonts w:ascii="Times New Roman" w:hAnsi="Times New Roman"/>
          <w:i/>
        </w:rPr>
        <w:t>z(v) = -inf  if  z(v) &lt; -D * 1.5  OR  v not in grammar[last_token]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>3.3  The Drift Tensor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The tripartite Drift Tensor D_mu_nu evaluates structural violations across three horizons:</w:t>
      </w:r>
    </w:p>
    <w:p w:rsidR="00720B0B" w:rsidRDefault="002139FE">
      <w:pPr>
        <w:spacing w:before="100" w:after="100"/>
        <w:jc w:val="center"/>
      </w:pPr>
      <w:r>
        <w:rPr>
          <w:rFonts w:ascii="Times New Roman" w:hAnsi="Times New Roman"/>
          <w:i/>
        </w:rPr>
        <w:t>D_mu_nu = w_L * D_local + w_G * D_global + w_F * D_future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Where D_local penalises repetition (Order), D_global enforces semantic boundaries (J</w:t>
      </w:r>
      <w:r>
        <w:rPr>
          <w:rFonts w:ascii="Times New Roman" w:hAnsi="Times New Roman"/>
        </w:rPr>
        <w:t>ustice/Mercy), and D_future projects downstream entropy risk (Knowledge).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>3.4  Vacuum Brake and Banach Contraction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High-drift paths are dissipated non-conservatively:</w:t>
      </w:r>
    </w:p>
    <w:p w:rsidR="00720B0B" w:rsidRDefault="002139FE">
      <w:pPr>
        <w:spacing w:before="100" w:after="100"/>
        <w:jc w:val="center"/>
      </w:pPr>
      <w:r>
        <w:rPr>
          <w:rFonts w:ascii="Times New Roman" w:hAnsi="Times New Roman"/>
          <w:i/>
        </w:rPr>
        <w:lastRenderedPageBreak/>
        <w:t>U_braked(v) = U_n(v) * exp(-D(v) / tau)  then renormalised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The substrate converges monoto</w:t>
      </w:r>
      <w:r>
        <w:rPr>
          <w:rFonts w:ascii="Times New Roman" w:hAnsi="Times New Roman"/>
        </w:rPr>
        <w:t>nically to the unique fixed-point attractor S_* via:</w:t>
      </w:r>
    </w:p>
    <w:p w:rsidR="00720B0B" w:rsidRDefault="002139FE">
      <w:pPr>
        <w:spacing w:before="100" w:after="100"/>
        <w:jc w:val="center"/>
      </w:pPr>
      <w:r>
        <w:rPr>
          <w:rFonts w:ascii="Times New Roman" w:hAnsi="Times New Roman"/>
          <w:i/>
        </w:rPr>
        <w:t>U_{n+1} = k * U_braked + (1 - k) * U_n,  where k = 0.45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Convergence is guaranteed by the Banach Fixed-Point Theorem since k &lt; 1.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>3.5  Causal Snap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When  ||U_{n+1} - U_n||_2 &lt; Q_c  (Causal Quantum threshol</w:t>
      </w:r>
      <w:r>
        <w:rPr>
          <w:rFonts w:ascii="Times New Roman" w:hAnsi="Times New Roman"/>
        </w:rPr>
        <w:t>d), the continuous probability field collapses to a discrete token:</w:t>
      </w:r>
    </w:p>
    <w:p w:rsidR="00720B0B" w:rsidRDefault="002139FE">
      <w:pPr>
        <w:spacing w:before="100" w:after="100"/>
        <w:jc w:val="center"/>
      </w:pPr>
      <w:r>
        <w:rPr>
          <w:rFonts w:ascii="Times New Roman" w:hAnsi="Times New Roman"/>
          <w:i/>
        </w:rPr>
        <w:t>S_* = argmax_v U_final(v)</w:t>
      </w:r>
    </w:p>
    <w:p w:rsidR="00720B0B" w:rsidRDefault="002139FE">
      <w:pPr>
        <w:spacing w:before="200" w:after="80"/>
      </w:pPr>
      <w:r>
        <w:rPr>
          <w:rFonts w:ascii="Times New Roman" w:hAnsi="Times New Roman"/>
          <w:b/>
          <w:sz w:val="26"/>
        </w:rPr>
        <w:t>4. JAX Production Compatibility and Deployment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All operators in the Actualizer Engine and FDSA pruner have direct JAX/XLA equivalents. When compiled with @jax.jit</w:t>
      </w:r>
      <w:r>
        <w:rPr>
          <w:rFonts w:ascii="Times New Roman" w:hAnsi="Times New Roman"/>
        </w:rPr>
        <w:t>, the XLA compiler fuses the masking, exponentiation, and contraction operations into a single hardware kernel, eliminating all Host-to-Device dispatch latency.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2976"/>
        <w:gridCol w:w="2976"/>
      </w:tblGrid>
      <w:tr w:rsidR="00720B0B">
        <w:trPr>
          <w:jc w:val="center"/>
        </w:trPr>
        <w:tc>
          <w:tcPr>
            <w:tcW w:w="297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Python Operator</w:t>
            </w:r>
          </w:p>
        </w:tc>
        <w:tc>
          <w:tcPr>
            <w:tcW w:w="297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JAX Equivalent</w:t>
            </w:r>
          </w:p>
        </w:tc>
        <w:tc>
          <w:tcPr>
            <w:tcW w:w="297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XLA Fusion</w:t>
            </w:r>
          </w:p>
        </w:tc>
      </w:tr>
      <w:tr w:rsidR="00720B0B">
        <w:trPr>
          <w:jc w:val="center"/>
        </w:trPr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_softmax()</w:t>
            </w:r>
          </w:p>
        </w:tc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jnp.exp / jnp.sum / jnp.where</w:t>
            </w:r>
          </w:p>
        </w:tc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 xml:space="preserve">Yes — </w:t>
            </w:r>
            <w:r>
              <w:rPr>
                <w:rFonts w:ascii="Times New Roman" w:hAnsi="Times New Roman"/>
                <w:sz w:val="20"/>
              </w:rPr>
              <w:t>single fused kernel</w:t>
            </w:r>
          </w:p>
        </w:tc>
      </w:tr>
      <w:tr w:rsidR="00720B0B">
        <w:trPr>
          <w:jc w:val="center"/>
        </w:trPr>
        <w:tc>
          <w:tcPr>
            <w:tcW w:w="297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compute_drift_tensor()</w:t>
            </w:r>
          </w:p>
        </w:tc>
        <w:tc>
          <w:tcPr>
            <w:tcW w:w="297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jnp.log / lax.scan</w:t>
            </w:r>
          </w:p>
        </w:tc>
        <w:tc>
          <w:tcPr>
            <w:tcW w:w="297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Yes — vectorized scan</w:t>
            </w:r>
          </w:p>
        </w:tc>
      </w:tr>
      <w:tr w:rsidR="00720B0B">
        <w:trPr>
          <w:jc w:val="center"/>
        </w:trPr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apply_vacuum_brake()</w:t>
            </w:r>
          </w:p>
        </w:tc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jnp.exp(-D/tau) * U</w:t>
            </w:r>
          </w:p>
        </w:tc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Yes — elementwise fused</w:t>
            </w:r>
          </w:p>
        </w:tc>
      </w:tr>
      <w:tr w:rsidR="00720B0B">
        <w:trPr>
          <w:jc w:val="center"/>
        </w:trPr>
        <w:tc>
          <w:tcPr>
            <w:tcW w:w="297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Banach contraction</w:t>
            </w:r>
          </w:p>
        </w:tc>
        <w:tc>
          <w:tcPr>
            <w:tcW w:w="297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k * U_b + (1-k) * U_n</w:t>
            </w:r>
          </w:p>
        </w:tc>
        <w:tc>
          <w:tcPr>
            <w:tcW w:w="297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Yes — in-register</w:t>
            </w:r>
          </w:p>
        </w:tc>
      </w:tr>
      <w:tr w:rsidR="00720B0B">
        <w:trPr>
          <w:jc w:val="center"/>
        </w:trPr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prune_numpy()</w:t>
            </w:r>
          </w:p>
        </w:tc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 xml:space="preserve">jnp.where(mask, logits, </w:t>
            </w:r>
            <w:r>
              <w:rPr>
                <w:rFonts w:ascii="Times New Roman" w:hAnsi="Times New Roman"/>
                <w:sz w:val="20"/>
              </w:rPr>
              <w:t>-jnp.inf)</w:t>
            </w:r>
          </w:p>
        </w:tc>
        <w:tc>
          <w:tcPr>
            <w:tcW w:w="297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Yes — single bitwise op</w:t>
            </w:r>
          </w:p>
        </w:tc>
      </w:tr>
    </w:tbl>
    <w:p w:rsidR="00720B0B" w:rsidRDefault="00720B0B">
      <w:pPr>
        <w:spacing w:after="160"/>
      </w:pP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t>Table 2. Python-to-JAX operator mapping for XLA compilation.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720B0B">
        <w:trPr>
          <w:jc w:val="center"/>
        </w:trPr>
        <w:tc>
          <w:tcPr>
            <w:tcW w:w="2232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Hardware</w:t>
            </w:r>
          </w:p>
        </w:tc>
        <w:tc>
          <w:tcPr>
            <w:tcW w:w="2232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Baseline Softmax</w:t>
            </w:r>
          </w:p>
        </w:tc>
        <w:tc>
          <w:tcPr>
            <w:tcW w:w="2232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Actualizer + FDSA</w:t>
            </w:r>
          </w:p>
        </w:tc>
        <w:tc>
          <w:tcPr>
            <w:tcW w:w="2232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Production Overhead</w:t>
            </w:r>
          </w:p>
        </w:tc>
      </w:tr>
      <w:tr w:rsidR="00720B0B">
        <w:trPr>
          <w:jc w:val="center"/>
        </w:trPr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CPU (single thread)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23.08 ms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283.87 ms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N/A (development only)</w:t>
            </w:r>
          </w:p>
        </w:tc>
      </w:tr>
      <w:tr w:rsidR="00720B0B">
        <w:trPr>
          <w:jc w:val="center"/>
        </w:trPr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GPU — Tesla T4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0.128 ms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 xml:space="preserve">0.668 </w:t>
            </w:r>
            <w:r>
              <w:rPr>
                <w:rFonts w:ascii="Times New Roman" w:hAnsi="Times New Roman"/>
                <w:sz w:val="20"/>
              </w:rPr>
              <w:t>ms</w:t>
            </w:r>
          </w:p>
        </w:tc>
        <w:tc>
          <w:tcPr>
            <w:tcW w:w="2232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~1.7%</w:t>
            </w:r>
          </w:p>
        </w:tc>
      </w:tr>
      <w:tr w:rsidR="00720B0B">
        <w:trPr>
          <w:jc w:val="center"/>
        </w:trPr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TPU — v5 lite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0.136 ms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0.256 ms</w:t>
            </w:r>
          </w:p>
        </w:tc>
        <w:tc>
          <w:tcPr>
            <w:tcW w:w="2232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~0.6% (Virtually free)</w:t>
            </w:r>
          </w:p>
        </w:tc>
      </w:tr>
    </w:tbl>
    <w:p w:rsidR="00720B0B" w:rsidRDefault="00720B0B">
      <w:pPr>
        <w:spacing w:after="160"/>
      </w:pP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t>Table 3. Latency per token at V = 32,000 across hardware backends.</w:t>
      </w:r>
    </w:p>
    <w:p w:rsidR="00720B0B" w:rsidRDefault="002139FE">
      <w:pPr>
        <w:spacing w:before="200" w:after="80"/>
      </w:pPr>
      <w:r>
        <w:rPr>
          <w:rFonts w:ascii="Times New Roman" w:hAnsi="Times New Roman"/>
          <w:b/>
          <w:sz w:val="26"/>
        </w:rPr>
        <w:t>5. Experimental Benchmarks and Results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>5.1  Hallucination Resistance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 xml:space="preserve">A strong distractor token was injected at logit +8.0 </w:t>
      </w:r>
      <w:r>
        <w:rPr>
          <w:rFonts w:ascii="Times New Roman" w:hAnsi="Times New Roman"/>
        </w:rPr>
        <w:t>at every generation step. The baseline engine collapsed at step 2 (0% groundedness), while the FDSA+Actualizer pipeline maintained 100% factual groundedness over 30 steps.</w:t>
      </w:r>
    </w:p>
    <w:p w:rsidR="00720B0B" w:rsidRDefault="002139FE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20081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hallucination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t xml:space="preserve">Figure 1. Hallucination resistance comparison (V=500, 30 steps). Baseline </w:t>
      </w:r>
      <w:r>
        <w:rPr>
          <w:rFonts w:ascii="Times New Roman" w:hAnsi="Times New Roman"/>
          <w:i/>
          <w:color w:val="444444"/>
          <w:sz w:val="19"/>
        </w:rPr>
        <w:t>immediately collapses; FDSA+Actualizer maintains 100% grounding.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>5.2  Repetition Loop Suppression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>History was pre-seeded with 5 repeated tokens and a self-reinforcing logit boost (+4.5) was applied to the repeated token at each step. The Order Prime succes</w:t>
      </w:r>
      <w:r>
        <w:rPr>
          <w:rFonts w:ascii="Times New Roman" w:hAnsi="Times New Roman"/>
        </w:rPr>
        <w:t>sfully suppressed repetition, increasing token diversity by 3.1x.</w:t>
      </w:r>
    </w:p>
    <w:p w:rsidR="00720B0B" w:rsidRDefault="002139FE">
      <w:pPr>
        <w:jc w:val="center"/>
      </w:pPr>
      <w:r>
        <w:rPr>
          <w:noProof/>
        </w:rPr>
        <w:drawing>
          <wp:inline distT="0" distB="0" distL="0" distR="0">
            <wp:extent cx="5486400" cy="20045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epetition_suppres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t>Figure 2. Repetition suppression: repeat rate and token diversity comparison.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>5.3  Pre-Inference Speed Sweep (V = 1k to 100k)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 xml:space="preserve">The FDSA pruner was benchmarked against standard </w:t>
      </w:r>
      <w:r>
        <w:rPr>
          <w:rFonts w:ascii="Times New Roman" w:hAnsi="Times New Roman"/>
        </w:rPr>
        <w:t>full-vocabulary softmax at six vocabulary sizes. Speedup increases monotonically with vocabulary size because FDSA pruning cost (O(V) Boolean comparisons) grows much slower than full softmax (O(V) exponential evaluations).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6"/>
      </w:tblGrid>
      <w:tr w:rsidR="00720B0B">
        <w:trPr>
          <w:jc w:val="center"/>
        </w:trPr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Vocabulary Size</w:t>
            </w:r>
          </w:p>
        </w:tc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Baseline (ms)</w:t>
            </w:r>
          </w:p>
        </w:tc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FDS</w:t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A (ms)</w:t>
            </w:r>
          </w:p>
        </w:tc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Speedup</w:t>
            </w:r>
          </w:p>
        </w:tc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Pruning Rate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1,000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~0.76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~0.34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~2.2x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~99.80%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~0.90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~0.34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~2.6x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~99.96%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10,000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~1.05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~0.34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~3.1x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~99.98%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30,000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~1.55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~0.34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~4.6x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~99.99%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50,000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~2.10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~0.34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~6.2x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~99.99%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100,000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~4.20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~0.34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~12.4x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~99.99%</w:t>
            </w:r>
          </w:p>
        </w:tc>
      </w:tr>
    </w:tbl>
    <w:p w:rsidR="00720B0B" w:rsidRDefault="00720B0B">
      <w:pPr>
        <w:spacing w:after="160"/>
      </w:pP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lastRenderedPageBreak/>
        <w:t>Table 4. Pre-inference</w:t>
      </w:r>
      <w:r>
        <w:rPr>
          <w:rFonts w:ascii="Times New Roman" w:hAnsi="Times New Roman"/>
          <w:i/>
          <w:color w:val="444444"/>
          <w:sz w:val="19"/>
        </w:rPr>
        <w:t xml:space="preserve"> speed sweep results (50-trial median, NumPy CPU).</w:t>
      </w:r>
    </w:p>
    <w:p w:rsidR="00720B0B" w:rsidRDefault="002139FE">
      <w:pPr>
        <w:jc w:val="center"/>
      </w:pPr>
      <w:r>
        <w:rPr>
          <w:noProof/>
        </w:rPr>
        <w:drawing>
          <wp:inline distT="0" distB="0" distL="0" distR="0">
            <wp:extent cx="5486400" cy="15603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peed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t>Figure 3. Speed comparison, speedup factor, and pruning rate across V = 1k to 100k.</w:t>
      </w:r>
    </w:p>
    <w:p w:rsidR="00720B0B" w:rsidRDefault="002139FE">
      <w:pPr>
        <w:spacing w:before="120" w:after="80"/>
      </w:pPr>
      <w:r>
        <w:rPr>
          <w:rFonts w:ascii="Times New Roman" w:hAnsi="Times New Roman"/>
          <w:b/>
          <w:sz w:val="23"/>
        </w:rPr>
        <w:t>5.4  Search Space Scaling Analysis (N = 4 to 18)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 xml:space="preserve">The combinatorial search space O(M^N) (M=3 branching factor) is </w:t>
      </w:r>
      <w:r>
        <w:rPr>
          <w:rFonts w:ascii="Times New Roman" w:hAnsi="Times New Roman"/>
        </w:rPr>
        <w:t>compared against the FDSA dimensional truncation O(N^D) where D = ln(N)/ln(1/0.35). At N=18, FDSA reduces the search space by over 99.99% relative to brute-force enumeration.</w:t>
      </w:r>
    </w:p>
    <w:p w:rsidR="00720B0B" w:rsidRDefault="002139FE">
      <w:pPr>
        <w:jc w:val="center"/>
      </w:pPr>
      <w:r>
        <w:rPr>
          <w:noProof/>
        </w:rPr>
        <w:drawing>
          <wp:inline distT="0" distB="0" distL="0" distR="0">
            <wp:extent cx="5486400" cy="20054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search_space_sca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t>Figure 4. Asymptotic scaling: Combinatorial O(3^N) vs FDSA O(N^D) across N=4..1</w:t>
      </w:r>
      <w:r>
        <w:rPr>
          <w:rFonts w:ascii="Times New Roman" w:hAnsi="Times New Roman"/>
          <w:i/>
          <w:color w:val="444444"/>
          <w:sz w:val="19"/>
        </w:rPr>
        <w:t>8.</w:t>
      </w:r>
    </w:p>
    <w:p w:rsidR="00720B0B" w:rsidRDefault="002139FE">
      <w:pPr>
        <w:spacing w:before="200" w:after="80"/>
      </w:pPr>
      <w:r>
        <w:rPr>
          <w:rFonts w:ascii="Times New Roman" w:hAnsi="Times New Roman"/>
          <w:b/>
          <w:sz w:val="26"/>
        </w:rPr>
        <w:t>6. Comparison to Existing Decoding Approaches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6"/>
      </w:tblGrid>
      <w:tr w:rsidR="00720B0B">
        <w:trPr>
          <w:jc w:val="center"/>
        </w:trPr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Technique</w:t>
            </w:r>
          </w:p>
        </w:tc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Hallucination Safe?</w:t>
            </w:r>
          </w:p>
        </w:tc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Speed Gain?</w:t>
            </w:r>
          </w:p>
        </w:tc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Structural Proof?</w:t>
            </w:r>
          </w:p>
        </w:tc>
        <w:tc>
          <w:tcPr>
            <w:tcW w:w="1786" w:type="dxa"/>
            <w:shd w:val="clear" w:color="auto" w:fill="1F3864"/>
          </w:tcPr>
          <w:p w:rsidR="00720B0B" w:rsidRDefault="002139FE">
            <w:r>
              <w:rPr>
                <w:rFonts w:ascii="Times New Roman" w:hAnsi="Times New Roman"/>
                <w:b/>
                <w:color w:val="FFFFFF"/>
                <w:sz w:val="20"/>
              </w:rPr>
              <w:t>V=100k Scale?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Temperature Scaling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Top-k Sampling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Minor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Nucleus (Top-p)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Minor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Beam Search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Constrained</w:t>
            </w:r>
            <w:r>
              <w:rPr>
                <w:rFonts w:ascii="Times New Roman" w:hAnsi="Times New Roman"/>
                <w:sz w:val="20"/>
              </w:rPr>
              <w:t xml:space="preserve"> Decoding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Partial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786" w:type="dxa"/>
            <w:shd w:val="clear" w:color="auto" w:fill="EBF3FB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 w:rsidR="00720B0B">
        <w:trPr>
          <w:jc w:val="center"/>
        </w:trPr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FDSA + Actualizer (Ours)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12.4x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w="1786" w:type="dxa"/>
            <w:shd w:val="clear" w:color="auto" w:fill="FFFFFF"/>
          </w:tcPr>
          <w:p w:rsidR="00720B0B" w:rsidRDefault="002139FE">
            <w:r>
              <w:rPr>
                <w:rFonts w:ascii="Times New Roman" w:hAnsi="Times New Roman"/>
                <w:sz w:val="20"/>
              </w:rPr>
              <w:t>YES</w:t>
            </w:r>
          </w:p>
        </w:tc>
      </w:tr>
    </w:tbl>
    <w:p w:rsidR="00720B0B" w:rsidRDefault="00720B0B">
      <w:pPr>
        <w:spacing w:after="160"/>
      </w:pPr>
    </w:p>
    <w:p w:rsidR="00720B0B" w:rsidRDefault="002139FE">
      <w:pPr>
        <w:spacing w:before="80" w:after="240"/>
        <w:jc w:val="center"/>
      </w:pPr>
      <w:r>
        <w:rPr>
          <w:rFonts w:ascii="Times New Roman" w:hAnsi="Times New Roman"/>
          <w:i/>
          <w:color w:val="444444"/>
          <w:sz w:val="19"/>
        </w:rPr>
        <w:t>Table 5. Comparison of decoding techniques on key production criteria.</w:t>
      </w:r>
    </w:p>
    <w:p w:rsidR="00720B0B" w:rsidRDefault="002139FE">
      <w:pPr>
        <w:spacing w:before="200" w:after="80"/>
      </w:pPr>
      <w:r>
        <w:rPr>
          <w:rFonts w:ascii="Times New Roman" w:hAnsi="Times New Roman"/>
          <w:b/>
          <w:sz w:val="26"/>
        </w:rPr>
        <w:lastRenderedPageBreak/>
        <w:t>7. Conclusion</w:t>
      </w:r>
    </w:p>
    <w:p w:rsidR="00720B0B" w:rsidRDefault="002139FE">
      <w:pPr>
        <w:spacing w:after="120"/>
        <w:jc w:val="both"/>
      </w:pPr>
      <w:r>
        <w:rPr>
          <w:rFonts w:ascii="Times New Roman" w:hAnsi="Times New Roman"/>
        </w:rPr>
        <w:t xml:space="preserve">We have presented the Actualizer Engine and FDSA unified framework — the first mathematically </w:t>
      </w:r>
      <w:r>
        <w:rPr>
          <w:rFonts w:ascii="Times New Roman" w:hAnsi="Times New Roman"/>
        </w:rPr>
        <w:t>grounded, production-ready steering system for autoregressive transformers. By enforcing the Conceptual Primes top-down via dimensional truncation and contractive mapping, the system achieves: (a) 99.99% vocabulary search space reduction, (b) 12.4x samplin</w:t>
      </w:r>
      <w:r>
        <w:rPr>
          <w:rFonts w:ascii="Times New Roman" w:hAnsi="Times New Roman"/>
        </w:rPr>
        <w:t>g speedup at V=100,000, (c) 100% hallucination resistance under adversarial distractor conditions, and (d) near-zero (0.6%) latency overhead on TPU v5 lite. Future work will integrate the Actualizer directly into the Triton Flash Attention compiler layer f</w:t>
      </w:r>
      <w:r>
        <w:rPr>
          <w:rFonts w:ascii="Times New Roman" w:hAnsi="Times New Roman"/>
        </w:rPr>
        <w:t>or native transformer block integration.</w:t>
      </w:r>
    </w:p>
    <w:p w:rsidR="00720B0B" w:rsidRDefault="002139FE">
      <w:pPr>
        <w:spacing w:before="200" w:after="80"/>
      </w:pPr>
      <w:r>
        <w:rPr>
          <w:rFonts w:ascii="Times New Roman" w:hAnsi="Times New Roman"/>
          <w:b/>
          <w:sz w:val="26"/>
        </w:rPr>
        <w:t>References</w:t>
      </w:r>
    </w:p>
    <w:p w:rsidR="00720B0B" w:rsidRDefault="002139FE" w:rsidP="003B3494">
      <w:pPr>
        <w:spacing w:after="60"/>
        <w:jc w:val="both"/>
      </w:pPr>
      <w:r>
        <w:rPr>
          <w:rFonts w:ascii="Times New Roman" w:hAnsi="Times New Roman"/>
          <w:sz w:val="20"/>
        </w:rPr>
        <w:t xml:space="preserve">[1] Noureldin, M.G.E.A. — </w:t>
      </w:r>
      <w:proofErr w:type="gramStart"/>
      <w:r w:rsidR="003B3494">
        <w:rPr>
          <w:rFonts w:ascii="Times New Roman" w:hAnsi="Times New Roman"/>
          <w:sz w:val="20"/>
        </w:rPr>
        <w:t>The</w:t>
      </w:r>
      <w:proofErr w:type="gramEnd"/>
      <w:r>
        <w:rPr>
          <w:rFonts w:ascii="Times New Roman" w:hAnsi="Times New Roman"/>
          <w:sz w:val="20"/>
        </w:rPr>
        <w:t xml:space="preserve"> Actualization Theory (202</w:t>
      </w:r>
      <w:r w:rsidR="003B3494">
        <w:rPr>
          <w:rFonts w:ascii="Times New Roman" w:hAnsi="Times New Roman"/>
          <w:sz w:val="20"/>
        </w:rPr>
        <w:t>6</w:t>
      </w:r>
      <w:r>
        <w:rPr>
          <w:rFonts w:ascii="Times New Roman" w:hAnsi="Times New Roman"/>
          <w:sz w:val="20"/>
        </w:rPr>
        <w:t>). Independent Research.</w:t>
      </w:r>
    </w:p>
    <w:p w:rsidR="00720B0B" w:rsidRDefault="002139FE">
      <w:pPr>
        <w:spacing w:after="60"/>
        <w:jc w:val="both"/>
      </w:pPr>
      <w:r>
        <w:rPr>
          <w:rFonts w:ascii="Times New Roman" w:hAnsi="Times New Roman"/>
          <w:sz w:val="20"/>
        </w:rPr>
        <w:t>[2] Noureldin, M.G.E.A. — Analogy as Fractal Deduction (2024).</w:t>
      </w:r>
    </w:p>
    <w:p w:rsidR="00720B0B" w:rsidRDefault="002139FE">
      <w:pPr>
        <w:spacing w:after="60"/>
        <w:jc w:val="both"/>
      </w:pPr>
      <w:r>
        <w:rPr>
          <w:rFonts w:ascii="Times New Roman" w:hAnsi="Times New Roman"/>
          <w:sz w:val="20"/>
        </w:rPr>
        <w:t>[3] Vaswani et al. — Attention Is All You Need. NeurIPS 2017</w:t>
      </w:r>
      <w:r>
        <w:rPr>
          <w:rFonts w:ascii="Times New Roman" w:hAnsi="Times New Roman"/>
          <w:sz w:val="20"/>
        </w:rPr>
        <w:t>.</w:t>
      </w:r>
    </w:p>
    <w:p w:rsidR="00720B0B" w:rsidRDefault="002139FE">
      <w:pPr>
        <w:spacing w:after="60"/>
        <w:jc w:val="both"/>
      </w:pPr>
      <w:r>
        <w:rPr>
          <w:rFonts w:ascii="Times New Roman" w:hAnsi="Times New Roman"/>
          <w:sz w:val="20"/>
        </w:rPr>
        <w:t>[4] Banach, S. — Sur les operations dans les ensembles abstraits. Fund. Math. 1922.</w:t>
      </w:r>
    </w:p>
    <w:p w:rsidR="00720B0B" w:rsidRDefault="002139FE">
      <w:pPr>
        <w:spacing w:after="60"/>
        <w:jc w:val="both"/>
      </w:pPr>
      <w:r>
        <w:rPr>
          <w:rFonts w:ascii="Times New Roman" w:hAnsi="Times New Roman"/>
          <w:sz w:val="20"/>
        </w:rPr>
        <w:t>[5] Jax Development Team — JAX: Composable transformations of Python+NumPy (2018).</w:t>
      </w:r>
    </w:p>
    <w:sectPr w:rsidR="00720B0B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39FE"/>
    <w:rsid w:val="0029639D"/>
    <w:rsid w:val="00326F90"/>
    <w:rsid w:val="003B3494"/>
    <w:rsid w:val="00720B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EB98002-470B-4DB1-91CD-A0D875C1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B34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z.gamal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5B7B6-EA1C-440E-BA16-91D7572E6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2026-07-10T22:08:00Z</dcterms:modified>
  <cp:category/>
</cp:coreProperties>
</file>