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F9CD3B">
      <w:pPr>
        <w:jc w:val="center"/>
        <w:rPr>
          <w:rFonts w:hint="eastAsia"/>
          <w:sz w:val="40"/>
          <w:szCs w:val="48"/>
          <w:lang w:val="en-US" w:eastAsia="zh-CN"/>
        </w:rPr>
      </w:pPr>
      <w:r>
        <w:rPr>
          <w:rFonts w:hint="eastAsia"/>
          <w:sz w:val="40"/>
          <w:szCs w:val="48"/>
          <w:lang w:val="en-US" w:eastAsia="zh-CN"/>
        </w:rPr>
        <w:t>五年规划智能体数据库说明</w:t>
      </w:r>
    </w:p>
    <w:p w14:paraId="5C3E0A10">
      <w:pPr>
        <w:jc w:val="center"/>
        <w:rPr>
          <w:rFonts w:hint="eastAsia"/>
          <w:sz w:val="40"/>
          <w:szCs w:val="48"/>
          <w:lang w:val="en-US" w:eastAsia="zh-CN"/>
        </w:rPr>
      </w:pPr>
      <w:r>
        <w:rPr>
          <w:rFonts w:hint="eastAsia"/>
          <w:sz w:val="40"/>
          <w:szCs w:val="48"/>
          <w:lang w:val="en-US" w:eastAsia="zh-CN"/>
        </w:rPr>
        <w:t xml:space="preserve"> 及业务流程案例</w:t>
      </w:r>
    </w:p>
    <w:p w14:paraId="728ED2E9">
      <w:pPr>
        <w:numPr>
          <w:numId w:val="0"/>
        </w:numPr>
        <w:rPr>
          <w:rFonts w:hint="eastAsia"/>
          <w:sz w:val="28"/>
          <w:szCs w:val="36"/>
          <w:lang w:val="en-US" w:eastAsia="zh-CN"/>
        </w:rPr>
      </w:pPr>
    </w:p>
    <w:p w14:paraId="031607C7">
      <w:pPr>
        <w:pStyle w:val="2"/>
        <w:numPr>
          <w:ilvl w:val="0"/>
          <w:numId w:val="1"/>
        </w:numPr>
        <w:bidi w:val="0"/>
        <w:rPr>
          <w:rFonts w:hint="eastAsia"/>
          <w:sz w:val="32"/>
          <w:szCs w:val="20"/>
          <w:lang w:val="en-US" w:eastAsia="zh-CN"/>
        </w:rPr>
      </w:pPr>
      <w:r>
        <w:rPr>
          <w:rFonts w:hint="eastAsia"/>
          <w:sz w:val="32"/>
          <w:szCs w:val="20"/>
          <w:lang w:val="en-US" w:eastAsia="zh-CN"/>
        </w:rPr>
        <w:t>本地数据库分类说明</w:t>
      </w:r>
    </w:p>
    <w:p w14:paraId="0DA01621">
      <w:pPr>
        <w:numPr>
          <w:ilvl w:val="0"/>
          <w:numId w:val="2"/>
        </w:numPr>
        <w:rPr>
          <w:rFonts w:hint="eastAsia"/>
          <w:sz w:val="28"/>
          <w:szCs w:val="36"/>
          <w:lang w:val="en-US" w:eastAsia="zh-CN"/>
        </w:rPr>
      </w:pPr>
      <w:r>
        <w:rPr>
          <w:rFonts w:hint="eastAsia"/>
          <w:sz w:val="28"/>
          <w:szCs w:val="36"/>
          <w:lang w:val="en-US" w:eastAsia="zh-CN"/>
        </w:rPr>
        <w:t>五年规划数据库</w:t>
      </w:r>
    </w:p>
    <w:p w14:paraId="22F94D34">
      <w:pPr>
        <w:numPr>
          <w:ilvl w:val="0"/>
          <w:numId w:val="2"/>
        </w:numPr>
        <w:rPr>
          <w:rFonts w:hint="default"/>
          <w:sz w:val="28"/>
          <w:szCs w:val="36"/>
          <w:lang w:val="en-US" w:eastAsia="zh-CN"/>
        </w:rPr>
      </w:pPr>
      <w:r>
        <w:rPr>
          <w:rFonts w:hint="eastAsia"/>
          <w:sz w:val="28"/>
          <w:szCs w:val="36"/>
          <w:lang w:val="en-US" w:eastAsia="zh-CN"/>
        </w:rPr>
        <w:t>产业研究数据库</w:t>
      </w:r>
    </w:p>
    <w:p w14:paraId="1CDA742D">
      <w:pPr>
        <w:numPr>
          <w:ilvl w:val="0"/>
          <w:numId w:val="2"/>
        </w:numPr>
        <w:rPr>
          <w:rFonts w:hint="default"/>
          <w:sz w:val="28"/>
          <w:szCs w:val="36"/>
          <w:lang w:val="en-US" w:eastAsia="zh-CN"/>
        </w:rPr>
      </w:pPr>
      <w:r>
        <w:rPr>
          <w:rFonts w:hint="eastAsia"/>
          <w:sz w:val="28"/>
          <w:szCs w:val="36"/>
          <w:lang w:val="en-US" w:eastAsia="zh-CN"/>
        </w:rPr>
        <w:t>企业数据库</w:t>
      </w:r>
    </w:p>
    <w:p w14:paraId="3D61200A">
      <w:pPr>
        <w:numPr>
          <w:ilvl w:val="0"/>
          <w:numId w:val="2"/>
        </w:numPr>
        <w:rPr>
          <w:rFonts w:hint="default"/>
          <w:sz w:val="28"/>
          <w:szCs w:val="36"/>
          <w:lang w:val="en-US" w:eastAsia="zh-CN"/>
        </w:rPr>
      </w:pPr>
      <w:r>
        <w:rPr>
          <w:rFonts w:hint="eastAsia"/>
          <w:sz w:val="28"/>
          <w:szCs w:val="36"/>
          <w:lang w:val="en-US" w:eastAsia="zh-CN"/>
        </w:rPr>
        <w:t>培训课程库</w:t>
      </w:r>
    </w:p>
    <w:p w14:paraId="11D47557">
      <w:pPr>
        <w:numPr>
          <w:ilvl w:val="0"/>
          <w:numId w:val="2"/>
        </w:numPr>
        <w:rPr>
          <w:rFonts w:hint="default"/>
          <w:sz w:val="28"/>
          <w:szCs w:val="36"/>
          <w:lang w:val="en-US" w:eastAsia="zh-CN"/>
        </w:rPr>
      </w:pPr>
      <w:r>
        <w:rPr>
          <w:rFonts w:hint="eastAsia"/>
          <w:sz w:val="28"/>
          <w:szCs w:val="36"/>
          <w:lang w:val="en-US" w:eastAsia="zh-CN"/>
        </w:rPr>
        <w:t>专家库</w:t>
      </w:r>
    </w:p>
    <w:p w14:paraId="2C09F295">
      <w:pPr>
        <w:numPr>
          <w:ilvl w:val="0"/>
          <w:numId w:val="2"/>
        </w:numPr>
        <w:rPr>
          <w:rFonts w:hint="default"/>
          <w:sz w:val="28"/>
          <w:szCs w:val="36"/>
          <w:lang w:val="en-US" w:eastAsia="zh-CN"/>
        </w:rPr>
      </w:pPr>
      <w:r>
        <w:rPr>
          <w:rFonts w:hint="eastAsia"/>
          <w:sz w:val="28"/>
          <w:szCs w:val="36"/>
          <w:lang w:val="en-US" w:eastAsia="zh-CN"/>
        </w:rPr>
        <w:t>产业理论研究库</w:t>
      </w:r>
    </w:p>
    <w:p w14:paraId="4A83F153">
      <w:pPr>
        <w:numPr>
          <w:ilvl w:val="0"/>
          <w:numId w:val="2"/>
        </w:numPr>
        <w:rPr>
          <w:rFonts w:hint="default"/>
          <w:sz w:val="28"/>
          <w:szCs w:val="36"/>
          <w:lang w:val="en-US" w:eastAsia="zh-CN"/>
        </w:rPr>
      </w:pPr>
      <w:r>
        <w:rPr>
          <w:rFonts w:hint="eastAsia"/>
          <w:sz w:val="28"/>
          <w:szCs w:val="36"/>
          <w:lang w:val="en-US" w:eastAsia="zh-CN"/>
        </w:rPr>
        <w:t>分析记忆库</w:t>
      </w:r>
    </w:p>
    <w:p w14:paraId="06854C98">
      <w:pPr>
        <w:numPr>
          <w:numId w:val="0"/>
        </w:numPr>
        <w:rPr>
          <w:rFonts w:hint="default"/>
          <w:sz w:val="28"/>
          <w:szCs w:val="36"/>
          <w:lang w:val="en-US" w:eastAsia="zh-CN"/>
        </w:rPr>
      </w:pPr>
      <w:r>
        <w:rPr>
          <w:rFonts w:hint="eastAsia"/>
          <w:sz w:val="28"/>
          <w:szCs w:val="36"/>
          <w:lang w:val="en-US" w:eastAsia="zh-CN"/>
        </w:rPr>
        <w:t>说明：数据库除了按业务板块分类外，还需可以通过标签、关键词跨库检索调用。</w:t>
      </w:r>
    </w:p>
    <w:p w14:paraId="43ADF8C5">
      <w:pPr>
        <w:pStyle w:val="2"/>
        <w:numPr>
          <w:ilvl w:val="0"/>
          <w:numId w:val="1"/>
        </w:numPr>
        <w:bidi w:val="0"/>
        <w:rPr>
          <w:rFonts w:hint="default"/>
          <w:sz w:val="32"/>
          <w:szCs w:val="20"/>
          <w:lang w:val="en-US" w:eastAsia="zh-CN"/>
        </w:rPr>
      </w:pPr>
      <w:r>
        <w:rPr>
          <w:rFonts w:hint="eastAsia"/>
          <w:sz w:val="32"/>
          <w:szCs w:val="20"/>
          <w:lang w:val="en-US" w:eastAsia="zh-CN"/>
        </w:rPr>
        <w:t>模板库分类说明</w:t>
      </w:r>
    </w:p>
    <w:p w14:paraId="1CDA1D3C">
      <w:pPr>
        <w:numPr>
          <w:ilvl w:val="0"/>
          <w:numId w:val="3"/>
        </w:numPr>
        <w:rPr>
          <w:rFonts w:hint="eastAsia"/>
          <w:sz w:val="28"/>
          <w:szCs w:val="36"/>
          <w:lang w:val="en-US" w:eastAsia="zh-CN"/>
        </w:rPr>
      </w:pPr>
      <w:r>
        <w:rPr>
          <w:rFonts w:hint="eastAsia"/>
          <w:sz w:val="28"/>
          <w:szCs w:val="36"/>
          <w:lang w:val="en-US" w:eastAsia="zh-CN"/>
        </w:rPr>
        <w:t>五年规划</w:t>
      </w:r>
    </w:p>
    <w:p w14:paraId="1D733802">
      <w:pPr>
        <w:numPr>
          <w:ilvl w:val="0"/>
          <w:numId w:val="3"/>
        </w:numPr>
        <w:rPr>
          <w:rFonts w:hint="default"/>
          <w:sz w:val="28"/>
          <w:szCs w:val="36"/>
          <w:lang w:val="en-US" w:eastAsia="zh-CN"/>
        </w:rPr>
      </w:pPr>
      <w:r>
        <w:rPr>
          <w:rFonts w:hint="eastAsia"/>
          <w:sz w:val="28"/>
          <w:szCs w:val="36"/>
          <w:lang w:val="en-US" w:eastAsia="zh-CN"/>
        </w:rPr>
        <w:t>产业产业测评</w:t>
      </w:r>
    </w:p>
    <w:p w14:paraId="2522DBE9">
      <w:pPr>
        <w:numPr>
          <w:ilvl w:val="0"/>
          <w:numId w:val="3"/>
        </w:numPr>
        <w:rPr>
          <w:rFonts w:hint="default"/>
          <w:sz w:val="28"/>
          <w:szCs w:val="36"/>
          <w:lang w:val="en-US" w:eastAsia="zh-CN"/>
        </w:rPr>
      </w:pPr>
      <w:r>
        <w:rPr>
          <w:rFonts w:hint="eastAsia"/>
          <w:sz w:val="28"/>
          <w:szCs w:val="36"/>
          <w:lang w:val="en-US" w:eastAsia="zh-CN"/>
        </w:rPr>
        <w:t>产业研究报告</w:t>
      </w:r>
    </w:p>
    <w:p w14:paraId="09D685FD">
      <w:pPr>
        <w:numPr>
          <w:ilvl w:val="0"/>
          <w:numId w:val="3"/>
        </w:numPr>
        <w:rPr>
          <w:rFonts w:hint="default"/>
          <w:sz w:val="28"/>
          <w:szCs w:val="36"/>
          <w:lang w:val="en-US" w:eastAsia="zh-CN"/>
        </w:rPr>
      </w:pPr>
      <w:r>
        <w:rPr>
          <w:rFonts w:hint="eastAsia"/>
          <w:sz w:val="28"/>
          <w:szCs w:val="36"/>
          <w:lang w:val="en-US" w:eastAsia="zh-CN"/>
        </w:rPr>
        <w:t>产业规划与政策</w:t>
      </w:r>
    </w:p>
    <w:p w14:paraId="0CB213EA">
      <w:pPr>
        <w:numPr>
          <w:ilvl w:val="0"/>
          <w:numId w:val="3"/>
        </w:numPr>
        <w:rPr>
          <w:rFonts w:hint="default"/>
          <w:sz w:val="28"/>
          <w:szCs w:val="36"/>
          <w:lang w:val="en-US" w:eastAsia="zh-CN"/>
        </w:rPr>
      </w:pPr>
      <w:r>
        <w:rPr>
          <w:rFonts w:hint="eastAsia"/>
          <w:sz w:val="28"/>
          <w:szCs w:val="36"/>
          <w:lang w:val="en-US" w:eastAsia="zh-CN"/>
        </w:rPr>
        <w:t>产业托管方案</w:t>
      </w:r>
    </w:p>
    <w:p w14:paraId="64C3B268">
      <w:pPr>
        <w:numPr>
          <w:ilvl w:val="0"/>
          <w:numId w:val="3"/>
        </w:numPr>
        <w:rPr>
          <w:rFonts w:hint="default"/>
          <w:sz w:val="28"/>
          <w:szCs w:val="36"/>
          <w:lang w:val="en-US" w:eastAsia="zh-CN"/>
        </w:rPr>
      </w:pPr>
      <w:r>
        <w:rPr>
          <w:rFonts w:hint="eastAsia"/>
          <w:sz w:val="28"/>
          <w:szCs w:val="36"/>
          <w:lang w:val="en-US" w:eastAsia="zh-CN"/>
        </w:rPr>
        <w:t>园区托管方案</w:t>
      </w:r>
    </w:p>
    <w:p w14:paraId="78391475">
      <w:pPr>
        <w:numPr>
          <w:ilvl w:val="0"/>
          <w:numId w:val="3"/>
        </w:numPr>
        <w:rPr>
          <w:rFonts w:hint="default"/>
          <w:sz w:val="28"/>
          <w:szCs w:val="36"/>
          <w:lang w:val="en-US" w:eastAsia="zh-CN"/>
        </w:rPr>
      </w:pPr>
      <w:r>
        <w:rPr>
          <w:rFonts w:hint="eastAsia"/>
          <w:sz w:val="28"/>
          <w:szCs w:val="36"/>
          <w:lang w:val="en-US" w:eastAsia="zh-CN"/>
        </w:rPr>
        <w:t>办公文书</w:t>
      </w:r>
    </w:p>
    <w:p w14:paraId="088555E8">
      <w:pPr>
        <w:pStyle w:val="2"/>
        <w:numPr>
          <w:ilvl w:val="0"/>
          <w:numId w:val="1"/>
        </w:numPr>
        <w:bidi w:val="0"/>
        <w:rPr>
          <w:rFonts w:hint="default"/>
          <w:b/>
          <w:sz w:val="32"/>
          <w:szCs w:val="20"/>
          <w:highlight w:val="yellow"/>
          <w:u w:val="single"/>
          <w:lang w:val="en-US" w:eastAsia="zh-CN"/>
        </w:rPr>
      </w:pPr>
      <w:r>
        <w:rPr>
          <w:rFonts w:hint="eastAsia"/>
          <w:b/>
          <w:sz w:val="32"/>
          <w:szCs w:val="20"/>
          <w:lang w:val="en-US" w:eastAsia="zh-CN"/>
        </w:rPr>
        <w:t>业务流程案例1：景德镇五年规划</w:t>
      </w:r>
      <w:r>
        <w:rPr>
          <w:rFonts w:hint="eastAsia"/>
          <w:b/>
          <w:sz w:val="32"/>
          <w:szCs w:val="20"/>
          <w:highlight w:val="yellow"/>
          <w:u w:val="single"/>
          <w:lang w:val="en-US" w:eastAsia="zh-CN"/>
        </w:rPr>
        <w:t>思路</w:t>
      </w:r>
    </w:p>
    <w:p w14:paraId="3C897CCB">
      <w:pPr>
        <w:pStyle w:val="3"/>
        <w:numPr>
          <w:ilvl w:val="0"/>
          <w:numId w:val="4"/>
        </w:numPr>
        <w:bidi w:val="0"/>
        <w:rPr>
          <w:rFonts w:hint="eastAsia"/>
          <w:lang w:val="en-US" w:eastAsia="zh-CN"/>
        </w:rPr>
      </w:pPr>
      <w:r>
        <w:rPr>
          <w:rFonts w:hint="eastAsia"/>
          <w:lang w:val="en-US" w:eastAsia="zh-CN"/>
        </w:rPr>
        <w:t>模型1：景德镇“十四五”规划执行情况（6166字）</w:t>
      </w:r>
    </w:p>
    <w:p w14:paraId="459EBE32">
      <w:pPr>
        <w:spacing w:before="0" w:after="0" w:line="560" w:lineRule="exact"/>
        <w:ind w:firstLine="640" w:firstLineChars="200"/>
        <w:rPr>
          <w:rFonts w:ascii="Times New Roman" w:hAnsi="Times New Roman" w:eastAsia="楷体_GB2312"/>
          <w:b w:val="0"/>
          <w:bCs w:val="0"/>
          <w:sz w:val="32"/>
        </w:rPr>
      </w:pPr>
      <w:bookmarkStart w:id="0" w:name="_Toc201331270"/>
      <w:r>
        <w:rPr>
          <w:rFonts w:hint="eastAsia" w:ascii="Times New Roman" w:hAnsi="Times New Roman" w:eastAsia="楷体_GB2312"/>
          <w:b w:val="0"/>
          <w:bCs w:val="0"/>
          <w:sz w:val="32"/>
          <w:lang w:val="en-US" w:eastAsia="zh-CN"/>
        </w:rPr>
        <w:t>1.1</w:t>
      </w:r>
      <w:r>
        <w:rPr>
          <w:rFonts w:hint="eastAsia" w:ascii="Times New Roman" w:hAnsi="Times New Roman" w:eastAsia="楷体_GB2312"/>
          <w:b w:val="0"/>
          <w:bCs w:val="0"/>
          <w:sz w:val="32"/>
        </w:rPr>
        <w:t>综合实力稳步提升</w:t>
      </w:r>
      <w:bookmarkEnd w:id="0"/>
    </w:p>
    <w:p w14:paraId="75F36D5C">
      <w:pPr>
        <w:adjustRightInd w:val="0"/>
        <w:snapToGrid w:val="0"/>
        <w:spacing w:line="560" w:lineRule="exact"/>
        <w:ind w:firstLine="640" w:firstLineChars="200"/>
        <w:rPr>
          <w:rFonts w:ascii="仿宋_GB2312" w:hAnsi="仿宋" w:eastAsia="仿宋_GB2312" w:cs="仿宋"/>
          <w:color w:val="auto"/>
          <w:sz w:val="32"/>
          <w:szCs w:val="32"/>
          <w:highlight w:val="none"/>
        </w:rPr>
      </w:pPr>
      <w:r>
        <w:rPr>
          <w:rFonts w:ascii="Times New Roman" w:hAnsi="Times New Roman" w:eastAsia="仿宋_GB2312"/>
          <w:color w:val="auto"/>
          <w:sz w:val="32"/>
          <w:szCs w:val="32"/>
          <w:highlight w:val="none"/>
        </w:rPr>
        <w:t>“十四五”期间，面对</w:t>
      </w:r>
      <w:r>
        <w:rPr>
          <w:rFonts w:hint="eastAsia" w:ascii="Times New Roman" w:hAnsi="Times New Roman" w:eastAsia="仿宋_GB2312"/>
          <w:color w:val="auto"/>
          <w:sz w:val="32"/>
          <w:szCs w:val="32"/>
          <w:highlight w:val="none"/>
        </w:rPr>
        <w:t>百年变局和世纪疫情交织叠加，世界进入动荡变革期</w:t>
      </w:r>
      <w:r>
        <w:rPr>
          <w:rFonts w:ascii="Times New Roman" w:hAnsi="Times New Roman" w:eastAsia="仿宋_GB2312"/>
          <w:color w:val="auto"/>
          <w:sz w:val="32"/>
          <w:szCs w:val="32"/>
          <w:highlight w:val="none"/>
        </w:rPr>
        <w:t>等严峻形势，我市</w:t>
      </w:r>
      <w:r>
        <w:rPr>
          <w:rFonts w:hint="eastAsia" w:ascii="Times New Roman" w:hAnsi="Times New Roman" w:eastAsia="仿宋_GB2312"/>
          <w:color w:val="auto"/>
          <w:sz w:val="32"/>
          <w:szCs w:val="32"/>
          <w:highlight w:val="none"/>
        </w:rPr>
        <w:t>以景德镇国家陶瓷文化传承创新试验区建设为统领，统筹推进稳增长、促改革、调结构、惠民生、优生态、防风险、保稳定各项工作，全市经济社会保持平稳健康发展</w:t>
      </w:r>
      <w:r>
        <w:rPr>
          <w:rFonts w:ascii="Times New Roman" w:hAnsi="Times New Roman" w:eastAsia="仿宋_GB2312"/>
          <w:color w:val="auto"/>
          <w:sz w:val="32"/>
          <w:szCs w:val="32"/>
          <w:highlight w:val="none"/>
        </w:rPr>
        <w:t>。</w:t>
      </w:r>
      <w:r>
        <w:rPr>
          <w:rFonts w:hint="eastAsia" w:ascii="Times New Roman" w:hAnsi="Times New Roman" w:eastAsia="仿宋_GB2312"/>
          <w:color w:val="auto"/>
          <w:sz w:val="32"/>
          <w:szCs w:val="32"/>
          <w:highlight w:val="none"/>
        </w:rPr>
        <w:t>“十四五”期间全市</w:t>
      </w:r>
      <w:r>
        <w:rPr>
          <w:rFonts w:ascii="Times New Roman" w:hAnsi="Times New Roman" w:eastAsia="仿宋_GB2312"/>
          <w:color w:val="auto"/>
          <w:sz w:val="32"/>
          <w:szCs w:val="32"/>
          <w:highlight w:val="none"/>
        </w:rPr>
        <w:t>地区生产总值（GDP）突破千亿大关</w:t>
      </w:r>
      <w:r>
        <w:rPr>
          <w:rFonts w:hint="eastAsia" w:ascii="Times New Roman" w:hAnsi="Times New Roman" w:eastAsia="仿宋_GB2312"/>
          <w:color w:val="auto"/>
          <w:sz w:val="32"/>
          <w:szCs w:val="32"/>
          <w:highlight w:val="none"/>
        </w:rPr>
        <w:t>，</w:t>
      </w:r>
      <w:r>
        <w:rPr>
          <w:rFonts w:ascii="Times New Roman" w:hAnsi="Times New Roman" w:eastAsia="仿宋_GB2312"/>
          <w:color w:val="auto"/>
          <w:sz w:val="32"/>
          <w:szCs w:val="32"/>
          <w:highlight w:val="none"/>
        </w:rPr>
        <w:t>2024年实现1179.30亿元</w:t>
      </w:r>
      <w:r>
        <w:rPr>
          <w:rFonts w:hint="eastAsia" w:ascii="Times New Roman" w:hAnsi="Times New Roman" w:eastAsia="仿宋_GB2312"/>
          <w:color w:val="auto"/>
          <w:sz w:val="32"/>
          <w:szCs w:val="32"/>
          <w:highlight w:val="none"/>
        </w:rPr>
        <w:t>，期间年均增速约4.8</w:t>
      </w:r>
      <w:r>
        <w:rPr>
          <w:rFonts w:ascii="Times New Roman" w:hAnsi="Times New Roman" w:eastAsia="仿宋_GB2312"/>
          <w:color w:val="auto"/>
          <w:sz w:val="32"/>
          <w:szCs w:val="32"/>
          <w:highlight w:val="none"/>
        </w:rPr>
        <w:t>%</w:t>
      </w:r>
      <w:r>
        <w:rPr>
          <w:rFonts w:hint="eastAsia" w:ascii="Times New Roman" w:hAnsi="Times New Roman" w:eastAsia="仿宋_GB2312"/>
          <w:color w:val="auto"/>
          <w:sz w:val="32"/>
          <w:szCs w:val="32"/>
          <w:highlight w:val="none"/>
        </w:rPr>
        <w:t>，预计“十四五”规划提出的G</w:t>
      </w:r>
      <w:r>
        <w:rPr>
          <w:rFonts w:ascii="Times New Roman" w:hAnsi="Times New Roman" w:eastAsia="仿宋_GB2312"/>
          <w:color w:val="auto"/>
          <w:sz w:val="32"/>
          <w:szCs w:val="32"/>
          <w:highlight w:val="none"/>
        </w:rPr>
        <w:t>DP</w:t>
      </w:r>
      <w:r>
        <w:rPr>
          <w:rFonts w:hint="eastAsia" w:ascii="Times New Roman" w:hAnsi="Times New Roman" w:eastAsia="仿宋_GB2312"/>
          <w:color w:val="auto"/>
          <w:sz w:val="32"/>
          <w:szCs w:val="32"/>
          <w:highlight w:val="none"/>
        </w:rPr>
        <w:t>达1200亿元目标可顺利完成</w:t>
      </w:r>
      <w:r>
        <w:rPr>
          <w:rFonts w:ascii="Times New Roman" w:hAnsi="Times New Roman" w:eastAsia="仿宋_GB2312"/>
          <w:color w:val="auto"/>
          <w:sz w:val="32"/>
          <w:szCs w:val="32"/>
          <w:highlight w:val="none"/>
        </w:rPr>
        <w:t>。</w:t>
      </w:r>
      <w:r>
        <w:rPr>
          <w:rFonts w:hint="eastAsia" w:ascii="Times New Roman" w:hAnsi="Times New Roman" w:eastAsia="仿宋_GB2312"/>
          <w:color w:val="auto"/>
          <w:sz w:val="32"/>
          <w:szCs w:val="32"/>
          <w:highlight w:val="none"/>
        </w:rPr>
        <w:t>2024年固定资产投资增速实现由负转正，2023年全员劳动生产率达14.79万元/人，较2</w:t>
      </w:r>
      <w:r>
        <w:rPr>
          <w:rFonts w:ascii="Times New Roman" w:hAnsi="Times New Roman" w:eastAsia="仿宋_GB2312"/>
          <w:color w:val="auto"/>
          <w:sz w:val="32"/>
          <w:szCs w:val="32"/>
          <w:highlight w:val="none"/>
        </w:rPr>
        <w:t>020</w:t>
      </w:r>
      <w:r>
        <w:rPr>
          <w:rFonts w:hint="eastAsia" w:ascii="Times New Roman" w:hAnsi="Times New Roman" w:eastAsia="仿宋_GB2312"/>
          <w:color w:val="auto"/>
          <w:sz w:val="32"/>
          <w:szCs w:val="32"/>
          <w:highlight w:val="none"/>
        </w:rPr>
        <w:t>年增长2</w:t>
      </w:r>
      <w:r>
        <w:rPr>
          <w:rFonts w:ascii="Times New Roman" w:hAnsi="Times New Roman" w:eastAsia="仿宋_GB2312"/>
          <w:color w:val="auto"/>
          <w:sz w:val="32"/>
          <w:szCs w:val="32"/>
          <w:highlight w:val="none"/>
        </w:rPr>
        <w:t>4%</w:t>
      </w:r>
      <w:r>
        <w:rPr>
          <w:rFonts w:hint="eastAsia" w:ascii="Times New Roman" w:hAnsi="Times New Roman" w:eastAsia="仿宋_GB2312"/>
          <w:color w:val="auto"/>
          <w:sz w:val="32"/>
          <w:szCs w:val="32"/>
          <w:highlight w:val="none"/>
        </w:rPr>
        <w:t>。</w:t>
      </w:r>
      <w:r>
        <w:rPr>
          <w:rFonts w:ascii="Times New Roman" w:hAnsi="Times New Roman" w:eastAsia="仿宋_GB2312"/>
          <w:color w:val="auto"/>
          <w:sz w:val="32"/>
          <w:szCs w:val="32"/>
          <w:highlight w:val="none"/>
        </w:rPr>
        <w:t>三次产业结构由“十三五”末的7.3：</w:t>
      </w:r>
      <w:r>
        <w:rPr>
          <w:rFonts w:hint="eastAsia" w:ascii="Times New Roman" w:hAnsi="Times New Roman" w:eastAsia="仿宋_GB2312"/>
          <w:color w:val="auto"/>
          <w:sz w:val="32"/>
          <w:szCs w:val="32"/>
          <w:highlight w:val="none"/>
        </w:rPr>
        <w:t>4</w:t>
      </w:r>
      <w:r>
        <w:rPr>
          <w:rFonts w:ascii="Times New Roman" w:hAnsi="Times New Roman" w:eastAsia="仿宋_GB2312"/>
          <w:color w:val="auto"/>
          <w:sz w:val="32"/>
          <w:szCs w:val="32"/>
          <w:highlight w:val="none"/>
        </w:rPr>
        <w:t>1.2：</w:t>
      </w:r>
      <w:r>
        <w:rPr>
          <w:rFonts w:hint="eastAsia" w:ascii="Times New Roman" w:hAnsi="Times New Roman" w:eastAsia="仿宋_GB2312"/>
          <w:color w:val="auto"/>
          <w:sz w:val="32"/>
          <w:szCs w:val="32"/>
          <w:highlight w:val="none"/>
        </w:rPr>
        <w:t>5</w:t>
      </w:r>
      <w:r>
        <w:rPr>
          <w:rFonts w:ascii="Times New Roman" w:hAnsi="Times New Roman" w:eastAsia="仿宋_GB2312"/>
          <w:color w:val="auto"/>
          <w:sz w:val="32"/>
          <w:szCs w:val="32"/>
          <w:highlight w:val="none"/>
        </w:rPr>
        <w:t>1.5优化调整为2024年的6.7：41.1：52.2，呈现总体均衡、多元共兴发展格局，经济韧性显著增强。</w:t>
      </w:r>
    </w:p>
    <w:p w14:paraId="16B76387">
      <w:pPr>
        <w:spacing w:before="0" w:after="0" w:line="560" w:lineRule="exact"/>
        <w:ind w:firstLine="640" w:firstLineChars="200"/>
        <w:rPr>
          <w:rFonts w:ascii="Times New Roman" w:hAnsi="Times New Roman" w:eastAsia="楷体_GB2312"/>
          <w:b w:val="0"/>
          <w:bCs w:val="0"/>
          <w:color w:val="auto"/>
          <w:sz w:val="32"/>
          <w:highlight w:val="none"/>
        </w:rPr>
      </w:pPr>
      <w:bookmarkStart w:id="1" w:name="_Toc201331271"/>
      <w:r>
        <w:rPr>
          <w:rFonts w:hint="eastAsia" w:ascii="Times New Roman" w:hAnsi="Times New Roman" w:eastAsia="楷体_GB2312"/>
          <w:b w:val="0"/>
          <w:bCs w:val="0"/>
          <w:color w:val="auto"/>
          <w:sz w:val="32"/>
          <w:highlight w:val="none"/>
          <w:lang w:val="en-US" w:eastAsia="zh-CN"/>
        </w:rPr>
        <w:t>1.2</w:t>
      </w:r>
      <w:r>
        <w:rPr>
          <w:rFonts w:hint="eastAsia" w:ascii="Times New Roman" w:hAnsi="Times New Roman" w:eastAsia="楷体_GB2312"/>
          <w:b w:val="0"/>
          <w:bCs w:val="0"/>
          <w:color w:val="auto"/>
          <w:sz w:val="32"/>
          <w:highlight w:val="none"/>
        </w:rPr>
        <w:t>国家试验区建设有力推进</w:t>
      </w:r>
      <w:bookmarkEnd w:id="1"/>
    </w:p>
    <w:p w14:paraId="7050F30E">
      <w:pPr>
        <w:adjustRightInd w:val="0"/>
        <w:snapToGrid w:val="0"/>
        <w:spacing w:line="560" w:lineRule="exact"/>
        <w:ind w:firstLine="643" w:firstLineChars="200"/>
        <w:rPr>
          <w:rFonts w:ascii="仿宋_GB2312" w:hAnsi="仿宋" w:eastAsia="仿宋_GB2312" w:cs="仿宋"/>
          <w:color w:val="auto"/>
          <w:sz w:val="32"/>
          <w:szCs w:val="32"/>
          <w:highlight w:val="none"/>
        </w:rPr>
      </w:pPr>
      <w:r>
        <w:rPr>
          <w:rFonts w:hint="eastAsia" w:ascii="Times New Roman" w:hAnsi="Times New Roman" w:eastAsia="仿宋_GB2312"/>
          <w:b/>
          <w:bCs/>
          <w:color w:val="auto"/>
          <w:sz w:val="32"/>
          <w:szCs w:val="32"/>
          <w:highlight w:val="none"/>
        </w:rPr>
        <w:t>陶瓷文化保护传承创新建设有力。</w:t>
      </w:r>
      <w:r>
        <w:rPr>
          <w:rFonts w:hint="eastAsia" w:ascii="Times New Roman" w:hAnsi="Times New Roman" w:eastAsia="仿宋_GB2312"/>
          <w:color w:val="auto"/>
          <w:sz w:val="32"/>
          <w:szCs w:val="32"/>
          <w:highlight w:val="none"/>
        </w:rPr>
        <w:t>颁布实施《景德镇市瓷业文化遗产保护条例》《景德镇手工瓷业遗存系列遗产保护管理规划》，明确将“景德镇手工瓷业遗存”列为中国2026年世界遗产提名项目。健全陶瓷非物质文化遗产保护名录体系，加强手工制瓷非物质文化遗产代表性传承人队伍建设。升级改造景德镇非物质文化遗产展示馆，提升了陶瓷非物质文化遗产展示和传播水平。景德镇诚德轩瓷业有限公司入选2023-2025年度国家级非遗生产性保护示范基地名单。成功创建陶瓷文化生态保护实验区，编制完成《景德镇陶瓷文化生态保护区总体规划》，陶瓷非物质文化遗产区域性整体保护水平持续提升，有效维护和培育了陶瓷文化生态。在全国率先制定出台《景德镇市陶瓷文化传承创新条例》地方性法规，成立景德镇非物质文化遗产保护协会。收集整理编纂陶瓷文化典籍文献，出版《景德镇陶瓷史料（1949-2019）》《&lt;景德镇陶录&gt;注评》《景德镇陶瓷史话》《景德镇陶瓷简史》等一系列陶瓷文化典籍，推出了《China》《经海山》《派上镇》《瓷心》等一批展示景德镇陶瓷文化的艺术精品，深入宣传阐释景德镇陶瓷文化。围绕“一轴五陶、一城千馆”整体布局，打造“千馆之城”，制订《景德镇“千馆之城”建设实施方案》，颁布实施《非国有博物馆管理办法》，统筹推动不同层级、不同属性、不同类型博物馆协调发展，试验区现有经文化文物部门批准设立的陶瓷文化博物馆27家、美术馆15家、各类工艺馆、收藏馆、名家展厅等890多家。</w:t>
      </w:r>
      <w:r>
        <w:rPr>
          <w:rFonts w:hint="eastAsia" w:ascii="Times New Roman" w:hAnsi="Times New Roman" w:eastAsia="仿宋_GB2312"/>
          <w:b/>
          <w:bCs/>
          <w:color w:val="auto"/>
          <w:sz w:val="32"/>
          <w:szCs w:val="32"/>
          <w:highlight w:val="none"/>
        </w:rPr>
        <w:t>陶瓷文化产业创新发展成效显著。</w:t>
      </w:r>
      <w:r>
        <w:rPr>
          <w:rFonts w:hint="eastAsia" w:ascii="Times New Roman" w:hAnsi="Times New Roman" w:eastAsia="仿宋_GB2312"/>
          <w:color w:val="auto"/>
          <w:sz w:val="32"/>
          <w:szCs w:val="32"/>
          <w:highlight w:val="none"/>
        </w:rPr>
        <w:t>陶瓷产业集聚日趋成熟，建成中日先进陶瓷产业合作园、陶瓷智造工坊、陶瓷产业孵化器（加速基地）；建成陶瓷工业互联网、产业大数据中心、伊人如瓷有限公司、邑山陶瓷智造工坊和中小企业培育加速基地等多家陶瓷产业公共服务平台；联合大院大所打造了上硅所陶文旅先进陶瓷材料联合实验室等先进陶瓷科研创新和服务平台。探索区块链技术在陶瓷溯源、陶瓷防伪等领域的应用，获批国内首个陶瓷行业标识解析二级节点城市。颁布《“景德镇制”陶瓷保护条例》，制定</w:t>
      </w:r>
      <w:r>
        <w:rPr>
          <w:rFonts w:ascii="Times New Roman" w:hAnsi="Times New Roman" w:eastAsia="仿宋_GB2312"/>
          <w:color w:val="auto"/>
          <w:sz w:val="32"/>
          <w:szCs w:val="32"/>
          <w:highlight w:val="none"/>
        </w:rPr>
        <w:t>2</w:t>
      </w:r>
      <w:r>
        <w:rPr>
          <w:rFonts w:hint="eastAsia" w:ascii="Times New Roman" w:hAnsi="Times New Roman" w:eastAsia="仿宋_GB2312"/>
          <w:color w:val="auto"/>
          <w:sz w:val="32"/>
          <w:szCs w:val="32"/>
          <w:highlight w:val="none"/>
        </w:rPr>
        <w:t>项地方标准、</w:t>
      </w:r>
      <w:r>
        <w:rPr>
          <w:rFonts w:ascii="Times New Roman" w:hAnsi="Times New Roman" w:eastAsia="仿宋_GB2312"/>
          <w:color w:val="auto"/>
          <w:sz w:val="32"/>
          <w:szCs w:val="32"/>
          <w:highlight w:val="none"/>
        </w:rPr>
        <w:t>6</w:t>
      </w:r>
      <w:r>
        <w:rPr>
          <w:rFonts w:hint="eastAsia" w:ascii="Times New Roman" w:hAnsi="Times New Roman" w:eastAsia="仿宋_GB2312"/>
          <w:color w:val="auto"/>
          <w:sz w:val="32"/>
          <w:szCs w:val="32"/>
          <w:highlight w:val="none"/>
        </w:rPr>
        <w:t>项团体标准，夯实产业发展根基。</w:t>
      </w:r>
      <w:r>
        <w:rPr>
          <w:rFonts w:hint="eastAsia" w:ascii="Times New Roman" w:hAnsi="Times New Roman" w:eastAsia="仿宋_GB2312"/>
          <w:b/>
          <w:bCs/>
          <w:color w:val="auto"/>
          <w:sz w:val="32"/>
          <w:szCs w:val="32"/>
          <w:highlight w:val="none"/>
        </w:rPr>
        <w:t>陶瓷文化和旅游业深度融合效果显著。</w:t>
      </w:r>
      <w:r>
        <w:rPr>
          <w:rFonts w:hint="eastAsia" w:ascii="Times New Roman" w:hAnsi="Times New Roman" w:eastAsia="仿宋_GB2312"/>
          <w:color w:val="auto"/>
          <w:sz w:val="32"/>
          <w:szCs w:val="32"/>
          <w:highlight w:val="none"/>
        </w:rPr>
        <w:t>以御窑厂遗址为核心的陶阳里历史文化街区，通过大遗址保护与传统里弄修缮，成为展示陶瓷文化的“活态博物馆”；陶溪川文创街区将工业遗产转化为“艺术</w:t>
      </w:r>
      <w:r>
        <w:rPr>
          <w:rFonts w:ascii="Times New Roman" w:hAnsi="Times New Roman" w:eastAsia="仿宋_GB2312"/>
          <w:color w:val="auto"/>
          <w:sz w:val="32"/>
          <w:szCs w:val="32"/>
          <w:highlight w:val="none"/>
        </w:rPr>
        <w:t>+</w:t>
      </w:r>
      <w:r>
        <w:rPr>
          <w:rFonts w:hint="eastAsia" w:ascii="Times New Roman" w:hAnsi="Times New Roman" w:eastAsia="仿宋_GB2312"/>
          <w:color w:val="auto"/>
          <w:sz w:val="32"/>
          <w:szCs w:val="32"/>
          <w:highlight w:val="none"/>
        </w:rPr>
        <w:t>消费”综合体，年均举办陶瓷集市等活动超百场，获评国家文化和科技融合示范基地；高岭</w:t>
      </w:r>
      <w:r>
        <w:rPr>
          <w:rFonts w:hint="eastAsia" w:ascii="微软雅黑" w:hAnsi="微软雅黑" w:eastAsia="微软雅黑" w:cs="微软雅黑"/>
          <w:color w:val="auto"/>
          <w:sz w:val="32"/>
          <w:szCs w:val="32"/>
          <w:highlight w:val="none"/>
        </w:rPr>
        <w:t>・</w:t>
      </w:r>
      <w:r>
        <w:rPr>
          <w:rFonts w:hint="eastAsia" w:ascii="仿宋_GB2312" w:hAnsi="仿宋_GB2312" w:eastAsia="仿宋_GB2312" w:cs="仿宋_GB2312"/>
          <w:color w:val="auto"/>
          <w:sz w:val="32"/>
          <w:szCs w:val="32"/>
          <w:highlight w:val="none"/>
        </w:rPr>
        <w:t>中国村田园综合体融合瓷茶文旅与生态农业，建成瓷茶博物馆、智慧茶园等项目，成为“陶瓷</w:t>
      </w:r>
      <w:r>
        <w:rPr>
          <w:rFonts w:hint="eastAsia" w:ascii="Times New Roman" w:hAnsi="Times New Roman" w:eastAsia="仿宋_GB2312"/>
          <w:color w:val="auto"/>
          <w:sz w:val="32"/>
          <w:szCs w:val="32"/>
          <w:highlight w:val="none"/>
        </w:rPr>
        <w:t>+乡村旅游”标杆。“千馆之城”“陶瓷主题街区”等特色场景提升城市辨识度。2024年接待3901.91万人次，旅游总收入372.66亿元，其中境外游客10.16万人次。</w:t>
      </w:r>
      <w:r>
        <w:rPr>
          <w:rFonts w:hint="eastAsia" w:ascii="Times New Roman" w:hAnsi="Times New Roman" w:eastAsia="仿宋_GB2312"/>
          <w:b/>
          <w:bCs/>
          <w:color w:val="auto"/>
          <w:sz w:val="32"/>
          <w:szCs w:val="32"/>
          <w:highlight w:val="none"/>
        </w:rPr>
        <w:t>陶瓷人才活力进一步迸发。</w:t>
      </w:r>
      <w:r>
        <w:rPr>
          <w:rFonts w:hint="eastAsia" w:ascii="Times New Roman" w:hAnsi="Times New Roman" w:eastAsia="仿宋_GB2312"/>
          <w:color w:val="auto"/>
          <w:sz w:val="32"/>
          <w:szCs w:val="32"/>
          <w:highlight w:val="none"/>
        </w:rPr>
        <w:t>实施“双招双引”工程，制定陶瓷人才高地三年行动计划，创新“人才飞地”“科创飞地”模式。出台《景德镇市支持激励博士后创新发展七条措施》《景德镇市专业技术拔尖人才选拔工作管理办法》《关于促进“景漂”人才进一步创新创业若干措施》《关于“景漂”人才财政奖励扶持政策的意见》《景德镇市金融支持“景漂”人才发展实施细则》等一系列措施，进一步激发陶瓷人才创新创业活力，形成人才集聚效应。截止2024年非遗传承人较2019年增加1352人，“景漂”人数也从3万人增至6万人，其中“洋景漂”超5000人。</w:t>
      </w:r>
      <w:r>
        <w:rPr>
          <w:rFonts w:hint="eastAsia" w:ascii="Times New Roman" w:hAnsi="Times New Roman" w:eastAsia="仿宋_GB2312"/>
          <w:b/>
          <w:bCs/>
          <w:color w:val="auto"/>
          <w:sz w:val="32"/>
          <w:szCs w:val="32"/>
          <w:highlight w:val="none"/>
        </w:rPr>
        <w:t>陶瓷文化交流合作水平显著提升。</w:t>
      </w:r>
      <w:r>
        <w:rPr>
          <w:rFonts w:hint="eastAsia" w:ascii="Times New Roman" w:hAnsi="Times New Roman" w:eastAsia="仿宋_GB2312"/>
          <w:color w:val="auto"/>
          <w:sz w:val="32"/>
          <w:szCs w:val="32"/>
          <w:highlight w:val="none"/>
        </w:rPr>
        <w:t>成功获批第二批国家文化出口基地、中国（景德镇）跨境电子商务综合试验区和市场采购贸易方式试点城市，出台《加快推进中国（景德镇）跨境电子商务综合试验区发展若干政策（2024）》和景德镇市场采购贸易方式支持政策，建成景德镇陶瓷官方旗舰店，建成景德镇陶博城，与中国（福建）自由贸易试验区厦门片区达成“双区联动”战略合作，连续举办联合国教科文组织创意城市联盟展、中韩陶艺交流展、第五届“阿拉伯艺术节”“丝绸之路城市旅游联盟”等国际活动，成功申办2026年第52届 IAC 国际陶艺大会。</w:t>
      </w:r>
    </w:p>
    <w:p w14:paraId="6C89550C">
      <w:pPr>
        <w:spacing w:before="0" w:after="0" w:line="560" w:lineRule="exact"/>
        <w:ind w:firstLine="960" w:firstLineChars="300"/>
        <w:rPr>
          <w:rFonts w:ascii="Times New Roman" w:hAnsi="Times New Roman" w:eastAsia="楷体_GB2312"/>
          <w:b w:val="0"/>
          <w:bCs w:val="0"/>
          <w:color w:val="auto"/>
          <w:sz w:val="32"/>
          <w:highlight w:val="none"/>
        </w:rPr>
      </w:pPr>
      <w:bookmarkStart w:id="2" w:name="_Toc201331272"/>
      <w:r>
        <w:rPr>
          <w:rFonts w:hint="eastAsia" w:ascii="Times New Roman" w:hAnsi="Times New Roman" w:eastAsia="楷体_GB2312"/>
          <w:b w:val="0"/>
          <w:bCs w:val="0"/>
          <w:color w:val="auto"/>
          <w:sz w:val="32"/>
          <w:highlight w:val="none"/>
          <w:lang w:val="en-US" w:eastAsia="zh-CN"/>
        </w:rPr>
        <w:t>1.3</w:t>
      </w:r>
      <w:r>
        <w:rPr>
          <w:rFonts w:hint="eastAsia" w:ascii="Times New Roman" w:hAnsi="Times New Roman" w:eastAsia="楷体_GB2312"/>
          <w:b w:val="0"/>
          <w:bCs w:val="0"/>
          <w:color w:val="auto"/>
          <w:sz w:val="32"/>
          <w:highlight w:val="none"/>
        </w:rPr>
        <w:t>现代化</w:t>
      </w:r>
      <w:r>
        <w:rPr>
          <w:rFonts w:ascii="Times New Roman" w:hAnsi="Times New Roman" w:eastAsia="楷体_GB2312"/>
          <w:b w:val="0"/>
          <w:bCs w:val="0"/>
          <w:color w:val="auto"/>
          <w:sz w:val="32"/>
          <w:highlight w:val="none"/>
        </w:rPr>
        <w:t>产业体系加快</w:t>
      </w:r>
      <w:r>
        <w:rPr>
          <w:rFonts w:hint="eastAsia" w:ascii="Times New Roman" w:hAnsi="Times New Roman" w:eastAsia="楷体_GB2312"/>
          <w:b w:val="0"/>
          <w:bCs w:val="0"/>
          <w:color w:val="auto"/>
          <w:sz w:val="32"/>
          <w:highlight w:val="none"/>
        </w:rPr>
        <w:t>成型</w:t>
      </w:r>
      <w:bookmarkEnd w:id="2"/>
    </w:p>
    <w:p w14:paraId="6B909C07">
      <w:pPr>
        <w:adjustRightInd w:val="0"/>
        <w:snapToGrid w:val="0"/>
        <w:spacing w:line="560" w:lineRule="exact"/>
        <w:ind w:firstLine="640" w:firstLineChars="200"/>
        <w:rPr>
          <w:rFonts w:ascii="仿宋_GB2312" w:hAnsi="仿宋" w:eastAsia="仿宋_GB2312" w:cs="仿宋"/>
          <w:color w:val="auto"/>
          <w:sz w:val="32"/>
          <w:szCs w:val="32"/>
          <w:highlight w:val="none"/>
        </w:rPr>
      </w:pPr>
      <w:r>
        <w:rPr>
          <w:rFonts w:ascii="Times New Roman" w:hAnsi="Times New Roman" w:eastAsia="仿宋_GB2312"/>
          <w:color w:val="auto"/>
          <w:sz w:val="32"/>
          <w:szCs w:val="32"/>
          <w:highlight w:val="none"/>
        </w:rPr>
        <w:t>加快构建</w:t>
      </w:r>
      <w:r>
        <w:rPr>
          <w:rFonts w:hint="eastAsia" w:ascii="Times New Roman" w:hAnsi="Times New Roman" w:eastAsia="仿宋_GB2312"/>
          <w:color w:val="auto"/>
          <w:sz w:val="32"/>
          <w:szCs w:val="32"/>
          <w:highlight w:val="none"/>
        </w:rPr>
        <w:t>“1+2+N”现代化特色产业体系。</w:t>
      </w:r>
      <w:r>
        <w:rPr>
          <w:rFonts w:hint="eastAsia" w:ascii="Times New Roman" w:hAnsi="Times New Roman" w:eastAsia="仿宋_GB2312"/>
          <w:b/>
          <w:bCs/>
          <w:color w:val="auto"/>
          <w:sz w:val="32"/>
          <w:szCs w:val="32"/>
          <w:highlight w:val="none"/>
        </w:rPr>
        <w:t>工业实力持续增强，</w:t>
      </w:r>
      <w:r>
        <w:rPr>
          <w:rFonts w:hint="eastAsia" w:ascii="Times New Roman" w:hAnsi="Times New Roman" w:eastAsia="仿宋_GB2312"/>
          <w:color w:val="auto"/>
          <w:sz w:val="32"/>
          <w:szCs w:val="32"/>
          <w:highlight w:val="none"/>
        </w:rPr>
        <w:t>2024年全市规上工业总产值1214.76亿元。2</w:t>
      </w:r>
      <w:r>
        <w:rPr>
          <w:rFonts w:ascii="Times New Roman" w:hAnsi="Times New Roman" w:eastAsia="仿宋_GB2312"/>
          <w:color w:val="auto"/>
          <w:sz w:val="32"/>
          <w:szCs w:val="32"/>
          <w:highlight w:val="none"/>
        </w:rPr>
        <w:t>021</w:t>
      </w:r>
      <w:r>
        <w:rPr>
          <w:rFonts w:hint="eastAsia" w:ascii="Times New Roman" w:hAnsi="Times New Roman" w:eastAsia="仿宋_GB2312"/>
          <w:color w:val="auto"/>
          <w:sz w:val="32"/>
          <w:szCs w:val="32"/>
          <w:highlight w:val="none"/>
        </w:rPr>
        <w:t>—2</w:t>
      </w:r>
      <w:r>
        <w:rPr>
          <w:rFonts w:ascii="Times New Roman" w:hAnsi="Times New Roman" w:eastAsia="仿宋_GB2312"/>
          <w:color w:val="auto"/>
          <w:sz w:val="32"/>
          <w:szCs w:val="32"/>
          <w:highlight w:val="none"/>
        </w:rPr>
        <w:t>024</w:t>
      </w:r>
      <w:r>
        <w:rPr>
          <w:rFonts w:hint="eastAsia" w:ascii="Times New Roman" w:hAnsi="Times New Roman" w:eastAsia="仿宋_GB2312"/>
          <w:color w:val="auto"/>
          <w:sz w:val="32"/>
          <w:szCs w:val="32"/>
          <w:highlight w:val="none"/>
        </w:rPr>
        <w:t>四年间工业增加值增速维持在5%以上，先进陶瓷产业实现产值939亿元，航空产业实现营收312亿元，精细化工和医药产业实现营收520亿元，2023年规上工业企业数量较2</w:t>
      </w:r>
      <w:r>
        <w:rPr>
          <w:rFonts w:ascii="Times New Roman" w:hAnsi="Times New Roman" w:eastAsia="仿宋_GB2312"/>
          <w:color w:val="auto"/>
          <w:sz w:val="32"/>
          <w:szCs w:val="32"/>
          <w:highlight w:val="none"/>
        </w:rPr>
        <w:t>020</w:t>
      </w:r>
      <w:r>
        <w:rPr>
          <w:rFonts w:hint="eastAsia" w:ascii="Times New Roman" w:hAnsi="Times New Roman" w:eastAsia="仿宋_GB2312"/>
          <w:color w:val="auto"/>
          <w:sz w:val="32"/>
          <w:szCs w:val="32"/>
          <w:highlight w:val="none"/>
        </w:rPr>
        <w:t>年增长</w:t>
      </w:r>
      <w:r>
        <w:rPr>
          <w:rFonts w:ascii="Times New Roman" w:hAnsi="Times New Roman" w:eastAsia="仿宋_GB2312"/>
          <w:color w:val="auto"/>
          <w:sz w:val="32"/>
          <w:szCs w:val="32"/>
          <w:highlight w:val="none"/>
        </w:rPr>
        <w:t>54</w:t>
      </w:r>
      <w:r>
        <w:rPr>
          <w:rFonts w:hint="eastAsia" w:ascii="Times New Roman" w:hAnsi="Times New Roman" w:eastAsia="仿宋_GB2312"/>
          <w:color w:val="auto"/>
          <w:sz w:val="32"/>
          <w:szCs w:val="32"/>
          <w:highlight w:val="none"/>
        </w:rPr>
        <w:t>%，浮梁县陶瓷产业集群获批国家级中小企业特色产业集群；航空产业成功进入长三角（含江西）大飞机先进制造业集群，昌兴航空获评全国重点“小巨人”企业；富祥药业入选国家级专精特新“小巨人”企业，跻身中国化药企业百强，黑猫股份成为江西省唯一入选全国首批创建世界一流专精特新示范企业。</w:t>
      </w:r>
      <w:r>
        <w:rPr>
          <w:rFonts w:ascii="Times New Roman" w:hAnsi="Times New Roman" w:eastAsia="仿宋_GB2312"/>
          <w:b/>
          <w:bCs/>
          <w:color w:val="auto"/>
          <w:sz w:val="32"/>
          <w:szCs w:val="32"/>
          <w:highlight w:val="none"/>
        </w:rPr>
        <w:t>现代服务业加快发展，</w:t>
      </w:r>
      <w:r>
        <w:rPr>
          <w:rFonts w:hint="eastAsia" w:ascii="Times New Roman" w:hAnsi="Times New Roman" w:eastAsia="仿宋_GB2312"/>
          <w:color w:val="auto"/>
          <w:sz w:val="32"/>
          <w:szCs w:val="32"/>
          <w:highlight w:val="none"/>
        </w:rPr>
        <w:t>2024年服务业增加值615.87亿元，占GDP比重52.22%，2023年从业人员占就业人口46.7%，规上服务业企业数量较2020年增长</w:t>
      </w:r>
      <w:r>
        <w:rPr>
          <w:rFonts w:ascii="Times New Roman" w:hAnsi="Times New Roman" w:eastAsia="仿宋_GB2312"/>
          <w:color w:val="auto"/>
          <w:sz w:val="32"/>
          <w:szCs w:val="32"/>
          <w:highlight w:val="none"/>
        </w:rPr>
        <w:t>59%</w:t>
      </w:r>
      <w:r>
        <w:rPr>
          <w:rFonts w:hint="eastAsia" w:ascii="Times New Roman" w:hAnsi="Times New Roman" w:eastAsia="仿宋_GB2312"/>
          <w:color w:val="auto"/>
          <w:sz w:val="32"/>
          <w:szCs w:val="32"/>
          <w:highlight w:val="none"/>
        </w:rPr>
        <w:t>，获评“中国文旅融合创新发展示范城市”，创建全国首个国家陶瓷版权交易中心，陶溪川获批国家文化和科技融合示范基地，逸品天合获评国家级文化产业示范基地，“全域全时全龄夜间消费生态”入选全国文旅消费“改革创新二十佳案例”，2024年旅游接待人次达3901.91万人次，入境游人次增长103%，旅游总收入372.66亿元</w:t>
      </w:r>
      <w:r>
        <w:rPr>
          <w:rFonts w:hint="eastAsia" w:ascii="Times New Roman" w:hAnsi="Times New Roman" w:eastAsia="仿宋_GB2312"/>
          <w:b/>
          <w:bCs/>
          <w:color w:val="auto"/>
          <w:sz w:val="32"/>
          <w:szCs w:val="32"/>
          <w:highlight w:val="none"/>
        </w:rPr>
        <w:t>。推动农业现代化发展，</w:t>
      </w:r>
      <w:r>
        <w:rPr>
          <w:rFonts w:hint="eastAsia" w:ascii="Times New Roman" w:hAnsi="Times New Roman" w:eastAsia="仿宋_GB2312"/>
          <w:color w:val="auto"/>
          <w:sz w:val="32"/>
          <w:szCs w:val="32"/>
          <w:highlight w:val="none"/>
        </w:rPr>
        <w:t>新增7家市级以上农业产业化龙头企业，粮食播面稳定在143万亩、总产稳定在11亿斤以上，已建成高标准农田</w:t>
      </w:r>
      <w:r>
        <w:rPr>
          <w:rFonts w:ascii="Times New Roman" w:hAnsi="Times New Roman" w:eastAsia="仿宋_GB2312"/>
          <w:color w:val="auto"/>
          <w:sz w:val="32"/>
          <w:szCs w:val="32"/>
          <w:highlight w:val="none"/>
        </w:rPr>
        <w:t>93.18</w:t>
      </w:r>
      <w:r>
        <w:rPr>
          <w:rFonts w:hint="eastAsia" w:ascii="Times New Roman" w:hAnsi="Times New Roman" w:eastAsia="仿宋_GB2312"/>
          <w:color w:val="auto"/>
          <w:sz w:val="32"/>
          <w:szCs w:val="32"/>
          <w:highlight w:val="none"/>
        </w:rPr>
        <w:t>万亩，国家农业科技园通过科技部验收，“浮梁茶”获评“2024年度十大最具代表性中欧地理标志产品”。</w:t>
      </w:r>
      <w:r>
        <w:rPr>
          <w:rFonts w:hint="eastAsia" w:ascii="Times New Roman" w:hAnsi="Times New Roman" w:eastAsia="仿宋_GB2312"/>
          <w:b/>
          <w:bCs/>
          <w:color w:val="auto"/>
          <w:sz w:val="32"/>
          <w:szCs w:val="32"/>
          <w:highlight w:val="none"/>
        </w:rPr>
        <w:t>数字化转型步伐加快，</w:t>
      </w:r>
      <w:r>
        <w:rPr>
          <w:rFonts w:hint="eastAsia" w:ascii="Times New Roman" w:hAnsi="Times New Roman" w:eastAsia="仿宋_GB2312"/>
          <w:color w:val="auto"/>
          <w:sz w:val="32"/>
          <w:szCs w:val="32"/>
          <w:highlight w:val="none"/>
        </w:rPr>
        <w:t>成功创建国家“千兆城市”，实现规上工业企业数字化转型普查“全覆盖”，昌飞集团获评国家级智能制造示范工厂，宏柏新材获评国家数字化转型成熟度贯标试点，乐华陶瓷获AAA级“两化”融合管理体系评定，中国陶瓷工业互联网平台获评国家新一代信息技术与制造业融合发展示范项目。</w:t>
      </w:r>
    </w:p>
    <w:p w14:paraId="25BE9D53">
      <w:pPr>
        <w:spacing w:before="0" w:after="0" w:line="560" w:lineRule="exact"/>
        <w:ind w:firstLine="640" w:firstLineChars="200"/>
        <w:rPr>
          <w:rFonts w:ascii="Times New Roman" w:hAnsi="Times New Roman" w:eastAsia="楷体_GB2312"/>
          <w:b w:val="0"/>
          <w:bCs w:val="0"/>
          <w:color w:val="auto"/>
          <w:sz w:val="32"/>
          <w:highlight w:val="none"/>
        </w:rPr>
      </w:pPr>
      <w:bookmarkStart w:id="3" w:name="_Toc201331273"/>
      <w:r>
        <w:rPr>
          <w:rFonts w:hint="eastAsia" w:ascii="Times New Roman" w:hAnsi="Times New Roman" w:eastAsia="楷体_GB2312"/>
          <w:b w:val="0"/>
          <w:bCs w:val="0"/>
          <w:color w:val="auto"/>
          <w:sz w:val="32"/>
          <w:highlight w:val="none"/>
          <w:lang w:val="en-US" w:eastAsia="zh-CN"/>
        </w:rPr>
        <w:t>1.4</w:t>
      </w:r>
      <w:r>
        <w:rPr>
          <w:rFonts w:hint="eastAsia" w:ascii="Times New Roman" w:hAnsi="Times New Roman" w:eastAsia="楷体_GB2312"/>
          <w:b w:val="0"/>
          <w:bCs w:val="0"/>
          <w:color w:val="auto"/>
          <w:sz w:val="32"/>
          <w:highlight w:val="none"/>
        </w:rPr>
        <w:t>创新驱动作用明显增强</w:t>
      </w:r>
      <w:bookmarkEnd w:id="3"/>
    </w:p>
    <w:p w14:paraId="1CA63878">
      <w:pPr>
        <w:adjustRightInd w:val="0"/>
        <w:snapToGrid w:val="0"/>
        <w:spacing w:line="560" w:lineRule="exact"/>
        <w:ind w:firstLine="643" w:firstLineChars="200"/>
        <w:rPr>
          <w:rFonts w:ascii="Times New Roman" w:hAnsi="Times New Roman" w:eastAsia="仿宋_GB2312"/>
          <w:color w:val="auto"/>
          <w:sz w:val="32"/>
          <w:szCs w:val="32"/>
          <w:highlight w:val="none"/>
        </w:rPr>
      </w:pPr>
      <w:r>
        <w:rPr>
          <w:rFonts w:hint="eastAsia" w:ascii="Times New Roman" w:hAnsi="Times New Roman" w:eastAsia="仿宋_GB2312"/>
          <w:b/>
          <w:bCs/>
          <w:color w:val="auto"/>
          <w:sz w:val="32"/>
          <w:szCs w:val="32"/>
          <w:highlight w:val="none"/>
        </w:rPr>
        <w:t>创新主体梯队更加完善，</w:t>
      </w:r>
      <w:r>
        <w:rPr>
          <w:rFonts w:hint="eastAsia" w:ascii="Times New Roman" w:hAnsi="Times New Roman" w:eastAsia="仿宋_GB2312"/>
          <w:color w:val="auto"/>
          <w:sz w:val="32"/>
          <w:szCs w:val="32"/>
          <w:highlight w:val="none"/>
        </w:rPr>
        <w:t>2023年度我市全社会研发投入占GDP比重达1.88%，2024年综合科技创新水平指数位列全省第四。保有国家、省、市级重点实验室、技术创新中心（工程技术研究中心）81家，高新技术企业198家，科技型中小企业482家，科技领军入库企业3家，瞪羚与潜在瞪羚企业</w:t>
      </w:r>
      <w:r>
        <w:rPr>
          <w:rFonts w:ascii="Times New Roman" w:hAnsi="Times New Roman" w:eastAsia="仿宋_GB2312"/>
          <w:color w:val="auto"/>
          <w:sz w:val="32"/>
          <w:szCs w:val="32"/>
          <w:highlight w:val="none"/>
        </w:rPr>
        <w:t>11</w:t>
      </w:r>
      <w:r>
        <w:rPr>
          <w:rFonts w:hint="eastAsia" w:ascii="Times New Roman" w:hAnsi="Times New Roman" w:eastAsia="仿宋_GB2312"/>
          <w:color w:val="auto"/>
          <w:sz w:val="32"/>
          <w:szCs w:val="32"/>
          <w:highlight w:val="none"/>
        </w:rPr>
        <w:t>家。</w:t>
      </w:r>
      <w:r>
        <w:rPr>
          <w:rFonts w:hint="eastAsia" w:ascii="Times New Roman" w:hAnsi="Times New Roman" w:eastAsia="仿宋_GB2312"/>
          <w:b/>
          <w:bCs/>
          <w:color w:val="auto"/>
          <w:sz w:val="32"/>
          <w:szCs w:val="32"/>
          <w:highlight w:val="none"/>
        </w:rPr>
        <w:t>突破一批创新成果，</w:t>
      </w:r>
      <w:r>
        <w:rPr>
          <w:rFonts w:hint="eastAsia" w:ascii="Times New Roman" w:hAnsi="Times New Roman" w:eastAsia="仿宋_GB2312"/>
          <w:color w:val="auto"/>
          <w:sz w:val="32"/>
          <w:szCs w:val="32"/>
          <w:highlight w:val="none"/>
        </w:rPr>
        <w:t>每万人高价值发明专利拥有量（件）5.44件，培育6件中国专利优秀奖，12项科技成果获江西省科学技术进步奖，被授予中部地区首个全国版权示范城市。</w:t>
      </w:r>
      <w:r>
        <w:rPr>
          <w:rFonts w:hint="eastAsia" w:ascii="Times New Roman" w:hAnsi="Times New Roman" w:eastAsia="仿宋_GB2312"/>
          <w:b/>
          <w:bCs/>
          <w:color w:val="auto"/>
          <w:sz w:val="32"/>
          <w:szCs w:val="32"/>
          <w:highlight w:val="none"/>
        </w:rPr>
        <w:t>创新人才服务保障有力，</w:t>
      </w:r>
      <w:r>
        <w:rPr>
          <w:rFonts w:hint="eastAsia" w:ascii="Times New Roman" w:hAnsi="Times New Roman" w:eastAsia="仿宋_GB2312"/>
          <w:color w:val="auto"/>
          <w:sz w:val="32"/>
          <w:szCs w:val="32"/>
          <w:highlight w:val="none"/>
        </w:rPr>
        <w:t>组建陶瓷工程高级职称评审委员会，成立北京景德镇籍专家博士服务团、首批驻北京学子团工委，与广东工业设计城合作共建粤港澳大湾区创意设计人才飞地。建立院士工作站2家。（景漂人才数据已在国家试验区体现）</w:t>
      </w:r>
    </w:p>
    <w:p w14:paraId="2FD119BA">
      <w:pPr>
        <w:spacing w:before="0" w:after="0" w:line="560" w:lineRule="exact"/>
        <w:ind w:firstLine="640" w:firstLineChars="200"/>
        <w:rPr>
          <w:rFonts w:ascii="Times New Roman" w:hAnsi="Times New Roman" w:eastAsia="楷体_GB2312"/>
          <w:b w:val="0"/>
          <w:bCs w:val="0"/>
          <w:color w:val="auto"/>
          <w:sz w:val="32"/>
          <w:highlight w:val="none"/>
        </w:rPr>
      </w:pPr>
      <w:bookmarkStart w:id="4" w:name="_Toc201331274"/>
      <w:r>
        <w:rPr>
          <w:rFonts w:hint="eastAsia" w:ascii="Times New Roman" w:hAnsi="Times New Roman" w:eastAsia="楷体_GB2312"/>
          <w:b w:val="0"/>
          <w:bCs w:val="0"/>
          <w:color w:val="auto"/>
          <w:sz w:val="32"/>
          <w:highlight w:val="none"/>
          <w:lang w:val="en-US" w:eastAsia="zh-CN"/>
        </w:rPr>
        <w:t>1.5</w:t>
      </w:r>
      <w:r>
        <w:rPr>
          <w:rFonts w:ascii="Times New Roman" w:hAnsi="Times New Roman" w:eastAsia="楷体_GB2312"/>
          <w:b w:val="0"/>
          <w:bCs w:val="0"/>
          <w:color w:val="auto"/>
          <w:sz w:val="32"/>
          <w:highlight w:val="none"/>
        </w:rPr>
        <w:t>城乡</w:t>
      </w:r>
      <w:r>
        <w:rPr>
          <w:rFonts w:hint="eastAsia" w:ascii="Times New Roman" w:hAnsi="Times New Roman" w:eastAsia="楷体_GB2312"/>
          <w:b w:val="0"/>
          <w:bCs w:val="0"/>
          <w:color w:val="auto"/>
          <w:sz w:val="32"/>
          <w:highlight w:val="none"/>
        </w:rPr>
        <w:t>发展格局更趋协调</w:t>
      </w:r>
      <w:bookmarkEnd w:id="4"/>
    </w:p>
    <w:p w14:paraId="73D87170">
      <w:pPr>
        <w:adjustRightInd w:val="0"/>
        <w:snapToGrid w:val="0"/>
        <w:spacing w:line="560" w:lineRule="exact"/>
        <w:ind w:firstLine="643" w:firstLineChars="200"/>
        <w:rPr>
          <w:rFonts w:ascii="Times New Roman" w:hAnsi="Times New Roman" w:eastAsia="仿宋_GB2312"/>
          <w:color w:val="auto"/>
          <w:sz w:val="32"/>
          <w:szCs w:val="32"/>
          <w:highlight w:val="none"/>
        </w:rPr>
      </w:pPr>
      <w:r>
        <w:rPr>
          <w:rFonts w:hint="eastAsia" w:ascii="Times New Roman" w:hAnsi="Times New Roman" w:eastAsia="仿宋_GB2312"/>
          <w:b/>
          <w:bCs/>
          <w:color w:val="auto"/>
          <w:sz w:val="32"/>
          <w:szCs w:val="32"/>
          <w:highlight w:val="none"/>
        </w:rPr>
        <w:t>市域空间开发格局持续优化，</w:t>
      </w:r>
      <w:r>
        <w:rPr>
          <w:rFonts w:hint="eastAsia" w:ascii="Times New Roman" w:hAnsi="Times New Roman" w:eastAsia="仿宋_GB2312"/>
          <w:color w:val="auto"/>
          <w:sz w:val="32"/>
          <w:szCs w:val="32"/>
          <w:highlight w:val="none"/>
        </w:rPr>
        <w:t>“一核两轴、一圈两区”的国土空间开发保护总体格局和“一主一副、两轴多点”的新型城镇化格局基本奠定。</w:t>
      </w:r>
      <w:r>
        <w:rPr>
          <w:rFonts w:hint="eastAsia" w:ascii="Times New Roman" w:hAnsi="Times New Roman" w:eastAsia="仿宋_GB2312"/>
          <w:b/>
          <w:bCs/>
          <w:color w:val="auto"/>
          <w:sz w:val="32"/>
          <w:szCs w:val="32"/>
          <w:highlight w:val="none"/>
        </w:rPr>
        <w:t>重大基础设施持续夯实，</w:t>
      </w:r>
      <w:r>
        <w:rPr>
          <w:rFonts w:hint="eastAsia" w:ascii="Times New Roman" w:hAnsi="Times New Roman" w:eastAsia="仿宋_GB2312"/>
          <w:color w:val="auto"/>
          <w:sz w:val="32"/>
          <w:szCs w:val="32"/>
          <w:highlight w:val="none"/>
        </w:rPr>
        <w:t>昌景黄高铁建成通车，成功迈入“高铁时代”，鱼山码头基本建成，昌江航道提升工程、乐平水利枢纽等项目全面实施，机场扩建取得重要进展，公路总里程达5414公里（该数据源于交通局2</w:t>
      </w:r>
      <w:r>
        <w:rPr>
          <w:rFonts w:ascii="Times New Roman" w:hAnsi="Times New Roman" w:eastAsia="仿宋_GB2312"/>
          <w:color w:val="auto"/>
          <w:sz w:val="32"/>
          <w:szCs w:val="32"/>
          <w:highlight w:val="none"/>
        </w:rPr>
        <w:t>025</w:t>
      </w:r>
      <w:r>
        <w:rPr>
          <w:rFonts w:hint="eastAsia" w:ascii="Times New Roman" w:hAnsi="Times New Roman" w:eastAsia="仿宋_GB2312"/>
          <w:color w:val="auto"/>
          <w:sz w:val="32"/>
          <w:szCs w:val="32"/>
          <w:highlight w:val="none"/>
        </w:rPr>
        <w:t>年4月《交通运输有关重点工作汇报材料》，比《景德镇市“十四五”综合交通运输发展规划》提到的2</w:t>
      </w:r>
      <w:r>
        <w:rPr>
          <w:rFonts w:ascii="Times New Roman" w:hAnsi="Times New Roman" w:eastAsia="仿宋_GB2312"/>
          <w:color w:val="auto"/>
          <w:sz w:val="32"/>
          <w:szCs w:val="32"/>
          <w:highlight w:val="none"/>
        </w:rPr>
        <w:t>020</w:t>
      </w:r>
      <w:r>
        <w:rPr>
          <w:rFonts w:hint="eastAsia" w:ascii="Times New Roman" w:hAnsi="Times New Roman" w:eastAsia="仿宋_GB2312"/>
          <w:color w:val="auto"/>
          <w:sz w:val="32"/>
          <w:szCs w:val="32"/>
          <w:highlight w:val="none"/>
        </w:rPr>
        <w:t>年5</w:t>
      </w:r>
      <w:r>
        <w:rPr>
          <w:rFonts w:ascii="Times New Roman" w:hAnsi="Times New Roman" w:eastAsia="仿宋_GB2312"/>
          <w:color w:val="auto"/>
          <w:sz w:val="32"/>
          <w:szCs w:val="32"/>
          <w:highlight w:val="none"/>
        </w:rPr>
        <w:t>477</w:t>
      </w:r>
      <w:r>
        <w:rPr>
          <w:rFonts w:hint="eastAsia" w:ascii="Times New Roman" w:hAnsi="Times New Roman" w:eastAsia="仿宋_GB2312"/>
          <w:color w:val="auto"/>
          <w:sz w:val="32"/>
          <w:szCs w:val="32"/>
          <w:highlight w:val="none"/>
        </w:rPr>
        <w:t>公里减少）；浯溪口水利枢纽工程获评中国水利工程优质（大禹）奖。</w:t>
      </w:r>
      <w:r>
        <w:rPr>
          <w:rFonts w:hint="eastAsia" w:ascii="Times New Roman" w:hAnsi="Times New Roman" w:eastAsia="仿宋_GB2312"/>
          <w:b/>
          <w:bCs/>
          <w:color w:val="auto"/>
          <w:sz w:val="32"/>
          <w:szCs w:val="32"/>
          <w:highlight w:val="none"/>
        </w:rPr>
        <w:t>城市功能品质稳步提升，</w:t>
      </w:r>
      <w:r>
        <w:rPr>
          <w:rFonts w:hint="eastAsia" w:ascii="Times New Roman" w:hAnsi="Times New Roman" w:eastAsia="仿宋_GB2312"/>
          <w:color w:val="auto"/>
          <w:sz w:val="32"/>
          <w:szCs w:val="32"/>
          <w:highlight w:val="none"/>
        </w:rPr>
        <w:t>市政基础设施不断完善，城市防洪排涝功能进一步完善，新改扩建公园12个，新增城市公共绿地37969.4平米，人均公园绿地率提升至16.26%，初步建成垃圾分类收集、运输、处理的全链条管理体系，入选全国深化城市体检工作制度机制试点城市、全国城市更新试点城市，陶阳里入选国家第一批城市更新典型案例，获评全省城市功能与品质提升三年行动先进市。</w:t>
      </w:r>
      <w:r>
        <w:rPr>
          <w:rFonts w:hint="eastAsia" w:ascii="Times New Roman" w:hAnsi="Times New Roman" w:eastAsia="仿宋_GB2312"/>
          <w:b/>
          <w:bCs/>
          <w:color w:val="auto"/>
          <w:sz w:val="32"/>
          <w:szCs w:val="32"/>
          <w:highlight w:val="none"/>
        </w:rPr>
        <w:t>乡村全面振兴扎实推进，</w:t>
      </w:r>
      <w:r>
        <w:rPr>
          <w:rFonts w:hint="eastAsia" w:ascii="Times New Roman" w:hAnsi="Times New Roman" w:eastAsia="仿宋_GB2312"/>
          <w:color w:val="auto"/>
          <w:sz w:val="32"/>
          <w:szCs w:val="32"/>
          <w:highlight w:val="none"/>
        </w:rPr>
        <w:t>2024年农村居民人均可支配收入25262元，较2</w:t>
      </w:r>
      <w:r>
        <w:rPr>
          <w:rFonts w:ascii="Times New Roman" w:hAnsi="Times New Roman" w:eastAsia="仿宋_GB2312"/>
          <w:color w:val="auto"/>
          <w:sz w:val="32"/>
          <w:szCs w:val="32"/>
          <w:highlight w:val="none"/>
        </w:rPr>
        <w:t>020</w:t>
      </w:r>
      <w:r>
        <w:rPr>
          <w:rFonts w:hint="eastAsia" w:ascii="Times New Roman" w:hAnsi="Times New Roman" w:eastAsia="仿宋_GB2312"/>
          <w:color w:val="auto"/>
          <w:sz w:val="32"/>
          <w:szCs w:val="32"/>
          <w:highlight w:val="none"/>
        </w:rPr>
        <w:t>年增长</w:t>
      </w:r>
      <w:r>
        <w:rPr>
          <w:rFonts w:ascii="Times New Roman" w:hAnsi="Times New Roman" w:eastAsia="仿宋_GB2312"/>
          <w:color w:val="auto"/>
          <w:sz w:val="32"/>
          <w:szCs w:val="32"/>
          <w:highlight w:val="none"/>
        </w:rPr>
        <w:t>31</w:t>
      </w:r>
      <w:r>
        <w:rPr>
          <w:rFonts w:hint="eastAsia" w:ascii="Times New Roman" w:hAnsi="Times New Roman" w:eastAsia="仿宋_GB2312"/>
          <w:color w:val="auto"/>
          <w:sz w:val="32"/>
          <w:szCs w:val="32"/>
          <w:highlight w:val="none"/>
        </w:rPr>
        <w:t>%，“打造‘乡创模式’赋能乡村振兴”入选文化和旅游部“文化和旅游赋能乡村振兴优秀案例”，创新村庄长效管护“五定包干”机制，基本实现宜居村庄整治建设全覆盖，1个村入选中国美丽休闲乡村，2</w:t>
      </w:r>
      <w:r>
        <w:rPr>
          <w:rFonts w:ascii="Times New Roman" w:hAnsi="Times New Roman" w:eastAsia="仿宋_GB2312"/>
          <w:color w:val="auto"/>
          <w:sz w:val="32"/>
          <w:szCs w:val="32"/>
          <w:highlight w:val="none"/>
        </w:rPr>
        <w:t>9</w:t>
      </w:r>
      <w:r>
        <w:rPr>
          <w:rFonts w:hint="eastAsia" w:ascii="Times New Roman" w:hAnsi="Times New Roman" w:eastAsia="仿宋_GB2312"/>
          <w:color w:val="auto"/>
          <w:sz w:val="32"/>
          <w:szCs w:val="32"/>
          <w:highlight w:val="none"/>
        </w:rPr>
        <w:t>个村获评中国传统村落（2022年报道，最新数量未知）</w:t>
      </w:r>
    </w:p>
    <w:p w14:paraId="5184CD46">
      <w:pPr>
        <w:spacing w:before="0" w:after="0" w:line="560" w:lineRule="exact"/>
        <w:ind w:firstLine="640" w:firstLineChars="200"/>
        <w:rPr>
          <w:rFonts w:ascii="Times New Roman" w:hAnsi="Times New Roman" w:eastAsia="楷体_GB2312"/>
          <w:b w:val="0"/>
          <w:bCs w:val="0"/>
          <w:color w:val="auto"/>
          <w:sz w:val="32"/>
          <w:highlight w:val="none"/>
        </w:rPr>
      </w:pPr>
      <w:bookmarkStart w:id="5" w:name="_Toc201331275"/>
      <w:r>
        <w:rPr>
          <w:rFonts w:hint="eastAsia" w:ascii="Times New Roman" w:hAnsi="Times New Roman" w:eastAsia="楷体_GB2312"/>
          <w:b w:val="0"/>
          <w:bCs w:val="0"/>
          <w:color w:val="auto"/>
          <w:sz w:val="32"/>
          <w:highlight w:val="none"/>
          <w:lang w:val="en-US" w:eastAsia="zh-CN"/>
        </w:rPr>
        <w:t>1.6</w:t>
      </w:r>
      <w:r>
        <w:rPr>
          <w:rFonts w:hint="eastAsia" w:ascii="Times New Roman" w:hAnsi="Times New Roman" w:eastAsia="楷体_GB2312"/>
          <w:b w:val="0"/>
          <w:bCs w:val="0"/>
          <w:color w:val="auto"/>
          <w:sz w:val="32"/>
          <w:highlight w:val="none"/>
        </w:rPr>
        <w:t>改革开放步伐迈深迈实</w:t>
      </w:r>
      <w:bookmarkEnd w:id="5"/>
    </w:p>
    <w:p w14:paraId="6EC3CC5F">
      <w:pPr>
        <w:adjustRightInd w:val="0"/>
        <w:snapToGrid w:val="0"/>
        <w:spacing w:line="560" w:lineRule="exact"/>
        <w:ind w:firstLine="643" w:firstLineChars="200"/>
        <w:rPr>
          <w:rFonts w:ascii="Times New Roman" w:hAnsi="Times New Roman" w:eastAsia="仿宋_GB2312"/>
          <w:b/>
          <w:bCs/>
          <w:color w:val="auto"/>
          <w:sz w:val="32"/>
          <w:szCs w:val="32"/>
          <w:highlight w:val="none"/>
        </w:rPr>
      </w:pPr>
      <w:r>
        <w:rPr>
          <w:rFonts w:hint="eastAsia" w:ascii="Times New Roman" w:hAnsi="Times New Roman" w:eastAsia="仿宋_GB2312"/>
          <w:b/>
          <w:bCs/>
          <w:color w:val="auto"/>
          <w:sz w:val="32"/>
          <w:szCs w:val="32"/>
          <w:highlight w:val="none"/>
        </w:rPr>
        <w:t>营商环境优化升级，</w:t>
      </w:r>
      <w:r>
        <w:rPr>
          <w:rFonts w:hint="eastAsia" w:ascii="Times New Roman" w:hAnsi="Times New Roman" w:eastAsia="仿宋_GB2312"/>
          <w:color w:val="auto"/>
          <w:sz w:val="32"/>
          <w:szCs w:val="32"/>
          <w:highlight w:val="none"/>
        </w:rPr>
        <w:t>推出“市县同权”“县乡联办”“工程建设领域全生命周期电子化管理”“高效办成一件事”等改革，深化“无感办理”“一码通办”改革，行政审批“市县同权”改革入选全省改革典型案例并获复制推广。十四五期间累计签约亿元以上项目总投资超千亿元。</w:t>
      </w:r>
      <w:r>
        <w:rPr>
          <w:rFonts w:hint="eastAsia" w:ascii="Times New Roman" w:hAnsi="Times New Roman" w:eastAsia="仿宋_GB2312"/>
          <w:b/>
          <w:bCs/>
          <w:color w:val="auto"/>
          <w:sz w:val="32"/>
          <w:szCs w:val="32"/>
          <w:highlight w:val="none"/>
        </w:rPr>
        <w:t>数字政府建设深入推进，</w:t>
      </w:r>
      <w:r>
        <w:rPr>
          <w:rFonts w:hint="eastAsia" w:ascii="Times New Roman" w:hAnsi="Times New Roman" w:eastAsia="仿宋_GB2312"/>
          <w:color w:val="auto"/>
          <w:sz w:val="32"/>
          <w:szCs w:val="32"/>
          <w:highlight w:val="none"/>
        </w:rPr>
        <w:t>建好全市一体化政务大数据体系，“预审智减”便民服务入选2024年数博会“数字政府管理创新类”案例。</w:t>
      </w:r>
      <w:r>
        <w:rPr>
          <w:rFonts w:hint="eastAsia" w:ascii="Times New Roman" w:hAnsi="Times New Roman" w:eastAsia="仿宋_GB2312"/>
          <w:b/>
          <w:bCs/>
          <w:color w:val="auto"/>
          <w:sz w:val="32"/>
          <w:szCs w:val="32"/>
          <w:highlight w:val="none"/>
        </w:rPr>
        <w:t>重点领域改革取得突破性进展，</w:t>
      </w:r>
      <w:r>
        <w:rPr>
          <w:rFonts w:hint="eastAsia" w:ascii="Times New Roman" w:hAnsi="Times New Roman" w:eastAsia="仿宋_GB2312"/>
          <w:color w:val="auto"/>
          <w:sz w:val="32"/>
          <w:szCs w:val="32"/>
          <w:highlight w:val="none"/>
        </w:rPr>
        <w:t>大力推进市属国企战略性重组和专业化整合，加快国企向实体化、市场化、效益化转型；深化零基预算改革，进一步健全“以零为基、以事定钱、以效促用”的预算分配制度。</w:t>
      </w:r>
      <w:r>
        <w:rPr>
          <w:rFonts w:hint="eastAsia" w:ascii="Times New Roman" w:hAnsi="Times New Roman" w:eastAsia="仿宋_GB2312"/>
          <w:b/>
          <w:bCs/>
          <w:color w:val="auto"/>
          <w:sz w:val="32"/>
          <w:szCs w:val="32"/>
          <w:highlight w:val="none"/>
        </w:rPr>
        <w:t>内外合作持续深化，</w:t>
      </w:r>
      <w:r>
        <w:rPr>
          <w:rFonts w:hint="eastAsia" w:ascii="Times New Roman" w:hAnsi="Times New Roman" w:eastAsia="仿宋_GB2312"/>
          <w:color w:val="auto"/>
          <w:sz w:val="32"/>
          <w:szCs w:val="32"/>
          <w:highlight w:val="none"/>
        </w:rPr>
        <w:t>2024年货物进出口总额72.34亿元，较2</w:t>
      </w:r>
      <w:r>
        <w:rPr>
          <w:rFonts w:ascii="Times New Roman" w:hAnsi="Times New Roman" w:eastAsia="仿宋_GB2312"/>
          <w:color w:val="auto"/>
          <w:sz w:val="32"/>
          <w:szCs w:val="32"/>
          <w:highlight w:val="none"/>
        </w:rPr>
        <w:t>020</w:t>
      </w:r>
      <w:r>
        <w:rPr>
          <w:rFonts w:hint="eastAsia" w:ascii="Times New Roman" w:hAnsi="Times New Roman" w:eastAsia="仿宋_GB2312"/>
          <w:color w:val="auto"/>
          <w:sz w:val="32"/>
          <w:szCs w:val="32"/>
          <w:highlight w:val="none"/>
        </w:rPr>
        <w:t>年增长9%，获批国家市场采购贸易方式试点城市和跨境电子商务综合实验区，入选对外文化贸易“千帆出海”行动计划，与72个国家的180多个城市建立了友好关系。推动景德镇（上海）产业协同创新中心建设，承办沪苏浙皖赣“四省一市”长三角药品科学监管与创新发展一体化第三次协作会议。推动景德镇（上海）产业协同创新中心建设，持续牵头推进景婺鄱城镇协调发展地区联合建设国际陶瓷文化与生态景观游憩地。</w:t>
      </w:r>
    </w:p>
    <w:p w14:paraId="68843F76">
      <w:pPr>
        <w:spacing w:before="0" w:after="0" w:line="560" w:lineRule="exact"/>
        <w:ind w:firstLine="640" w:firstLineChars="200"/>
        <w:rPr>
          <w:rFonts w:ascii="Times New Roman" w:hAnsi="Times New Roman" w:eastAsia="楷体_GB2312"/>
          <w:b w:val="0"/>
          <w:bCs w:val="0"/>
          <w:color w:val="auto"/>
          <w:sz w:val="32"/>
          <w:highlight w:val="none"/>
        </w:rPr>
      </w:pPr>
      <w:bookmarkStart w:id="6" w:name="_Toc201331276"/>
      <w:r>
        <w:rPr>
          <w:rFonts w:hint="eastAsia" w:ascii="Times New Roman" w:hAnsi="Times New Roman" w:eastAsia="楷体_GB2312"/>
          <w:b w:val="0"/>
          <w:bCs w:val="0"/>
          <w:color w:val="auto"/>
          <w:sz w:val="32"/>
          <w:highlight w:val="none"/>
          <w:lang w:val="en-US" w:eastAsia="zh-CN"/>
        </w:rPr>
        <w:t>1.7</w:t>
      </w:r>
      <w:r>
        <w:rPr>
          <w:rFonts w:ascii="Times New Roman" w:hAnsi="Times New Roman" w:eastAsia="楷体_GB2312"/>
          <w:b w:val="0"/>
          <w:bCs w:val="0"/>
          <w:color w:val="auto"/>
          <w:sz w:val="32"/>
          <w:highlight w:val="none"/>
        </w:rPr>
        <w:t>生态</w:t>
      </w:r>
      <w:r>
        <w:rPr>
          <w:rFonts w:hint="eastAsia" w:ascii="Times New Roman" w:hAnsi="Times New Roman" w:eastAsia="楷体_GB2312"/>
          <w:b w:val="0"/>
          <w:bCs w:val="0"/>
          <w:color w:val="auto"/>
          <w:sz w:val="32"/>
          <w:highlight w:val="none"/>
        </w:rPr>
        <w:t>文明建设持续深化</w:t>
      </w:r>
      <w:bookmarkEnd w:id="6"/>
    </w:p>
    <w:p w14:paraId="348381E3">
      <w:pPr>
        <w:adjustRightInd w:val="0"/>
        <w:snapToGrid w:val="0"/>
        <w:spacing w:line="560" w:lineRule="exact"/>
        <w:ind w:firstLine="643" w:firstLineChars="200"/>
        <w:rPr>
          <w:rFonts w:ascii="Times New Roman" w:hAnsi="Times New Roman" w:eastAsia="仿宋_GB2312"/>
          <w:color w:val="auto"/>
          <w:sz w:val="32"/>
          <w:szCs w:val="32"/>
          <w:highlight w:val="none"/>
        </w:rPr>
      </w:pPr>
      <w:r>
        <w:rPr>
          <w:rFonts w:hint="eastAsia" w:ascii="Times New Roman" w:hAnsi="Times New Roman" w:eastAsia="仿宋_GB2312"/>
          <w:b/>
          <w:bCs/>
          <w:color w:val="auto"/>
          <w:sz w:val="32"/>
          <w:szCs w:val="32"/>
          <w:highlight w:val="none"/>
        </w:rPr>
        <w:t>环境污染防治成效显著。</w:t>
      </w:r>
      <w:r>
        <w:rPr>
          <w:rFonts w:hint="eastAsia" w:ascii="Times New Roman" w:hAnsi="Times New Roman" w:eastAsia="仿宋_GB2312"/>
          <w:color w:val="auto"/>
          <w:sz w:val="32"/>
          <w:szCs w:val="32"/>
          <w:highlight w:val="none"/>
        </w:rPr>
        <w:t>深入打好碧水、蓝天、净土保卫战，2024年PM2.5浓度全省最低，空气优良比率98.4%、全省第二。地表水断面水质优良比例、集中式饮用水水源地水质达标率、重点建设用地安全利用率均达100%。南河河口断面水质大幅改善获生态环境部通报表扬，完成29个国家级监管黑臭水体整治任务。乐平工业园区入选生态环境部首批化工园区突发水污染事件环境应急三级防控体系建设试点。</w:t>
      </w:r>
      <w:r>
        <w:rPr>
          <w:rFonts w:hint="eastAsia" w:ascii="Times New Roman" w:hAnsi="Times New Roman" w:eastAsia="仿宋_GB2312"/>
          <w:b/>
          <w:bCs/>
          <w:color w:val="auto"/>
          <w:sz w:val="32"/>
          <w:szCs w:val="32"/>
          <w:highlight w:val="none"/>
        </w:rPr>
        <w:t>生态本底持续夯实。</w:t>
      </w:r>
      <w:r>
        <w:rPr>
          <w:rFonts w:hint="eastAsia" w:ascii="Times New Roman" w:hAnsi="Times New Roman" w:eastAsia="仿宋_GB2312"/>
          <w:color w:val="auto"/>
          <w:sz w:val="32"/>
          <w:szCs w:val="32"/>
          <w:highlight w:val="none"/>
        </w:rPr>
        <w:t>深入推进国家生态文明示范市建设，2024年全市森林覆盖率保持在67.85%，活立木蓄积量达到3150万立方米，净增造林面积近1万亩，自然保护地面积达到118万亩、占比达到21%，湿地保护进一步加强，湿地保有量超过1.63万公顷。在全国率先构建国有林场林长制工作机制，成功获批中央财政“江西省环鄱阳湖国土绿化示范项目”，顺利实施南方红豆杉国家林木种质资源库工程，设立全国首个陆生野生动物司法保护基地。</w:t>
      </w:r>
      <w:r>
        <w:rPr>
          <w:rFonts w:hint="eastAsia" w:ascii="Times New Roman" w:hAnsi="Times New Roman" w:eastAsia="仿宋_GB2312"/>
          <w:b/>
          <w:bCs/>
          <w:color w:val="auto"/>
          <w:sz w:val="32"/>
          <w:szCs w:val="32"/>
          <w:highlight w:val="none"/>
        </w:rPr>
        <w:t>加强生态运营。</w:t>
      </w:r>
      <w:r>
        <w:rPr>
          <w:rFonts w:hint="eastAsia" w:ascii="Times New Roman" w:hAnsi="Times New Roman" w:eastAsia="仿宋_GB2312"/>
          <w:color w:val="auto"/>
          <w:sz w:val="32"/>
          <w:szCs w:val="32"/>
          <w:highlight w:val="none"/>
        </w:rPr>
        <w:t>试点运作“林水合作”湿地资源运营中心，启动乐平、浮梁国储林项目建设，积极探索“林长+产业”模式和“林长+碳汇”机制，以森林药材超常规发展创新推动“两山”转化。浮梁县入选“全省首批生态产品价值实现机制示范基地创建单位”，乐安河流域水环境综合治理与现代农业产业发展纳入省级EOD模式实施项目。</w:t>
      </w:r>
    </w:p>
    <w:p w14:paraId="341AAA25">
      <w:pPr>
        <w:spacing w:before="0" w:after="0" w:line="560" w:lineRule="exact"/>
        <w:ind w:firstLine="640" w:firstLineChars="200"/>
        <w:rPr>
          <w:rFonts w:ascii="Times New Roman" w:hAnsi="Times New Roman" w:eastAsia="楷体_GB2312"/>
          <w:b w:val="0"/>
          <w:bCs w:val="0"/>
          <w:color w:val="auto"/>
          <w:sz w:val="32"/>
          <w:highlight w:val="none"/>
        </w:rPr>
      </w:pPr>
      <w:bookmarkStart w:id="7" w:name="_Toc201331277"/>
      <w:r>
        <w:rPr>
          <w:rFonts w:hint="eastAsia" w:ascii="Times New Roman" w:hAnsi="Times New Roman" w:eastAsia="楷体_GB2312"/>
          <w:b w:val="0"/>
          <w:bCs w:val="0"/>
          <w:color w:val="auto"/>
          <w:sz w:val="32"/>
          <w:highlight w:val="none"/>
          <w:lang w:val="en-US" w:eastAsia="zh-CN"/>
        </w:rPr>
        <w:t>1.8</w:t>
      </w:r>
      <w:r>
        <w:rPr>
          <w:rFonts w:hint="eastAsia" w:ascii="Times New Roman" w:hAnsi="Times New Roman" w:eastAsia="楷体_GB2312"/>
          <w:b w:val="0"/>
          <w:bCs w:val="0"/>
          <w:color w:val="auto"/>
          <w:sz w:val="32"/>
          <w:highlight w:val="none"/>
        </w:rPr>
        <w:t>人民生活水平持续</w:t>
      </w:r>
      <w:r>
        <w:rPr>
          <w:rFonts w:ascii="Times New Roman" w:hAnsi="Times New Roman" w:eastAsia="楷体_GB2312"/>
          <w:b w:val="0"/>
          <w:bCs w:val="0"/>
          <w:color w:val="auto"/>
          <w:sz w:val="32"/>
          <w:highlight w:val="none"/>
        </w:rPr>
        <w:t>增进</w:t>
      </w:r>
      <w:bookmarkEnd w:id="7"/>
    </w:p>
    <w:p w14:paraId="7DFE2E9F">
      <w:pPr>
        <w:adjustRightInd w:val="0"/>
        <w:snapToGrid w:val="0"/>
        <w:spacing w:line="560" w:lineRule="exact"/>
        <w:ind w:firstLine="643" w:firstLineChars="200"/>
        <w:rPr>
          <w:rFonts w:ascii="Times New Roman" w:hAnsi="Times New Roman" w:eastAsia="仿宋_GB2312"/>
          <w:color w:val="auto"/>
          <w:sz w:val="32"/>
          <w:szCs w:val="32"/>
          <w:highlight w:val="none"/>
        </w:rPr>
      </w:pPr>
      <w:r>
        <w:rPr>
          <w:rFonts w:hint="eastAsia" w:ascii="Times New Roman" w:hAnsi="Times New Roman" w:eastAsia="仿宋_GB2312"/>
          <w:b/>
          <w:bCs/>
          <w:color w:val="auto"/>
          <w:sz w:val="32"/>
          <w:szCs w:val="32"/>
          <w:highlight w:val="none"/>
        </w:rPr>
        <w:t>扎实推进稳就业促增收，</w:t>
      </w:r>
      <w:r>
        <w:rPr>
          <w:rFonts w:hint="eastAsia" w:ascii="Times New Roman" w:hAnsi="Times New Roman" w:eastAsia="仿宋_GB2312"/>
          <w:color w:val="auto"/>
          <w:sz w:val="32"/>
          <w:szCs w:val="32"/>
          <w:highlight w:val="none"/>
        </w:rPr>
        <w:t>增加十四五期间累计新增就业岗位数量？（2</w:t>
      </w:r>
      <w:r>
        <w:rPr>
          <w:rFonts w:ascii="Times New Roman" w:hAnsi="Times New Roman" w:eastAsia="仿宋_GB2312"/>
          <w:color w:val="auto"/>
          <w:sz w:val="32"/>
          <w:szCs w:val="32"/>
          <w:highlight w:val="none"/>
        </w:rPr>
        <w:t>023</w:t>
      </w:r>
      <w:r>
        <w:rPr>
          <w:rFonts w:hint="eastAsia" w:ascii="Times New Roman" w:hAnsi="Times New Roman" w:eastAsia="仿宋_GB2312"/>
          <w:color w:val="auto"/>
          <w:sz w:val="32"/>
          <w:szCs w:val="32"/>
          <w:highlight w:val="none"/>
        </w:rPr>
        <w:t>就业人数7</w:t>
      </w:r>
      <w:r>
        <w:rPr>
          <w:rFonts w:ascii="Times New Roman" w:hAnsi="Times New Roman" w:eastAsia="仿宋_GB2312"/>
          <w:color w:val="auto"/>
          <w:sz w:val="32"/>
          <w:szCs w:val="32"/>
          <w:highlight w:val="none"/>
        </w:rPr>
        <w:t>7.13</w:t>
      </w:r>
      <w:r>
        <w:rPr>
          <w:rFonts w:hint="eastAsia" w:ascii="Times New Roman" w:hAnsi="Times New Roman" w:eastAsia="仿宋_GB2312"/>
          <w:color w:val="auto"/>
          <w:sz w:val="32"/>
          <w:szCs w:val="32"/>
          <w:highlight w:val="none"/>
        </w:rPr>
        <w:t>万人，比2</w:t>
      </w:r>
      <w:r>
        <w:rPr>
          <w:rFonts w:ascii="Times New Roman" w:hAnsi="Times New Roman" w:eastAsia="仿宋_GB2312"/>
          <w:color w:val="auto"/>
          <w:sz w:val="32"/>
          <w:szCs w:val="32"/>
          <w:highlight w:val="none"/>
        </w:rPr>
        <w:t>020</w:t>
      </w:r>
      <w:r>
        <w:rPr>
          <w:rFonts w:hint="eastAsia" w:ascii="Times New Roman" w:hAnsi="Times New Roman" w:eastAsia="仿宋_GB2312"/>
          <w:color w:val="auto"/>
          <w:sz w:val="32"/>
          <w:szCs w:val="32"/>
          <w:highlight w:val="none"/>
        </w:rPr>
        <w:t>年7</w:t>
      </w:r>
      <w:r>
        <w:rPr>
          <w:rFonts w:ascii="Times New Roman" w:hAnsi="Times New Roman" w:eastAsia="仿宋_GB2312"/>
          <w:color w:val="auto"/>
          <w:sz w:val="32"/>
          <w:szCs w:val="32"/>
          <w:highlight w:val="none"/>
        </w:rPr>
        <w:t>9.90</w:t>
      </w:r>
      <w:r>
        <w:rPr>
          <w:rFonts w:hint="eastAsia" w:ascii="Times New Roman" w:hAnsi="Times New Roman" w:eastAsia="仿宋_GB2312"/>
          <w:color w:val="auto"/>
          <w:sz w:val="32"/>
          <w:szCs w:val="32"/>
          <w:highlight w:val="none"/>
        </w:rPr>
        <w:t>万人有下降）2024年城镇居民可支配收入达51340元，居全省第二，比2020年增长21.42%。2</w:t>
      </w:r>
      <w:r>
        <w:rPr>
          <w:rFonts w:ascii="Times New Roman" w:hAnsi="Times New Roman" w:eastAsia="仿宋_GB2312"/>
          <w:color w:val="auto"/>
          <w:sz w:val="32"/>
          <w:szCs w:val="32"/>
          <w:highlight w:val="none"/>
        </w:rPr>
        <w:t>024</w:t>
      </w:r>
      <w:r>
        <w:rPr>
          <w:rFonts w:hint="eastAsia" w:ascii="Times New Roman" w:hAnsi="Times New Roman" w:eastAsia="仿宋_GB2312"/>
          <w:color w:val="auto"/>
          <w:sz w:val="32"/>
          <w:szCs w:val="32"/>
          <w:highlight w:val="none"/>
        </w:rPr>
        <w:t>年基本养老保险参保率（统计公报合计1</w:t>
      </w:r>
      <w:r>
        <w:rPr>
          <w:rFonts w:ascii="Times New Roman" w:hAnsi="Times New Roman" w:eastAsia="仿宋_GB2312"/>
          <w:color w:val="auto"/>
          <w:sz w:val="32"/>
          <w:szCs w:val="32"/>
          <w:highlight w:val="none"/>
        </w:rPr>
        <w:t>11.48</w:t>
      </w:r>
      <w:r>
        <w:rPr>
          <w:rFonts w:hint="eastAsia" w:ascii="Times New Roman" w:hAnsi="Times New Roman" w:eastAsia="仿宋_GB2312"/>
          <w:color w:val="auto"/>
          <w:sz w:val="32"/>
          <w:szCs w:val="32"/>
          <w:highlight w:val="none"/>
        </w:rPr>
        <w:t>万人参保，参保率无法计算），全民医保参保率95%以上，获评全国和谐劳动关系创建工作先进集体荣誉，连续八年荣获“全国双拥模范城”称号。</w:t>
      </w:r>
      <w:r>
        <w:rPr>
          <w:rFonts w:hint="eastAsia" w:ascii="Times New Roman" w:hAnsi="Times New Roman" w:eastAsia="仿宋_GB2312"/>
          <w:b/>
          <w:bCs/>
          <w:color w:val="auto"/>
          <w:sz w:val="32"/>
          <w:szCs w:val="32"/>
          <w:highlight w:val="none"/>
        </w:rPr>
        <w:t>教育文体服务更加高质，</w:t>
      </w:r>
      <w:r>
        <w:rPr>
          <w:rFonts w:hint="eastAsia" w:ascii="Times New Roman" w:hAnsi="Times New Roman" w:eastAsia="仿宋_GB2312"/>
          <w:color w:val="auto"/>
          <w:sz w:val="32"/>
          <w:szCs w:val="32"/>
          <w:highlight w:val="none"/>
        </w:rPr>
        <w:t>义务教育全面实行“阳光招生”“阳光分班”，艺术职业大学新校区投入使用，高级技工学校成功升格陶瓷技师学院，入选首批国家产教融合试点城市。增加公共文化基础设施新增情况？“千馆之城”基本建成，御窑博物馆获评国家一级博物馆，新增4家国家二级博物馆。保有群众艺术馆5家、公共图书馆5家（较2</w:t>
      </w:r>
      <w:r>
        <w:rPr>
          <w:rFonts w:ascii="Times New Roman" w:hAnsi="Times New Roman" w:eastAsia="仿宋_GB2312"/>
          <w:color w:val="auto"/>
          <w:sz w:val="32"/>
          <w:szCs w:val="32"/>
          <w:highlight w:val="none"/>
        </w:rPr>
        <w:t>020</w:t>
      </w:r>
      <w:r>
        <w:rPr>
          <w:rFonts w:hint="eastAsia" w:ascii="Times New Roman" w:hAnsi="Times New Roman" w:eastAsia="仿宋_GB2312"/>
          <w:color w:val="auto"/>
          <w:sz w:val="32"/>
          <w:szCs w:val="32"/>
          <w:highlight w:val="none"/>
        </w:rPr>
        <w:t>新增情况不明），培育“群众歌咏月”“乐赣轻骑兵”“艺术在浮梁”等本土文化品牌。人均体育场地面积达2.80平方米，中心城区普遍建成15分钟健身圈。承办国际滑翔伞公开赛等多项国家级赛事，本市培养输送的景德镇籍游泳运动员程玉洁获巴黎奥运会铜牌。</w:t>
      </w:r>
      <w:r>
        <w:rPr>
          <w:rFonts w:hint="eastAsia" w:ascii="Times New Roman" w:hAnsi="Times New Roman" w:eastAsia="仿宋_GB2312"/>
          <w:b/>
          <w:bCs/>
          <w:color w:val="auto"/>
          <w:sz w:val="32"/>
          <w:szCs w:val="32"/>
          <w:highlight w:val="none"/>
        </w:rPr>
        <w:t>医养托育体系不断升级，</w:t>
      </w:r>
      <w:r>
        <w:rPr>
          <w:rFonts w:hint="eastAsia" w:ascii="Times New Roman" w:hAnsi="Times New Roman" w:eastAsia="仿宋_GB2312"/>
          <w:color w:val="auto"/>
          <w:sz w:val="32"/>
          <w:szCs w:val="32"/>
          <w:highlight w:val="none"/>
        </w:rPr>
        <w:t>组建3个县域医共体，建成景德镇精神卫生福利中心，完成市县两级卫生监督机构和疾控机构整合重组，全面推行“互联网+医保”服务模式，群众满意率稳定在98%以上。建成市社会福利中心，基本形成“15分钟城市助餐服务圈”，农村互助养老服务设施覆盖面达92%。社区托育机构覆盖率58.27%，每千人口托位数4.36个。</w:t>
      </w:r>
      <w:r>
        <w:rPr>
          <w:rFonts w:hint="eastAsia" w:ascii="Times New Roman" w:hAnsi="Times New Roman" w:eastAsia="仿宋_GB2312"/>
          <w:b/>
          <w:bCs/>
          <w:color w:val="auto"/>
          <w:sz w:val="32"/>
          <w:szCs w:val="32"/>
          <w:highlight w:val="none"/>
        </w:rPr>
        <w:t>住房保障体系加速完善，</w:t>
      </w:r>
      <w:r>
        <w:rPr>
          <w:rFonts w:hint="eastAsia" w:ascii="Times New Roman" w:hAnsi="Times New Roman" w:eastAsia="仿宋_GB2312"/>
          <w:color w:val="auto"/>
          <w:sz w:val="32"/>
          <w:szCs w:val="32"/>
          <w:highlight w:val="none"/>
        </w:rPr>
        <w:t>稳步推进老旧小区改造、保障性租赁住房建设，完成122个老旧小区改造任务，涉及改造户数32475户，建设保障性租赁住房1092套，5115套“保交房”任务全面完成交付。</w:t>
      </w:r>
      <w:r>
        <w:rPr>
          <w:rFonts w:hint="eastAsia" w:ascii="Times New Roman" w:hAnsi="Times New Roman" w:eastAsia="仿宋_GB2312"/>
          <w:b/>
          <w:bCs/>
          <w:color w:val="auto"/>
          <w:sz w:val="32"/>
          <w:szCs w:val="32"/>
          <w:highlight w:val="none"/>
        </w:rPr>
        <w:t>平安景德镇建设成效显著，</w:t>
      </w:r>
      <w:r>
        <w:rPr>
          <w:rFonts w:hint="eastAsia" w:ascii="Times New Roman" w:hAnsi="Times New Roman" w:eastAsia="仿宋_GB2312"/>
          <w:color w:val="auto"/>
          <w:sz w:val="32"/>
          <w:szCs w:val="32"/>
          <w:highlight w:val="none"/>
        </w:rPr>
        <w:t>强化“信复同行”府院联动行政争议化解品牌打造，常态化开展扫黑除恶斗争，“雪亮工程”加快建设，“新型警力护校园”活动扎实开展，严格落实安全生产责任制，是全省唯一连续22年无重大及以上事故的地市。</w:t>
      </w:r>
    </w:p>
    <w:p w14:paraId="1B4F7A28">
      <w:pPr>
        <w:adjustRightInd w:val="0"/>
        <w:snapToGrid w:val="0"/>
        <w:spacing w:line="560" w:lineRule="exact"/>
        <w:ind w:firstLine="640" w:firstLineChars="200"/>
        <w:rPr>
          <w:rFonts w:ascii="Times New Roman" w:hAnsi="Times New Roman" w:eastAsia="仿宋_GB2312"/>
          <w:color w:val="auto"/>
          <w:sz w:val="32"/>
          <w:szCs w:val="32"/>
          <w:highlight w:val="none"/>
        </w:rPr>
      </w:pPr>
      <w:r>
        <w:rPr>
          <w:rFonts w:ascii="Times New Roman" w:hAnsi="Times New Roman" w:eastAsia="仿宋_GB2312"/>
          <w:color w:val="auto"/>
          <w:sz w:val="32"/>
          <w:szCs w:val="32"/>
          <w:highlight w:val="none"/>
        </w:rPr>
        <w:t>总体而言，“十四五”期间我市</w:t>
      </w:r>
      <w:r>
        <w:rPr>
          <w:rFonts w:hint="eastAsia" w:ascii="Times New Roman" w:hAnsi="Times New Roman" w:eastAsia="仿宋_GB2312"/>
          <w:color w:val="auto"/>
          <w:sz w:val="32"/>
          <w:szCs w:val="32"/>
          <w:highlight w:val="none"/>
        </w:rPr>
        <w:t>以景德镇国家陶瓷文化传承创新试验区建设为统领，承压前行、迎难而上</w:t>
      </w:r>
      <w:r>
        <w:rPr>
          <w:rFonts w:ascii="Times New Roman" w:hAnsi="Times New Roman" w:eastAsia="仿宋_GB2312"/>
          <w:color w:val="auto"/>
          <w:sz w:val="32"/>
          <w:szCs w:val="32"/>
          <w:highlight w:val="none"/>
        </w:rPr>
        <w:t>，经过全市人民的共同奋斗，努力实现了经济持续健康发展、</w:t>
      </w:r>
      <w:r>
        <w:rPr>
          <w:rFonts w:hint="eastAsia" w:ascii="Times New Roman" w:hAnsi="Times New Roman" w:eastAsia="仿宋_GB2312"/>
          <w:color w:val="auto"/>
          <w:sz w:val="32"/>
          <w:szCs w:val="32"/>
          <w:highlight w:val="none"/>
        </w:rPr>
        <w:t>城乡建设提质、</w:t>
      </w:r>
      <w:r>
        <w:rPr>
          <w:rFonts w:ascii="Times New Roman" w:hAnsi="Times New Roman" w:eastAsia="仿宋_GB2312"/>
          <w:color w:val="auto"/>
          <w:sz w:val="32"/>
          <w:szCs w:val="32"/>
          <w:highlight w:val="none"/>
        </w:rPr>
        <w:t>社会安定和谐的目标，为全市到2035年</w:t>
      </w:r>
      <w:r>
        <w:rPr>
          <w:rFonts w:hint="eastAsia" w:ascii="Times New Roman" w:hAnsi="Times New Roman" w:eastAsia="仿宋_GB2312"/>
          <w:color w:val="auto"/>
          <w:sz w:val="32"/>
          <w:szCs w:val="32"/>
          <w:highlight w:val="none"/>
        </w:rPr>
        <w:t>全面完成试验区建设目标任务</w:t>
      </w:r>
      <w:r>
        <w:rPr>
          <w:rFonts w:ascii="Times New Roman" w:hAnsi="Times New Roman" w:eastAsia="仿宋_GB2312"/>
          <w:color w:val="auto"/>
          <w:sz w:val="32"/>
          <w:szCs w:val="32"/>
          <w:highlight w:val="none"/>
        </w:rPr>
        <w:t>，</w:t>
      </w:r>
      <w:r>
        <w:rPr>
          <w:rFonts w:hint="eastAsia" w:ascii="Times New Roman" w:hAnsi="Times New Roman" w:eastAsia="仿宋_GB2312"/>
          <w:color w:val="auto"/>
          <w:sz w:val="32"/>
          <w:szCs w:val="32"/>
          <w:highlight w:val="none"/>
        </w:rPr>
        <w:t>成为全国具有重要示范意义的新型人文城市和具有重要影响力的世界陶瓷文化中心城市，</w:t>
      </w:r>
      <w:r>
        <w:rPr>
          <w:rFonts w:ascii="Times New Roman" w:hAnsi="Times New Roman" w:eastAsia="仿宋_GB2312"/>
          <w:color w:val="auto"/>
          <w:sz w:val="32"/>
          <w:szCs w:val="32"/>
          <w:highlight w:val="none"/>
        </w:rPr>
        <w:t>与全国、全</w:t>
      </w:r>
      <w:r>
        <w:rPr>
          <w:rFonts w:hint="eastAsia" w:ascii="Times New Roman" w:hAnsi="Times New Roman" w:eastAsia="仿宋_GB2312"/>
          <w:color w:val="auto"/>
          <w:sz w:val="32"/>
          <w:szCs w:val="32"/>
          <w:highlight w:val="none"/>
        </w:rPr>
        <w:t>省</w:t>
      </w:r>
      <w:r>
        <w:rPr>
          <w:rFonts w:ascii="Times New Roman" w:hAnsi="Times New Roman" w:eastAsia="仿宋_GB2312"/>
          <w:color w:val="auto"/>
          <w:sz w:val="32"/>
          <w:szCs w:val="32"/>
          <w:highlight w:val="none"/>
        </w:rPr>
        <w:t>同步基本实现中国式现代化目标奠定了坚实基础。</w:t>
      </w:r>
    </w:p>
    <w:p w14:paraId="530E15B0">
      <w:pPr>
        <w:adjustRightInd w:val="0"/>
        <w:snapToGrid w:val="0"/>
        <w:spacing w:line="560" w:lineRule="exact"/>
        <w:ind w:firstLine="640" w:firstLineChars="200"/>
        <w:rPr>
          <w:rFonts w:ascii="Times New Roman" w:hAnsi="Times New Roman" w:eastAsia="仿宋_GB2312"/>
          <w:color w:val="auto"/>
          <w:sz w:val="32"/>
          <w:szCs w:val="32"/>
          <w:highlight w:val="none"/>
        </w:rPr>
      </w:pPr>
      <w:r>
        <w:rPr>
          <w:rFonts w:ascii="Times New Roman" w:hAnsi="Times New Roman" w:eastAsia="仿宋_GB2312"/>
          <w:color w:val="auto"/>
          <w:sz w:val="32"/>
          <w:szCs w:val="32"/>
          <w:highlight w:val="none"/>
        </w:rPr>
        <w:t>同时我们也要清醒地认识到，</w:t>
      </w:r>
      <w:r>
        <w:rPr>
          <w:rFonts w:hint="eastAsia" w:ascii="Times New Roman" w:hAnsi="Times New Roman" w:eastAsia="仿宋_GB2312"/>
          <w:color w:val="auto"/>
          <w:sz w:val="32"/>
          <w:szCs w:val="32"/>
          <w:highlight w:val="none"/>
        </w:rPr>
        <w:t>景德镇</w:t>
      </w:r>
      <w:r>
        <w:rPr>
          <w:rFonts w:ascii="Times New Roman" w:hAnsi="Times New Roman" w:eastAsia="仿宋_GB2312"/>
          <w:color w:val="auto"/>
          <w:sz w:val="32"/>
          <w:szCs w:val="32"/>
          <w:highlight w:val="none"/>
        </w:rPr>
        <w:t>发展不平衡、不充分的瓶颈依然突出，</w:t>
      </w:r>
      <w:r>
        <w:rPr>
          <w:rFonts w:hint="eastAsia" w:ascii="Times New Roman" w:hAnsi="Times New Roman" w:eastAsia="仿宋_GB2312"/>
          <w:color w:val="auto"/>
          <w:sz w:val="32"/>
          <w:szCs w:val="32"/>
          <w:highlight w:val="none"/>
        </w:rPr>
        <w:t>具体表现在以下几个方面：</w:t>
      </w:r>
    </w:p>
    <w:p w14:paraId="5E62F3E0">
      <w:pPr>
        <w:adjustRightInd w:val="0"/>
        <w:snapToGrid w:val="0"/>
        <w:spacing w:line="560" w:lineRule="exact"/>
        <w:ind w:firstLine="643" w:firstLineChars="200"/>
        <w:rPr>
          <w:rFonts w:ascii="Times New Roman" w:hAnsi="Times New Roman" w:eastAsia="仿宋_GB2312"/>
          <w:color w:val="auto"/>
          <w:sz w:val="32"/>
          <w:szCs w:val="32"/>
          <w:highlight w:val="none"/>
        </w:rPr>
      </w:pPr>
      <w:r>
        <w:rPr>
          <w:rFonts w:hint="eastAsia" w:ascii="Times New Roman" w:hAnsi="Times New Roman" w:eastAsia="仿宋_GB2312"/>
          <w:b/>
          <w:bCs/>
          <w:color w:val="auto"/>
          <w:sz w:val="32"/>
          <w:szCs w:val="32"/>
          <w:highlight w:val="none"/>
        </w:rPr>
        <w:t>一是</w:t>
      </w:r>
      <w:r>
        <w:rPr>
          <w:rFonts w:ascii="Times New Roman" w:hAnsi="Times New Roman" w:eastAsia="仿宋_GB2312"/>
          <w:b/>
          <w:bCs/>
          <w:color w:val="auto"/>
          <w:sz w:val="32"/>
          <w:szCs w:val="32"/>
          <w:highlight w:val="none"/>
        </w:rPr>
        <w:t>综合实力总体较为薄弱</w:t>
      </w:r>
      <w:r>
        <w:rPr>
          <w:rFonts w:hint="eastAsia" w:ascii="Times New Roman" w:hAnsi="Times New Roman" w:eastAsia="仿宋_GB2312"/>
          <w:b/>
          <w:bCs/>
          <w:color w:val="auto"/>
          <w:sz w:val="32"/>
          <w:szCs w:val="32"/>
          <w:highlight w:val="none"/>
        </w:rPr>
        <w:t>。</w:t>
      </w:r>
      <w:r>
        <w:rPr>
          <w:rFonts w:ascii="Times New Roman" w:hAnsi="Times New Roman" w:eastAsia="仿宋_GB2312"/>
          <w:color w:val="auto"/>
          <w:sz w:val="32"/>
          <w:szCs w:val="32"/>
          <w:highlight w:val="none"/>
        </w:rPr>
        <w:t>GDP在</w:t>
      </w:r>
      <w:r>
        <w:rPr>
          <w:rFonts w:hint="eastAsia" w:ascii="Times New Roman" w:hAnsi="Times New Roman" w:eastAsia="仿宋_GB2312"/>
          <w:color w:val="auto"/>
          <w:sz w:val="32"/>
          <w:szCs w:val="32"/>
          <w:highlight w:val="none"/>
        </w:rPr>
        <w:t>全省</w:t>
      </w:r>
      <w:r>
        <w:rPr>
          <w:rFonts w:ascii="Times New Roman" w:hAnsi="Times New Roman" w:eastAsia="仿宋_GB2312"/>
          <w:color w:val="auto"/>
          <w:sz w:val="32"/>
          <w:szCs w:val="32"/>
          <w:highlight w:val="none"/>
        </w:rPr>
        <w:t>处于相对落后的地位短期难以改变</w:t>
      </w:r>
      <w:r>
        <w:rPr>
          <w:rFonts w:hint="eastAsia" w:ascii="Times New Roman" w:hAnsi="Times New Roman" w:eastAsia="仿宋_GB2312"/>
          <w:color w:val="auto"/>
          <w:sz w:val="32"/>
          <w:szCs w:val="32"/>
          <w:highlight w:val="none"/>
        </w:rPr>
        <w:t>。2</w:t>
      </w:r>
      <w:r>
        <w:rPr>
          <w:rFonts w:ascii="Times New Roman" w:hAnsi="Times New Roman" w:eastAsia="仿宋_GB2312"/>
          <w:color w:val="auto"/>
          <w:sz w:val="32"/>
          <w:szCs w:val="32"/>
          <w:highlight w:val="none"/>
        </w:rPr>
        <w:t>024</w:t>
      </w:r>
      <w:r>
        <w:rPr>
          <w:rFonts w:hint="eastAsia" w:ascii="Times New Roman" w:hAnsi="Times New Roman" w:eastAsia="仿宋_GB2312"/>
          <w:color w:val="auto"/>
          <w:sz w:val="32"/>
          <w:szCs w:val="32"/>
          <w:highlight w:val="none"/>
        </w:rPr>
        <w:t>年G</w:t>
      </w:r>
      <w:r>
        <w:rPr>
          <w:rFonts w:ascii="Times New Roman" w:hAnsi="Times New Roman" w:eastAsia="仿宋_GB2312"/>
          <w:color w:val="auto"/>
          <w:sz w:val="32"/>
          <w:szCs w:val="32"/>
          <w:highlight w:val="none"/>
        </w:rPr>
        <w:t>DP</w:t>
      </w:r>
      <w:r>
        <w:rPr>
          <w:rFonts w:hint="eastAsia" w:ascii="Times New Roman" w:hAnsi="Times New Roman" w:eastAsia="仿宋_GB2312"/>
          <w:color w:val="auto"/>
          <w:sz w:val="32"/>
          <w:szCs w:val="32"/>
          <w:highlight w:val="none"/>
        </w:rPr>
        <w:t>在全省排位倒数第2，虽比2</w:t>
      </w:r>
      <w:r>
        <w:rPr>
          <w:rFonts w:ascii="Times New Roman" w:hAnsi="Times New Roman" w:eastAsia="仿宋_GB2312"/>
          <w:color w:val="auto"/>
          <w:sz w:val="32"/>
          <w:szCs w:val="32"/>
          <w:highlight w:val="none"/>
        </w:rPr>
        <w:t>020</w:t>
      </w:r>
      <w:r>
        <w:rPr>
          <w:rFonts w:hint="eastAsia" w:ascii="Times New Roman" w:hAnsi="Times New Roman" w:eastAsia="仿宋_GB2312"/>
          <w:color w:val="auto"/>
          <w:sz w:val="32"/>
          <w:szCs w:val="32"/>
          <w:highlight w:val="none"/>
        </w:rPr>
        <w:t>年上升1位，但增速低于全省平均增速1个百分点，G</w:t>
      </w:r>
      <w:r>
        <w:rPr>
          <w:rFonts w:ascii="Times New Roman" w:hAnsi="Times New Roman" w:eastAsia="仿宋_GB2312"/>
          <w:color w:val="auto"/>
          <w:sz w:val="32"/>
          <w:szCs w:val="32"/>
          <w:highlight w:val="none"/>
        </w:rPr>
        <w:t>DP</w:t>
      </w:r>
      <w:r>
        <w:rPr>
          <w:rFonts w:hint="eastAsia" w:ascii="Times New Roman" w:hAnsi="Times New Roman" w:eastAsia="仿宋_GB2312"/>
          <w:color w:val="auto"/>
          <w:sz w:val="32"/>
          <w:szCs w:val="32"/>
          <w:highlight w:val="none"/>
        </w:rPr>
        <w:t>占全省比重3</w:t>
      </w:r>
      <w:r>
        <w:rPr>
          <w:rFonts w:ascii="Times New Roman" w:hAnsi="Times New Roman" w:eastAsia="仿宋_GB2312"/>
          <w:color w:val="auto"/>
          <w:sz w:val="32"/>
          <w:szCs w:val="32"/>
          <w:highlight w:val="none"/>
        </w:rPr>
        <w:t>.73%</w:t>
      </w:r>
      <w:r>
        <w:rPr>
          <w:rFonts w:hint="eastAsia" w:ascii="Times New Roman" w:hAnsi="Times New Roman" w:eastAsia="仿宋_GB2312"/>
          <w:color w:val="auto"/>
          <w:sz w:val="32"/>
          <w:szCs w:val="32"/>
          <w:highlight w:val="none"/>
        </w:rPr>
        <w:t>下降至3</w:t>
      </w:r>
      <w:r>
        <w:rPr>
          <w:rFonts w:ascii="Times New Roman" w:hAnsi="Times New Roman" w:eastAsia="仿宋_GB2312"/>
          <w:color w:val="auto"/>
          <w:sz w:val="32"/>
          <w:szCs w:val="32"/>
          <w:highlight w:val="none"/>
        </w:rPr>
        <w:t>.45%</w:t>
      </w:r>
      <w:r>
        <w:rPr>
          <w:rFonts w:hint="eastAsia" w:ascii="Times New Roman" w:hAnsi="Times New Roman" w:eastAsia="仿宋_GB2312"/>
          <w:color w:val="auto"/>
          <w:sz w:val="32"/>
          <w:szCs w:val="32"/>
          <w:highlight w:val="none"/>
        </w:rPr>
        <w:t>，与上饶、鹰潭发展实力差距加大，在区域城市竞合格局中处于劣势。</w:t>
      </w:r>
    </w:p>
    <w:p w14:paraId="1532CAA5">
      <w:pPr>
        <w:adjustRightInd w:val="0"/>
        <w:snapToGrid w:val="0"/>
        <w:spacing w:line="560" w:lineRule="exact"/>
        <w:ind w:firstLine="643" w:firstLineChars="200"/>
        <w:rPr>
          <w:rFonts w:ascii="Times New Roman" w:hAnsi="Times New Roman" w:eastAsia="仿宋_GB2312"/>
          <w:color w:val="auto"/>
          <w:sz w:val="32"/>
          <w:szCs w:val="32"/>
          <w:highlight w:val="none"/>
        </w:rPr>
      </w:pPr>
      <w:r>
        <w:rPr>
          <w:rFonts w:hint="eastAsia" w:ascii="Times New Roman" w:hAnsi="Times New Roman" w:eastAsia="仿宋_GB2312"/>
          <w:b/>
          <w:bCs/>
          <w:color w:val="auto"/>
          <w:sz w:val="32"/>
          <w:szCs w:val="32"/>
          <w:highlight w:val="none"/>
        </w:rPr>
        <w:t>二是主导产业和龙头企业带动能力弱、</w:t>
      </w:r>
      <w:r>
        <w:rPr>
          <w:rFonts w:ascii="Times New Roman" w:hAnsi="Times New Roman" w:eastAsia="仿宋_GB2312"/>
          <w:b/>
          <w:bCs/>
          <w:color w:val="auto"/>
          <w:sz w:val="32"/>
          <w:szCs w:val="32"/>
          <w:highlight w:val="none"/>
        </w:rPr>
        <w:t>新质生产力重大项目招引难</w:t>
      </w:r>
      <w:r>
        <w:rPr>
          <w:rFonts w:hint="eastAsia" w:ascii="Times New Roman" w:hAnsi="Times New Roman" w:eastAsia="仿宋_GB2312"/>
          <w:b/>
          <w:bCs/>
          <w:color w:val="auto"/>
          <w:sz w:val="32"/>
          <w:szCs w:val="32"/>
          <w:highlight w:val="none"/>
        </w:rPr>
        <w:t>。</w:t>
      </w:r>
      <w:r>
        <w:rPr>
          <w:rFonts w:hint="eastAsia" w:ascii="Times New Roman" w:hAnsi="Times New Roman" w:eastAsia="仿宋_GB2312"/>
          <w:color w:val="auto"/>
          <w:sz w:val="32"/>
          <w:szCs w:val="32"/>
          <w:highlight w:val="none"/>
        </w:rPr>
        <w:t>陶瓷产业“景德镇”区域知名度尚未有效转化为产品、企业影响力；航空、化工、医药产业链相对较短，受政策制约、空域管制等因素影响较大，关键环节存在缺失，产业上游和下游部分“两头在外”，集群竞争力较弱。企业规模整体偏小，仅黑猫集团入围2024江西企业100强，尚无企业入围江西民营企业100强。受交通区位、人才集聚、产业链配套等劣势影响，新质生产力重大项目资源吸引力弱。</w:t>
      </w:r>
    </w:p>
    <w:p w14:paraId="5894CF7E">
      <w:pPr>
        <w:adjustRightInd w:val="0"/>
        <w:snapToGrid w:val="0"/>
        <w:spacing w:line="560" w:lineRule="exact"/>
        <w:ind w:firstLine="643" w:firstLineChars="200"/>
        <w:rPr>
          <w:rFonts w:ascii="Times New Roman" w:hAnsi="Times New Roman" w:eastAsia="仿宋_GB2312"/>
          <w:color w:val="auto"/>
          <w:sz w:val="32"/>
          <w:szCs w:val="32"/>
          <w:highlight w:val="none"/>
        </w:rPr>
      </w:pPr>
      <w:r>
        <w:rPr>
          <w:rFonts w:hint="eastAsia" w:ascii="Times New Roman" w:hAnsi="Times New Roman" w:eastAsia="仿宋_GB2312"/>
          <w:b/>
          <w:bCs/>
          <w:color w:val="auto"/>
          <w:sz w:val="32"/>
          <w:szCs w:val="32"/>
          <w:highlight w:val="none"/>
        </w:rPr>
        <w:t>三是城市协调发展水平有待提升</w:t>
      </w:r>
      <w:r>
        <w:rPr>
          <w:rFonts w:ascii="Times New Roman" w:hAnsi="Times New Roman" w:eastAsia="仿宋_GB2312"/>
          <w:b/>
          <w:bCs/>
          <w:color w:val="auto"/>
          <w:sz w:val="32"/>
          <w:szCs w:val="32"/>
          <w:highlight w:val="none"/>
        </w:rPr>
        <w:t>。</w:t>
      </w:r>
      <w:r>
        <w:rPr>
          <w:rFonts w:hint="eastAsia" w:ascii="Times New Roman" w:hAnsi="Times New Roman" w:eastAsia="仿宋_GB2312"/>
          <w:color w:val="auto"/>
          <w:sz w:val="32"/>
          <w:szCs w:val="32"/>
          <w:highlight w:val="none"/>
        </w:rPr>
        <w:t>从关键指标判断，</w:t>
      </w:r>
      <w:r>
        <w:rPr>
          <w:rFonts w:ascii="Times New Roman" w:hAnsi="Times New Roman" w:eastAsia="仿宋_GB2312"/>
          <w:color w:val="auto"/>
          <w:sz w:val="32"/>
          <w:szCs w:val="32"/>
          <w:highlight w:val="none"/>
        </w:rPr>
        <w:t>我市</w:t>
      </w:r>
      <w:r>
        <w:rPr>
          <w:rFonts w:hint="eastAsia" w:ascii="Times New Roman" w:hAnsi="Times New Roman" w:eastAsia="仿宋_GB2312"/>
          <w:color w:val="auto"/>
          <w:sz w:val="32"/>
          <w:szCs w:val="32"/>
          <w:highlight w:val="none"/>
        </w:rPr>
        <w:t>已接近城镇化成熟</w:t>
      </w:r>
      <w:r>
        <w:rPr>
          <w:rFonts w:ascii="Times New Roman" w:hAnsi="Times New Roman" w:eastAsia="仿宋_GB2312"/>
          <w:color w:val="auto"/>
          <w:sz w:val="32"/>
          <w:szCs w:val="32"/>
          <w:highlight w:val="none"/>
        </w:rPr>
        <w:t>阶段，</w:t>
      </w:r>
      <w:r>
        <w:rPr>
          <w:rFonts w:hint="eastAsia" w:ascii="Times New Roman" w:hAnsi="Times New Roman" w:eastAsia="仿宋_GB2312"/>
          <w:color w:val="auto"/>
          <w:sz w:val="32"/>
          <w:szCs w:val="32"/>
          <w:highlight w:val="none"/>
        </w:rPr>
        <w:t>但</w:t>
      </w:r>
      <w:r>
        <w:rPr>
          <w:rFonts w:ascii="Times New Roman" w:hAnsi="Times New Roman" w:eastAsia="仿宋_GB2312"/>
          <w:color w:val="auto"/>
          <w:sz w:val="32"/>
          <w:szCs w:val="32"/>
          <w:highlight w:val="none"/>
        </w:rPr>
        <w:t>城镇化质量有待提高，均衡性和协同性有待加强。</w:t>
      </w:r>
      <w:r>
        <w:rPr>
          <w:rFonts w:hint="eastAsia" w:ascii="Times New Roman" w:hAnsi="Times New Roman" w:eastAsia="仿宋_GB2312"/>
          <w:color w:val="auto"/>
          <w:sz w:val="32"/>
          <w:szCs w:val="32"/>
          <w:highlight w:val="none"/>
        </w:rPr>
        <w:t>我市</w:t>
      </w:r>
      <w:r>
        <w:rPr>
          <w:rFonts w:ascii="Times New Roman" w:hAnsi="Times New Roman" w:eastAsia="仿宋_GB2312"/>
          <w:color w:val="auto"/>
          <w:sz w:val="32"/>
          <w:szCs w:val="32"/>
          <w:highlight w:val="none"/>
        </w:rPr>
        <w:t>城市功能能级相对较低、</w:t>
      </w:r>
      <w:r>
        <w:rPr>
          <w:rFonts w:hint="eastAsia" w:ascii="Times New Roman" w:hAnsi="Times New Roman" w:eastAsia="仿宋_GB2312"/>
          <w:color w:val="auto"/>
          <w:sz w:val="32"/>
          <w:szCs w:val="32"/>
          <w:highlight w:val="none"/>
        </w:rPr>
        <w:t>中心城区引领带动能力较弱</w:t>
      </w:r>
      <w:r>
        <w:rPr>
          <w:rFonts w:ascii="Times New Roman" w:hAnsi="Times New Roman" w:eastAsia="仿宋_GB2312"/>
          <w:color w:val="auto"/>
          <w:sz w:val="32"/>
          <w:szCs w:val="32"/>
          <w:highlight w:val="none"/>
        </w:rPr>
        <w:t>、县域经济发展不平衡、城乡融合有待深化、公共产品和服务</w:t>
      </w:r>
      <w:r>
        <w:rPr>
          <w:rFonts w:hint="eastAsia" w:ascii="Times New Roman" w:hAnsi="Times New Roman" w:eastAsia="仿宋_GB2312"/>
          <w:color w:val="auto"/>
          <w:sz w:val="32"/>
          <w:szCs w:val="32"/>
          <w:highlight w:val="none"/>
        </w:rPr>
        <w:t>历史欠账较多</w:t>
      </w:r>
      <w:r>
        <w:rPr>
          <w:rFonts w:ascii="Times New Roman" w:hAnsi="Times New Roman" w:eastAsia="仿宋_GB2312"/>
          <w:color w:val="auto"/>
          <w:sz w:val="32"/>
          <w:szCs w:val="32"/>
          <w:highlight w:val="none"/>
        </w:rPr>
        <w:t>、城市治理现代化水平不高，在一定程度上影响了技术、人才、重大项目等关键要素集聚。</w:t>
      </w:r>
    </w:p>
    <w:p w14:paraId="5FE8ED69">
      <w:pPr>
        <w:adjustRightInd w:val="0"/>
        <w:snapToGrid w:val="0"/>
        <w:spacing w:line="560" w:lineRule="exact"/>
        <w:ind w:firstLine="643" w:firstLineChars="200"/>
        <w:rPr>
          <w:rFonts w:ascii="Times New Roman" w:hAnsi="Times New Roman" w:eastAsia="仿宋_GB2312"/>
          <w:color w:val="auto"/>
          <w:sz w:val="32"/>
          <w:szCs w:val="32"/>
          <w:highlight w:val="none"/>
        </w:rPr>
      </w:pPr>
      <w:r>
        <w:rPr>
          <w:rFonts w:hint="eastAsia" w:ascii="Times New Roman" w:hAnsi="Times New Roman" w:eastAsia="仿宋_GB2312"/>
          <w:b/>
          <w:bCs/>
          <w:color w:val="auto"/>
          <w:sz w:val="32"/>
          <w:szCs w:val="32"/>
          <w:highlight w:val="none"/>
        </w:rPr>
        <w:t>四是地方财政实力弱</w:t>
      </w:r>
      <w:r>
        <w:rPr>
          <w:rFonts w:ascii="Times New Roman" w:hAnsi="Times New Roman" w:eastAsia="仿宋_GB2312"/>
          <w:b/>
          <w:bCs/>
          <w:color w:val="auto"/>
          <w:sz w:val="32"/>
          <w:szCs w:val="32"/>
          <w:highlight w:val="none"/>
        </w:rPr>
        <w:t>融资难</w:t>
      </w:r>
      <w:r>
        <w:rPr>
          <w:rFonts w:hint="eastAsia" w:ascii="Times New Roman" w:hAnsi="Times New Roman" w:eastAsia="仿宋_GB2312"/>
          <w:b/>
          <w:bCs/>
          <w:color w:val="auto"/>
          <w:sz w:val="32"/>
          <w:szCs w:val="32"/>
          <w:highlight w:val="none"/>
        </w:rPr>
        <w:t>。</w:t>
      </w:r>
      <w:r>
        <w:rPr>
          <w:rFonts w:hint="eastAsia" w:ascii="Times New Roman" w:hAnsi="Times New Roman" w:eastAsia="仿宋_GB2312"/>
          <w:color w:val="auto"/>
          <w:sz w:val="32"/>
          <w:szCs w:val="32"/>
          <w:highlight w:val="none"/>
        </w:rPr>
        <w:t>全市2</w:t>
      </w:r>
      <w:r>
        <w:rPr>
          <w:rFonts w:ascii="Times New Roman" w:hAnsi="Times New Roman" w:eastAsia="仿宋_GB2312"/>
          <w:color w:val="auto"/>
          <w:sz w:val="32"/>
          <w:szCs w:val="32"/>
          <w:highlight w:val="none"/>
        </w:rPr>
        <w:t>024</w:t>
      </w:r>
      <w:r>
        <w:rPr>
          <w:rFonts w:hint="eastAsia" w:ascii="Times New Roman" w:hAnsi="Times New Roman" w:eastAsia="仿宋_GB2312"/>
          <w:color w:val="auto"/>
          <w:sz w:val="32"/>
          <w:szCs w:val="32"/>
          <w:highlight w:val="none"/>
        </w:rPr>
        <w:t>年一般公共预算收入较2</w:t>
      </w:r>
      <w:r>
        <w:rPr>
          <w:rFonts w:ascii="Times New Roman" w:hAnsi="Times New Roman" w:eastAsia="仿宋_GB2312"/>
          <w:color w:val="auto"/>
          <w:sz w:val="32"/>
          <w:szCs w:val="32"/>
          <w:highlight w:val="none"/>
        </w:rPr>
        <w:t>020</w:t>
      </w:r>
      <w:r>
        <w:rPr>
          <w:rFonts w:hint="eastAsia" w:ascii="Times New Roman" w:hAnsi="Times New Roman" w:eastAsia="仿宋_GB2312"/>
          <w:color w:val="auto"/>
          <w:sz w:val="32"/>
          <w:szCs w:val="32"/>
          <w:highlight w:val="none"/>
        </w:rPr>
        <w:t>年下降约1</w:t>
      </w:r>
      <w:r>
        <w:rPr>
          <w:rFonts w:ascii="Times New Roman" w:hAnsi="Times New Roman" w:eastAsia="仿宋_GB2312"/>
          <w:color w:val="auto"/>
          <w:sz w:val="32"/>
          <w:szCs w:val="32"/>
          <w:highlight w:val="none"/>
        </w:rPr>
        <w:t>0%</w:t>
      </w:r>
      <w:r>
        <w:rPr>
          <w:rFonts w:hint="eastAsia" w:ascii="Times New Roman" w:hAnsi="Times New Roman" w:eastAsia="仿宋_GB2312"/>
          <w:color w:val="auto"/>
          <w:sz w:val="32"/>
          <w:szCs w:val="32"/>
          <w:highlight w:val="none"/>
        </w:rPr>
        <w:t>，财政自给率从2</w:t>
      </w:r>
      <w:r>
        <w:rPr>
          <w:rFonts w:ascii="Times New Roman" w:hAnsi="Times New Roman" w:eastAsia="仿宋_GB2312"/>
          <w:color w:val="auto"/>
          <w:sz w:val="32"/>
          <w:szCs w:val="32"/>
          <w:highlight w:val="none"/>
        </w:rPr>
        <w:t>020</w:t>
      </w:r>
      <w:r>
        <w:rPr>
          <w:rFonts w:hint="eastAsia" w:ascii="Times New Roman" w:hAnsi="Times New Roman" w:eastAsia="仿宋_GB2312"/>
          <w:color w:val="auto"/>
          <w:sz w:val="32"/>
          <w:szCs w:val="32"/>
          <w:highlight w:val="none"/>
        </w:rPr>
        <w:t>年的4</w:t>
      </w:r>
      <w:r>
        <w:rPr>
          <w:rFonts w:ascii="Times New Roman" w:hAnsi="Times New Roman" w:eastAsia="仿宋_GB2312"/>
          <w:color w:val="auto"/>
          <w:sz w:val="32"/>
          <w:szCs w:val="32"/>
          <w:highlight w:val="none"/>
        </w:rPr>
        <w:t>2.4%</w:t>
      </w:r>
      <w:r>
        <w:rPr>
          <w:rFonts w:hint="eastAsia" w:ascii="Times New Roman" w:hAnsi="Times New Roman" w:eastAsia="仿宋_GB2312"/>
          <w:color w:val="auto"/>
          <w:sz w:val="32"/>
          <w:szCs w:val="32"/>
          <w:highlight w:val="none"/>
        </w:rPr>
        <w:t>下降至3</w:t>
      </w:r>
      <w:r>
        <w:rPr>
          <w:rFonts w:ascii="Times New Roman" w:hAnsi="Times New Roman" w:eastAsia="仿宋_GB2312"/>
          <w:color w:val="auto"/>
          <w:sz w:val="32"/>
          <w:szCs w:val="32"/>
          <w:highlight w:val="none"/>
        </w:rPr>
        <w:t>6.2%</w:t>
      </w:r>
      <w:r>
        <w:rPr>
          <w:rFonts w:hint="eastAsia" w:ascii="Times New Roman" w:hAnsi="Times New Roman" w:eastAsia="仿宋_GB2312"/>
          <w:color w:val="auto"/>
          <w:sz w:val="32"/>
          <w:szCs w:val="32"/>
          <w:highlight w:val="none"/>
        </w:rPr>
        <w:t>，政府性基金收入（主要来源为土地出让）持续下降，政府债务率仍处于较高水平，城投等融资平台利差长期高于全国均值，推高再融资成本，拖慢城市建设步伐。</w:t>
      </w:r>
    </w:p>
    <w:p w14:paraId="05E8D0C8">
      <w:pPr>
        <w:adjustRightInd w:val="0"/>
        <w:snapToGrid w:val="0"/>
        <w:spacing w:line="560" w:lineRule="exact"/>
        <w:ind w:firstLine="640" w:firstLineChars="200"/>
        <w:rPr>
          <w:rFonts w:ascii="Times New Roman" w:hAnsi="Times New Roman" w:eastAsia="仿宋_GB2312"/>
          <w:color w:val="auto"/>
          <w:sz w:val="32"/>
          <w:szCs w:val="32"/>
          <w:highlight w:val="none"/>
        </w:rPr>
      </w:pPr>
      <w:r>
        <w:rPr>
          <w:rFonts w:hint="eastAsia" w:ascii="Times New Roman" w:hAnsi="Times New Roman" w:eastAsia="仿宋_GB2312"/>
          <w:color w:val="auto"/>
          <w:sz w:val="32"/>
          <w:szCs w:val="32"/>
          <w:highlight w:val="none"/>
        </w:rPr>
        <w:t>这些</w:t>
      </w:r>
      <w:r>
        <w:rPr>
          <w:rFonts w:ascii="Times New Roman" w:hAnsi="Times New Roman" w:eastAsia="仿宋_GB2312"/>
          <w:color w:val="auto"/>
          <w:sz w:val="32"/>
          <w:szCs w:val="32"/>
          <w:highlight w:val="none"/>
        </w:rPr>
        <w:t>关键问题</w:t>
      </w:r>
      <w:r>
        <w:rPr>
          <w:rFonts w:hint="eastAsia" w:ascii="Times New Roman" w:hAnsi="Times New Roman" w:eastAsia="仿宋_GB2312"/>
          <w:color w:val="auto"/>
          <w:sz w:val="32"/>
          <w:szCs w:val="32"/>
          <w:highlight w:val="none"/>
        </w:rPr>
        <w:t>将</w:t>
      </w:r>
      <w:r>
        <w:rPr>
          <w:rFonts w:ascii="Times New Roman" w:hAnsi="Times New Roman" w:eastAsia="仿宋_GB2312"/>
          <w:color w:val="auto"/>
          <w:sz w:val="32"/>
          <w:szCs w:val="32"/>
          <w:highlight w:val="none"/>
        </w:rPr>
        <w:t>影响我市“十五五”期间经济、社会、城市治理等方面的发展韧性和后劲，我市要坚定发展自信和战略定力，在错综复杂的发展环境中抢抓结构性机遇，着力破除制约全市发展的瓶颈，推动城市发展能级跃升。</w:t>
      </w:r>
    </w:p>
    <w:p w14:paraId="288A54AA">
      <w:pPr>
        <w:numPr>
          <w:numId w:val="0"/>
        </w:numPr>
        <w:rPr>
          <w:rFonts w:hint="eastAsia"/>
          <w:sz w:val="28"/>
          <w:szCs w:val="36"/>
          <w:lang w:val="en-US" w:eastAsia="zh-CN"/>
        </w:rPr>
      </w:pPr>
    </w:p>
    <w:p w14:paraId="70960994">
      <w:pPr>
        <w:pStyle w:val="3"/>
        <w:numPr>
          <w:ilvl w:val="0"/>
          <w:numId w:val="4"/>
        </w:numPr>
        <w:bidi w:val="0"/>
        <w:rPr>
          <w:rFonts w:hint="default"/>
          <w:lang w:val="en-US" w:eastAsia="zh-CN"/>
        </w:rPr>
      </w:pPr>
      <w:r>
        <w:rPr>
          <w:rFonts w:hint="eastAsia"/>
          <w:lang w:val="en-US" w:eastAsia="zh-CN"/>
        </w:rPr>
        <w:t>分析步骤</w:t>
      </w:r>
    </w:p>
    <w:p w14:paraId="53D82992">
      <w:pPr>
        <w:outlineLvl w:val="2"/>
        <w:rPr>
          <w:rFonts w:hint="eastAsia"/>
          <w:sz w:val="28"/>
          <w:szCs w:val="36"/>
          <w:lang w:val="en-US" w:eastAsia="zh-CN"/>
        </w:rPr>
      </w:pPr>
      <w:r>
        <w:rPr>
          <w:rFonts w:hint="eastAsia"/>
          <w:sz w:val="28"/>
          <w:szCs w:val="36"/>
          <w:lang w:val="en-US" w:eastAsia="zh-CN"/>
        </w:rPr>
        <w:t>第一步：“十四五”规划执行情况（基础与条件）</w:t>
      </w:r>
    </w:p>
    <w:p w14:paraId="3D8E27B9">
      <w:pPr>
        <w:pStyle w:val="4"/>
        <w:numPr>
          <w:ilvl w:val="0"/>
          <w:numId w:val="5"/>
        </w:numPr>
        <w:outlineLvl w:val="3"/>
        <w:rPr>
          <w:rFonts w:hint="default"/>
          <w:lang w:val="en-US" w:eastAsia="zh-CN"/>
        </w:rPr>
      </w:pPr>
      <w:r>
        <w:rPr>
          <w:rFonts w:hint="default"/>
          <w:lang w:val="en-US" w:eastAsia="zh-CN"/>
        </w:rPr>
        <w:t>综合实力稳步提升</w:t>
      </w:r>
    </w:p>
    <w:p w14:paraId="377D0B88">
      <w:pPr>
        <w:numPr>
          <w:numId w:val="0"/>
        </w:numPr>
        <w:ind w:firstLine="562" w:firstLineChars="200"/>
        <w:rPr>
          <w:rFonts w:hint="eastAsia"/>
          <w:sz w:val="28"/>
          <w:szCs w:val="36"/>
          <w:highlight w:val="yellow"/>
          <w:lang w:val="en-US" w:eastAsia="zh-CN"/>
        </w:rPr>
      </w:pPr>
      <w:r>
        <w:rPr>
          <w:rFonts w:hint="eastAsia"/>
          <w:b/>
          <w:bCs/>
          <w:sz w:val="28"/>
          <w:szCs w:val="36"/>
          <w:lang w:val="en-US" w:eastAsia="zh-CN"/>
        </w:rPr>
        <w:t>按照模型</w:t>
      </w:r>
      <w:r>
        <w:rPr>
          <w:rFonts w:hint="eastAsia"/>
          <w:sz w:val="28"/>
          <w:szCs w:val="36"/>
          <w:highlight w:val="yellow"/>
          <w:lang w:val="en-US" w:eastAsia="zh-CN"/>
        </w:rPr>
        <w:t>1.1</w:t>
      </w:r>
      <w:r>
        <w:rPr>
          <w:rFonts w:hint="eastAsia"/>
          <w:sz w:val="28"/>
          <w:szCs w:val="36"/>
          <w:lang w:val="en-US" w:eastAsia="zh-CN"/>
        </w:rPr>
        <w:t>，</w:t>
      </w:r>
      <w:r>
        <w:rPr>
          <w:rFonts w:hint="eastAsia"/>
          <w:b/>
          <w:bCs/>
          <w:sz w:val="28"/>
          <w:szCs w:val="36"/>
          <w:lang w:val="en-US" w:eastAsia="zh-CN"/>
        </w:rPr>
        <w:t>通过分析本地数据库</w:t>
      </w:r>
      <w:r>
        <w:rPr>
          <w:rFonts w:hint="eastAsia"/>
          <w:sz w:val="28"/>
          <w:szCs w:val="36"/>
          <w:lang w:val="en-US" w:eastAsia="zh-CN"/>
        </w:rPr>
        <w:t>：《景德镇市五年规划项目本地资料》——《1、总体经济情况》——市工信局——</w:t>
      </w:r>
      <w:r>
        <w:rPr>
          <w:rFonts w:hint="eastAsia"/>
          <w:sz w:val="28"/>
          <w:szCs w:val="36"/>
          <w:highlight w:val="yellow"/>
          <w:lang w:val="en-US" w:eastAsia="zh-CN"/>
        </w:rPr>
        <w:t>景德镇市2024工业概况</w:t>
      </w:r>
      <w:r>
        <w:rPr>
          <w:rFonts w:hint="eastAsia"/>
          <w:sz w:val="28"/>
          <w:szCs w:val="36"/>
          <w:lang w:val="en-US" w:eastAsia="zh-CN"/>
        </w:rPr>
        <w:t>和《景德镇市五年规划项目本地资料》——《1、总体经济情况》——市统计局——</w:t>
      </w:r>
      <w:r>
        <w:rPr>
          <w:rFonts w:hint="eastAsia"/>
          <w:sz w:val="28"/>
          <w:szCs w:val="36"/>
          <w:highlight w:val="yellow"/>
          <w:lang w:val="en-US" w:eastAsia="zh-CN"/>
        </w:rPr>
        <w:t>《1、统计公报》；</w:t>
      </w:r>
    </w:p>
    <w:p w14:paraId="3FFDB533">
      <w:pPr>
        <w:numPr>
          <w:numId w:val="0"/>
        </w:numPr>
        <w:ind w:firstLine="562" w:firstLineChars="200"/>
        <w:rPr>
          <w:rFonts w:hint="eastAsia"/>
          <w:b w:val="0"/>
          <w:bCs w:val="0"/>
          <w:sz w:val="28"/>
          <w:szCs w:val="36"/>
          <w:highlight w:val="none"/>
          <w:lang w:val="en-US" w:eastAsia="zh-CN"/>
        </w:rPr>
      </w:pPr>
      <w:r>
        <w:rPr>
          <w:rFonts w:hint="eastAsia"/>
          <w:b/>
          <w:bCs/>
          <w:sz w:val="28"/>
          <w:szCs w:val="36"/>
          <w:highlight w:val="none"/>
          <w:lang w:val="en-US" w:eastAsia="zh-CN"/>
        </w:rPr>
        <w:t>分析内容包括不限于:</w:t>
      </w:r>
      <w:r>
        <w:rPr>
          <w:rFonts w:hint="eastAsia"/>
          <w:b w:val="0"/>
          <w:bCs w:val="0"/>
          <w:sz w:val="28"/>
          <w:szCs w:val="36"/>
          <w:highlight w:val="none"/>
          <w:lang w:val="en-US" w:eastAsia="zh-CN"/>
        </w:rPr>
        <w:t>背景总结概述。。。。。。;经济运行总体平稳，经济结构持续优化，2024年国内生产总值达到***亿元，省内排名第**位，财政收入达到***亿元，预计“十四五”规划提出的GDP达1200亿元目标可顺利完成;2024年全员劳动生产率达***万元/人，较十三五期间年增长***%等。</w:t>
      </w:r>
    </w:p>
    <w:p w14:paraId="61074FE9">
      <w:pPr>
        <w:numPr>
          <w:numId w:val="0"/>
        </w:numPr>
        <w:ind w:firstLine="562" w:firstLineChars="200"/>
        <w:rPr>
          <w:rFonts w:hint="default"/>
          <w:b w:val="0"/>
          <w:bCs w:val="0"/>
          <w:sz w:val="28"/>
          <w:szCs w:val="36"/>
          <w:highlight w:val="none"/>
          <w:lang w:val="en-US" w:eastAsia="zh-CN"/>
        </w:rPr>
      </w:pPr>
      <w:r>
        <w:rPr>
          <w:rFonts w:hint="eastAsia"/>
          <w:b/>
          <w:bCs/>
          <w:sz w:val="28"/>
          <w:szCs w:val="36"/>
          <w:highlight w:val="none"/>
          <w:lang w:val="en-US" w:eastAsia="zh-CN"/>
        </w:rPr>
        <w:t>分析指令：</w:t>
      </w:r>
      <w:r>
        <w:rPr>
          <w:rFonts w:hint="eastAsia"/>
          <w:b w:val="0"/>
          <w:bCs w:val="0"/>
          <w:sz w:val="28"/>
          <w:szCs w:val="36"/>
          <w:highlight w:val="none"/>
          <w:lang w:val="en-US" w:eastAsia="zh-CN"/>
        </w:rPr>
        <w:t>1、用一句话概括国内外政治经济形势；2、用一句话概括十四五期间景德镇各部门工作；3、提炼分析景德镇2024年经济总量、增速及省内排名；4、提炼分析十四五GDP目标完成的几率；5、提炼全员劳动生产率，评价其水平；6、提炼三产结构比例及工业增加值规模，分析十四五期间变化；7、用一段400字总结以上内容。</w:t>
      </w:r>
    </w:p>
    <w:p w14:paraId="2C16DB9D">
      <w:pPr>
        <w:rPr>
          <w:rFonts w:hint="default"/>
          <w:sz w:val="28"/>
          <w:szCs w:val="36"/>
          <w:lang w:val="en-US" w:eastAsia="zh-CN"/>
        </w:rPr>
      </w:pPr>
      <w:r>
        <w:rPr>
          <w:rFonts w:hint="eastAsia"/>
          <w:sz w:val="28"/>
          <w:szCs w:val="36"/>
          <w:lang w:val="en-US" w:eastAsia="zh-CN"/>
        </w:rPr>
        <w:t xml:space="preserve">    </w:t>
      </w:r>
      <w:r>
        <w:rPr>
          <w:rFonts w:hint="eastAsia"/>
          <w:b/>
          <w:bCs/>
          <w:sz w:val="28"/>
          <w:szCs w:val="36"/>
          <w:lang w:val="en-US" w:eastAsia="zh-CN"/>
        </w:rPr>
        <w:t>得出类似这样的结论：</w:t>
      </w:r>
      <w:r>
        <w:rPr>
          <w:rFonts w:hint="eastAsia"/>
          <w:sz w:val="28"/>
          <w:szCs w:val="36"/>
          <w:lang w:val="en-US" w:eastAsia="zh-CN"/>
        </w:rPr>
        <w:t>“十四五”期间，面对百年变局和世纪疫情交织叠加，世界进入动荡变革期等严峻形势，我市以景德镇国家陶瓷文化传承创新试验区建设为统领，统筹推进稳增长、促改革、调结构、惠民生、优生态、防风险、保稳定各项工作，全市经济社会保持平稳健康发展。“十四五”期间全市地区生产总值（GDP）突破千亿大关，2024年实现1179.30亿元，期间年均增速约4.8%，预计“十四五”规划提出的GDP达1200亿元目标可顺利完成。2024年固定资产投资增速实现由负转正，2023年全员劳动生产率达14.79万元/人，较2020年增长24%。三次产业结构由“十三五”末的7.3：41.2：51.5优化调整为2024年的6.7：41.1：52.2，呈现总体均衡、多元共兴发展格局，经济韧性显著增强。</w:t>
      </w:r>
    </w:p>
    <w:p w14:paraId="18FD1471">
      <w:pPr>
        <w:pStyle w:val="4"/>
        <w:numPr>
          <w:ilvl w:val="0"/>
          <w:numId w:val="5"/>
        </w:numPr>
        <w:ind w:left="0" w:leftChars="0" w:firstLine="0" w:firstLineChars="0"/>
        <w:outlineLvl w:val="3"/>
        <w:rPr>
          <w:rFonts w:hint="default"/>
          <w:lang w:val="en-US" w:eastAsia="zh-CN"/>
        </w:rPr>
      </w:pPr>
      <w:bookmarkStart w:id="8" w:name="_GoBack"/>
      <w:bookmarkEnd w:id="8"/>
      <w:r>
        <w:rPr>
          <w:rFonts w:hint="default"/>
          <w:lang w:val="en-US" w:eastAsia="zh-CN"/>
        </w:rPr>
        <w:t>国家试验区建设有力推进</w:t>
      </w:r>
    </w:p>
    <w:p w14:paraId="4F2178BC">
      <w:pPr>
        <w:numPr>
          <w:ilvl w:val="0"/>
          <w:numId w:val="0"/>
        </w:numPr>
        <w:rPr>
          <w:rFonts w:hint="default"/>
          <w:sz w:val="28"/>
          <w:szCs w:val="36"/>
          <w:lang w:val="en-US" w:eastAsia="zh-CN"/>
        </w:rPr>
      </w:pPr>
      <w:r>
        <w:rPr>
          <w:rFonts w:hint="eastAsia"/>
          <w:sz w:val="28"/>
          <w:szCs w:val="36"/>
          <w:lang w:val="en-US" w:eastAsia="zh-CN"/>
        </w:rPr>
        <w:t xml:space="preserve">    </w:t>
      </w:r>
      <w:r>
        <w:rPr>
          <w:rFonts w:hint="eastAsia"/>
          <w:b/>
          <w:bCs/>
          <w:sz w:val="28"/>
          <w:szCs w:val="36"/>
          <w:lang w:val="en-US" w:eastAsia="zh-CN"/>
        </w:rPr>
        <w:t>按照模型</w:t>
      </w:r>
      <w:r>
        <w:rPr>
          <w:rFonts w:hint="eastAsia"/>
          <w:sz w:val="28"/>
          <w:szCs w:val="36"/>
          <w:highlight w:val="yellow"/>
          <w:lang w:val="en-US" w:eastAsia="zh-CN"/>
        </w:rPr>
        <w:t>1.2</w:t>
      </w:r>
      <w:r>
        <w:rPr>
          <w:rFonts w:hint="eastAsia"/>
          <w:sz w:val="28"/>
          <w:szCs w:val="36"/>
          <w:lang w:val="en-US" w:eastAsia="zh-CN"/>
        </w:rPr>
        <w:t>，</w:t>
      </w:r>
      <w:r>
        <w:rPr>
          <w:rFonts w:hint="eastAsia"/>
          <w:b/>
          <w:bCs/>
          <w:sz w:val="28"/>
          <w:szCs w:val="36"/>
          <w:lang w:val="en-US" w:eastAsia="zh-CN"/>
        </w:rPr>
        <w:t>通过分析本地数据库</w:t>
      </w:r>
      <w:r>
        <w:rPr>
          <w:rFonts w:hint="eastAsia"/>
          <w:sz w:val="28"/>
          <w:szCs w:val="36"/>
          <w:lang w:val="en-US" w:eastAsia="zh-CN"/>
        </w:rPr>
        <w:t>：《景德镇市五年规划项目本地资料》——《2、核心工作情况（国家试验区建设）》文件夹内容</w:t>
      </w:r>
    </w:p>
    <w:p w14:paraId="1A873259">
      <w:pPr>
        <w:pStyle w:val="4"/>
        <w:numPr>
          <w:ilvl w:val="0"/>
          <w:numId w:val="5"/>
        </w:numPr>
        <w:ind w:left="0" w:leftChars="0" w:firstLine="0" w:firstLineChars="0"/>
        <w:outlineLvl w:val="3"/>
        <w:rPr>
          <w:rFonts w:hint="default"/>
          <w:lang w:val="en-US" w:eastAsia="zh-CN"/>
        </w:rPr>
      </w:pPr>
      <w:r>
        <w:rPr>
          <w:rFonts w:hint="default"/>
          <w:lang w:val="en-US" w:eastAsia="zh-CN"/>
        </w:rPr>
        <w:t>现代化产业体系加快成型</w:t>
      </w:r>
    </w:p>
    <w:p w14:paraId="1FF38102">
      <w:pPr>
        <w:numPr>
          <w:ilvl w:val="0"/>
          <w:numId w:val="0"/>
        </w:numPr>
        <w:rPr>
          <w:rFonts w:hint="default"/>
          <w:sz w:val="28"/>
          <w:szCs w:val="36"/>
          <w:lang w:val="en-US" w:eastAsia="zh-CN"/>
        </w:rPr>
      </w:pPr>
    </w:p>
    <w:p w14:paraId="49742B2F">
      <w:pPr>
        <w:pStyle w:val="4"/>
        <w:numPr>
          <w:ilvl w:val="0"/>
          <w:numId w:val="5"/>
        </w:numPr>
        <w:ind w:left="0" w:leftChars="0" w:firstLine="0" w:firstLineChars="0"/>
        <w:outlineLvl w:val="3"/>
        <w:rPr>
          <w:rFonts w:hint="default"/>
          <w:lang w:val="en-US" w:eastAsia="zh-CN"/>
        </w:rPr>
      </w:pPr>
      <w:r>
        <w:rPr>
          <w:rFonts w:hint="default"/>
          <w:lang w:val="en-US" w:eastAsia="zh-CN"/>
        </w:rPr>
        <w:t>创新驱动作用明显增强</w:t>
      </w:r>
    </w:p>
    <w:p w14:paraId="5264295F">
      <w:pPr>
        <w:numPr>
          <w:ilvl w:val="0"/>
          <w:numId w:val="0"/>
        </w:numPr>
        <w:rPr>
          <w:rFonts w:hint="default"/>
          <w:sz w:val="28"/>
          <w:szCs w:val="36"/>
          <w:lang w:val="en-US" w:eastAsia="zh-CN"/>
        </w:rPr>
      </w:pPr>
    </w:p>
    <w:p w14:paraId="3EA48B96">
      <w:pPr>
        <w:pStyle w:val="4"/>
        <w:numPr>
          <w:ilvl w:val="0"/>
          <w:numId w:val="5"/>
        </w:numPr>
        <w:ind w:left="0" w:leftChars="0" w:firstLine="0" w:firstLineChars="0"/>
        <w:outlineLvl w:val="3"/>
        <w:rPr>
          <w:rFonts w:hint="default"/>
          <w:lang w:val="en-US" w:eastAsia="zh-CN"/>
        </w:rPr>
      </w:pPr>
      <w:r>
        <w:rPr>
          <w:rFonts w:hint="default"/>
          <w:lang w:val="en-US" w:eastAsia="zh-CN"/>
        </w:rPr>
        <w:t>城乡发展格局更趋协调</w:t>
      </w:r>
    </w:p>
    <w:p w14:paraId="206A64F5">
      <w:pPr>
        <w:numPr>
          <w:ilvl w:val="0"/>
          <w:numId w:val="0"/>
        </w:numPr>
        <w:rPr>
          <w:rFonts w:hint="default"/>
          <w:sz w:val="28"/>
          <w:szCs w:val="36"/>
          <w:lang w:val="en-US" w:eastAsia="zh-CN"/>
        </w:rPr>
      </w:pPr>
    </w:p>
    <w:p w14:paraId="6AFCAA17">
      <w:pPr>
        <w:pStyle w:val="4"/>
        <w:numPr>
          <w:ilvl w:val="0"/>
          <w:numId w:val="5"/>
        </w:numPr>
        <w:ind w:left="0" w:leftChars="0" w:firstLine="0" w:firstLineChars="0"/>
        <w:outlineLvl w:val="3"/>
        <w:rPr>
          <w:rFonts w:hint="default"/>
          <w:lang w:val="en-US" w:eastAsia="zh-CN"/>
        </w:rPr>
      </w:pPr>
      <w:r>
        <w:rPr>
          <w:rFonts w:hint="default"/>
          <w:lang w:val="en-US" w:eastAsia="zh-CN"/>
        </w:rPr>
        <w:t>改革开放步伐迈深迈实</w:t>
      </w:r>
    </w:p>
    <w:p w14:paraId="3B7FDD0D">
      <w:pPr>
        <w:numPr>
          <w:ilvl w:val="0"/>
          <w:numId w:val="0"/>
        </w:numPr>
        <w:rPr>
          <w:rFonts w:hint="default"/>
          <w:sz w:val="28"/>
          <w:szCs w:val="36"/>
          <w:lang w:val="en-US" w:eastAsia="zh-CN"/>
        </w:rPr>
      </w:pPr>
    </w:p>
    <w:p w14:paraId="2443E4C2">
      <w:pPr>
        <w:pStyle w:val="4"/>
        <w:numPr>
          <w:ilvl w:val="0"/>
          <w:numId w:val="5"/>
        </w:numPr>
        <w:ind w:left="0" w:leftChars="0" w:firstLine="0" w:firstLineChars="0"/>
        <w:outlineLvl w:val="3"/>
        <w:rPr>
          <w:rFonts w:hint="default"/>
          <w:lang w:val="en-US" w:eastAsia="zh-CN"/>
        </w:rPr>
      </w:pPr>
      <w:r>
        <w:rPr>
          <w:rFonts w:hint="default"/>
          <w:lang w:val="en-US" w:eastAsia="zh-CN"/>
        </w:rPr>
        <w:t>生态文明建设持续深化</w:t>
      </w:r>
    </w:p>
    <w:p w14:paraId="5CA76C79">
      <w:pPr>
        <w:numPr>
          <w:ilvl w:val="0"/>
          <w:numId w:val="0"/>
        </w:numPr>
        <w:rPr>
          <w:rFonts w:hint="default"/>
          <w:sz w:val="28"/>
          <w:szCs w:val="36"/>
          <w:lang w:val="en-US" w:eastAsia="zh-CN"/>
        </w:rPr>
      </w:pPr>
    </w:p>
    <w:p w14:paraId="726B02C4">
      <w:pPr>
        <w:pStyle w:val="4"/>
        <w:numPr>
          <w:ilvl w:val="0"/>
          <w:numId w:val="5"/>
        </w:numPr>
        <w:ind w:left="0" w:leftChars="0" w:firstLine="0" w:firstLineChars="0"/>
        <w:outlineLvl w:val="3"/>
        <w:rPr>
          <w:rFonts w:hint="default"/>
          <w:lang w:val="en-US" w:eastAsia="zh-CN"/>
        </w:rPr>
      </w:pPr>
      <w:r>
        <w:rPr>
          <w:rFonts w:hint="default"/>
          <w:lang w:val="en-US" w:eastAsia="zh-CN"/>
        </w:rPr>
        <w:t>人民生活水平持续增进</w:t>
      </w:r>
    </w:p>
    <w:p w14:paraId="43006F0C">
      <w:pPr>
        <w:rPr>
          <w:rFonts w:hint="default"/>
          <w:sz w:val="28"/>
          <w:szCs w:val="36"/>
          <w:lang w:val="en-US" w:eastAsia="zh-CN"/>
        </w:rPr>
      </w:pPr>
    </w:p>
    <w:p w14:paraId="1C9CCD06">
      <w:pPr>
        <w:outlineLvl w:val="2"/>
        <w:rPr>
          <w:rFonts w:hint="eastAsia"/>
          <w:sz w:val="28"/>
          <w:szCs w:val="36"/>
          <w:lang w:val="en-US" w:eastAsia="zh-CN"/>
        </w:rPr>
      </w:pPr>
      <w:r>
        <w:rPr>
          <w:rFonts w:hint="eastAsia"/>
          <w:sz w:val="28"/>
          <w:szCs w:val="36"/>
          <w:lang w:val="en-US" w:eastAsia="zh-CN"/>
        </w:rPr>
        <w:t>第二步：背景分析</w:t>
      </w:r>
    </w:p>
    <w:p w14:paraId="024BE918">
      <w:pPr>
        <w:outlineLvl w:val="9"/>
        <w:rPr>
          <w:rFonts w:hint="eastAsia"/>
          <w:sz w:val="28"/>
          <w:szCs w:val="36"/>
          <w:lang w:val="en-US" w:eastAsia="zh-CN"/>
        </w:rPr>
      </w:pPr>
    </w:p>
    <w:p w14:paraId="3EF289ED">
      <w:pPr>
        <w:outlineLvl w:val="2"/>
        <w:rPr>
          <w:rFonts w:hint="eastAsia"/>
          <w:sz w:val="28"/>
          <w:szCs w:val="36"/>
          <w:lang w:val="en-US" w:eastAsia="zh-CN"/>
        </w:rPr>
      </w:pPr>
      <w:r>
        <w:rPr>
          <w:rFonts w:hint="eastAsia"/>
          <w:sz w:val="28"/>
          <w:szCs w:val="36"/>
          <w:lang w:val="en-US" w:eastAsia="zh-CN"/>
        </w:rPr>
        <w:t>第三步：总体定位与目标</w:t>
      </w:r>
    </w:p>
    <w:p w14:paraId="4A9CED01">
      <w:pPr>
        <w:outlineLvl w:val="9"/>
        <w:rPr>
          <w:rFonts w:hint="eastAsia"/>
          <w:sz w:val="28"/>
          <w:szCs w:val="36"/>
          <w:lang w:val="en-US" w:eastAsia="zh-CN"/>
        </w:rPr>
      </w:pPr>
    </w:p>
    <w:p w14:paraId="7E64EEE5">
      <w:pPr>
        <w:outlineLvl w:val="2"/>
        <w:rPr>
          <w:rFonts w:hint="eastAsia"/>
          <w:sz w:val="28"/>
          <w:szCs w:val="36"/>
          <w:lang w:val="en-US" w:eastAsia="zh-CN"/>
        </w:rPr>
      </w:pPr>
      <w:r>
        <w:rPr>
          <w:rFonts w:hint="eastAsia"/>
          <w:sz w:val="28"/>
          <w:szCs w:val="36"/>
          <w:lang w:val="en-US" w:eastAsia="zh-CN"/>
        </w:rPr>
        <w:t>第四步：主要任务和重大举措</w:t>
      </w:r>
    </w:p>
    <w:p w14:paraId="3FF6C1DB">
      <w:pPr>
        <w:outlineLvl w:val="9"/>
        <w:rPr>
          <w:rFonts w:hint="default"/>
          <w:sz w:val="28"/>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A686DA"/>
    <w:multiLevelType w:val="singleLevel"/>
    <w:tmpl w:val="A9A686DA"/>
    <w:lvl w:ilvl="0" w:tentative="0">
      <w:start w:val="1"/>
      <w:numFmt w:val="chineseCounting"/>
      <w:suff w:val="nothing"/>
      <w:lvlText w:val="（%1）"/>
      <w:lvlJc w:val="left"/>
      <w:rPr>
        <w:rFonts w:hint="eastAsia"/>
      </w:rPr>
    </w:lvl>
  </w:abstractNum>
  <w:abstractNum w:abstractNumId="1">
    <w:nsid w:val="28390E6B"/>
    <w:multiLevelType w:val="singleLevel"/>
    <w:tmpl w:val="28390E6B"/>
    <w:lvl w:ilvl="0" w:tentative="0">
      <w:start w:val="1"/>
      <w:numFmt w:val="chineseCounting"/>
      <w:suff w:val="nothing"/>
      <w:lvlText w:val="（%1）"/>
      <w:lvlJc w:val="left"/>
      <w:rPr>
        <w:rFonts w:hint="eastAsia"/>
      </w:rPr>
    </w:lvl>
  </w:abstractNum>
  <w:abstractNum w:abstractNumId="2">
    <w:nsid w:val="55BD2737"/>
    <w:multiLevelType w:val="singleLevel"/>
    <w:tmpl w:val="55BD2737"/>
    <w:lvl w:ilvl="0" w:tentative="0">
      <w:start w:val="1"/>
      <w:numFmt w:val="chineseCounting"/>
      <w:suff w:val="nothing"/>
      <w:lvlText w:val="（%1）"/>
      <w:lvlJc w:val="left"/>
      <w:rPr>
        <w:rFonts w:hint="eastAsia"/>
      </w:rPr>
    </w:lvl>
  </w:abstractNum>
  <w:abstractNum w:abstractNumId="3">
    <w:nsid w:val="6D5853E2"/>
    <w:multiLevelType w:val="singleLevel"/>
    <w:tmpl w:val="6D5853E2"/>
    <w:lvl w:ilvl="0" w:tentative="0">
      <w:start w:val="1"/>
      <w:numFmt w:val="chineseCounting"/>
      <w:suff w:val="nothing"/>
      <w:lvlText w:val="%1、"/>
      <w:lvlJc w:val="left"/>
      <w:rPr>
        <w:rFonts w:hint="eastAsia"/>
      </w:rPr>
    </w:lvl>
  </w:abstractNum>
  <w:abstractNum w:abstractNumId="4">
    <w:nsid w:val="7E86F2CE"/>
    <w:multiLevelType w:val="singleLevel"/>
    <w:tmpl w:val="7E86F2CE"/>
    <w:lvl w:ilvl="0" w:tentative="0">
      <w:start w:val="1"/>
      <w:numFmt w:val="decimal"/>
      <w:suff w:val="nothing"/>
      <w:lvlText w:val="%1、"/>
      <w:lvlJc w:val="left"/>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79773F"/>
    <w:rsid w:val="016350B2"/>
    <w:rsid w:val="0DD32254"/>
    <w:rsid w:val="11B167EB"/>
    <w:rsid w:val="1B905946"/>
    <w:rsid w:val="2C4D7B7D"/>
    <w:rsid w:val="372E4BEA"/>
    <w:rsid w:val="3CF2463C"/>
    <w:rsid w:val="4979773F"/>
    <w:rsid w:val="51A21442"/>
    <w:rsid w:val="6C7031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qFormat/>
    <w:uiPriority w:val="9"/>
    <w:pPr>
      <w:keepNext/>
      <w:keepLines/>
      <w:spacing w:before="260" w:after="260" w:line="416" w:lineRule="auto"/>
      <w:outlineLvl w:val="1"/>
    </w:pPr>
    <w:rPr>
      <w:rFonts w:ascii="Calibri Light" w:hAnsi="Calibri Light" w:eastAsia="黑体"/>
      <w:b/>
      <w:bCs/>
      <w:sz w:val="30"/>
      <w:szCs w:val="32"/>
    </w:rPr>
  </w:style>
  <w:style w:type="paragraph" w:styleId="4">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note text"/>
    <w:basedOn w:val="1"/>
    <w:unhideWhenUsed/>
    <w:qFormat/>
    <w:uiPriority w:val="99"/>
    <w:pPr>
      <w:snapToGrid w:val="0"/>
      <w:jc w:val="left"/>
    </w:pPr>
    <w:rPr>
      <w:sz w:val="18"/>
      <w:szCs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footnote reference"/>
    <w:unhideWhenUsed/>
    <w:qFormat/>
    <w:uiPriority w:val="99"/>
    <w:rPr>
      <w:vertAlign w:val="superscript"/>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1179</TotalTime>
  <ScaleCrop>false</ScaleCrop>
  <LinksUpToDate>false</LinksUpToDate>
  <CharactersWithSpaces>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2025-06-21T23:34:00Z</dcterms:created>
  <dc:creator>戴华平</dc:creator>
  <cp:lastModifiedBy>戴华平</cp:lastModifiedBy>
  <dcterms:modified xsi:type="dcterms:W3CDTF">2025-06-23T00:34:14Z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94836288B076468393F43A8ADCE915A1_13</vt:lpwstr>
  </property>
  <property fmtid="{D5CDD505-2E9C-101B-9397-08002B2CF9AE}" pid="4" name="KSOTemplateDocerSaveRecord">
    <vt:lpwstr>eyJoZGlkIjoiZTA4NzIyN2MxYTlmMzQ1NGE2MjU5NWRkMjhlOGMxYTAiLCJ1c2VySWQiOiIxNDQ1MDA5MzI1In0=</vt:lpwstr>
  </property>
</Properties>
</file>