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0F766E" w:val="clear"/>
            <w:tcMar>
              <w:top w:w="120" w:type="dxa"/>
              <w:start w:w="180" w:type="dxa"/>
              <w:bottom w:w="120" w:type="dxa"/>
              <w:end w:w="180" w:type="dxa"/>
            </w:tcMar>
          </w:tcPr>
          <w:p>
            <w:pPr>
              <w:jc w:val="center"/>
            </w:pPr>
            <w:r>
              <w:rPr>
                <w:rFonts w:ascii="Aptos" w:hAnsi="Aptos" w:eastAsia="Aptos"/>
                <w:b/>
                <w:color w:val="FFFFFF"/>
                <w:sz w:val="22"/>
              </w:rPr>
              <w:t>ANEXO A | PLAN DE DESARROLLO INSTITUCIONAL</w:t>
            </w:r>
          </w:p>
        </w:tc>
      </w:tr>
    </w:tbl>
    <w:p>
      <w:pPr>
        <w:spacing w:after="40"/>
        <w:jc w:val="center"/>
      </w:pPr>
      <w:r>
        <w:rPr>
          <w:rFonts w:ascii="Aptos Display" w:hAnsi="Aptos Display" w:eastAsia="Aptos Display"/>
          <w:b/>
          <w:color w:val="0F172A"/>
          <w:sz w:val="48"/>
        </w:rPr>
        <w:t>UPCH 2026–2031</w:t>
      </w:r>
    </w:p>
    <w:p>
      <w:pPr>
        <w:spacing w:after="200"/>
        <w:jc w:val="center"/>
      </w:pPr>
      <w:r>
        <w:t>Síntesis temática, mensajes clave y guía rápida de lectura del anexo integrado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6FFFB" w:val="clear"/>
            <w:tcMar>
              <w:top w:w="110" w:type="dxa"/>
              <w:start w:w="140" w:type="dxa"/>
              <w:bottom w:w="110" w:type="dxa"/>
              <w:end w:w="140" w:type="dxa"/>
            </w:tcMar>
            <w:vAlign w:val="center"/>
          </w:tcPr>
          <w:p>
            <w:r>
              <w:t>Este anexo presenta la visión general del proyecto institucional 2026–2031 y articula, en un solo cuerpo, la propuesta de gobierno universitario, la síntesis de los planes del VRI y del VRA, y la hoja de ruta para su implementación.</w:t>
            </w:r>
          </w:p>
        </w:tc>
      </w:tr>
    </w:tbl>
    <w:p>
      <w:pPr>
        <w:spacing w:before="160" w:after="80"/>
      </w:pPr>
      <w:r>
        <w:rPr>
          <w:rFonts w:ascii="Aptos" w:hAnsi="Aptos" w:eastAsia="Aptos"/>
          <w:b/>
          <w:color w:val="0F172A"/>
          <w:sz w:val="28"/>
        </w:rPr>
        <w:t>Mensajes esenciales del anexo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4752"/>
            <w:shd w:fill="F8FAFC" w:val="clear"/>
            <w:tcMar>
              <w:top w:w="90" w:type="dxa"/>
              <w:start w:w="120" w:type="dxa"/>
              <w:bottom w:w="90" w:type="dxa"/>
              <w:end w:w="120" w:type="dxa"/>
            </w:tcMar>
            <w:vAlign w:val="center"/>
          </w:tcPr>
          <w:p>
            <w:pPr>
              <w:spacing w:after="20"/>
            </w:pPr>
            <w:r>
              <w:rPr>
                <w:rFonts w:ascii="Aptos" w:hAnsi="Aptos" w:eastAsia="Aptos"/>
                <w:b/>
                <w:color w:val="0F766E"/>
                <w:sz w:val="21"/>
              </w:rPr>
              <w:t>1. Gobierno con reglas claras</w:t>
            </w:r>
          </w:p>
          <w:p>
            <w:pPr>
              <w:spacing w:after="0" w:before="0"/>
            </w:pPr>
            <w:r>
              <w:rPr>
                <w:rFonts w:ascii="Aptos" w:hAnsi="Aptos" w:eastAsia="Aptos"/>
                <w:b w:val="0"/>
                <w:color w:val="334155"/>
                <w:sz w:val="19"/>
              </w:rPr>
              <w:t>Se propone una universidad con mayor transparencia, representación real, auditoría integral y límites explícitos a la discrecionalidad del alto gobierno.</w:t>
            </w:r>
          </w:p>
        </w:tc>
        <w:tc>
          <w:tcPr>
            <w:tcW w:type="dxa" w:w="4752"/>
            <w:shd w:fill="F1F5F9" w:val="clear"/>
            <w:tcMar>
              <w:top w:w="90" w:type="dxa"/>
              <w:start w:w="120" w:type="dxa"/>
              <w:bottom w:w="90" w:type="dxa"/>
              <w:end w:w="120" w:type="dxa"/>
            </w:tcMar>
            <w:vAlign w:val="center"/>
          </w:tcPr>
          <w:p>
            <w:pPr>
              <w:spacing w:after="20"/>
            </w:pPr>
            <w:r>
              <w:rPr>
                <w:rFonts w:ascii="Aptos" w:hAnsi="Aptos" w:eastAsia="Aptos"/>
                <w:b/>
                <w:color w:val="0F766E"/>
                <w:sz w:val="21"/>
              </w:rPr>
              <w:t>2. Facultades con mayor protagonismo</w:t>
            </w:r>
          </w:p>
          <w:p>
            <w:pPr>
              <w:spacing w:after="0" w:before="0"/>
            </w:pPr>
            <w:r>
              <w:rPr>
                <w:rFonts w:ascii="Aptos" w:hAnsi="Aptos" w:eastAsia="Aptos"/>
                <w:b w:val="0"/>
                <w:color w:val="334155"/>
                <w:sz w:val="19"/>
              </w:rPr>
              <w:t>La conducción estratégica seguirá siendo universitaria, pero las facultades recuperarán capacidad de decisión académica y de crecimiento orgánico dentro de una lógica institucional integrada.</w:t>
            </w:r>
          </w:p>
        </w:tc>
      </w:tr>
      <w:tr>
        <w:tc>
          <w:tcPr>
            <w:tcW w:type="dxa" w:w="4752"/>
            <w:shd w:fill="F8FAFC" w:val="clear"/>
            <w:tcMar>
              <w:top w:w="90" w:type="dxa"/>
              <w:start w:w="120" w:type="dxa"/>
              <w:bottom w:w="90" w:type="dxa"/>
              <w:end w:w="120" w:type="dxa"/>
            </w:tcMar>
            <w:vAlign w:val="center"/>
          </w:tcPr>
          <w:p>
            <w:pPr>
              <w:spacing w:after="20"/>
            </w:pPr>
            <w:r>
              <w:rPr>
                <w:rFonts w:ascii="Aptos" w:hAnsi="Aptos" w:eastAsia="Aptos"/>
                <w:b/>
                <w:color w:val="0F766E"/>
                <w:sz w:val="21"/>
              </w:rPr>
              <w:t>3. Excelencia académica con soporte</w:t>
            </w:r>
          </w:p>
          <w:p>
            <w:pPr>
              <w:spacing w:after="0" w:before="0"/>
            </w:pPr>
            <w:r>
              <w:rPr>
                <w:rFonts w:ascii="Aptos" w:hAnsi="Aptos" w:eastAsia="Aptos"/>
                <w:b w:val="0"/>
                <w:color w:val="334155"/>
                <w:sz w:val="19"/>
              </w:rPr>
              <w:t>El plan plantea elevar el nivel académico, fortalecer la docencia, mejorar la experiencia estudiantil y ordenar la trayectoria formativa sin sacrificar calidad.</w:t>
            </w:r>
          </w:p>
        </w:tc>
        <w:tc>
          <w:tcPr>
            <w:tcW w:type="dxa" w:w="4752"/>
            <w:shd w:fill="F1F5F9" w:val="clear"/>
            <w:tcMar>
              <w:top w:w="90" w:type="dxa"/>
              <w:start w:w="120" w:type="dxa"/>
              <w:bottom w:w="90" w:type="dxa"/>
              <w:end w:w="120" w:type="dxa"/>
            </w:tcMar>
            <w:vAlign w:val="center"/>
          </w:tcPr>
          <w:p>
            <w:r>
              <w:t>4. Ejecución con gobierno y prioridades</w:t>
              <w:br/>
              <w:t>La transformación se ordena con reglas claras, responsables definidos, fases de implementación y coordinación entre facultades, Rectorado, VRI y VRA.</w:t>
            </w:r>
          </w:p>
        </w:tc>
      </w:tr>
      <w:tr>
        <w:tc>
          <w:tcPr>
            <w:tcW w:type="dxa" w:w="4752"/>
            <w:shd w:fill="F8FAFC" w:val="clear"/>
            <w:tcMar>
              <w:top w:w="90" w:type="dxa"/>
              <w:start w:w="120" w:type="dxa"/>
              <w:bottom w:w="90" w:type="dxa"/>
              <w:end w:w="120" w:type="dxa"/>
            </w:tcMar>
            <w:vAlign w:val="center"/>
          </w:tcPr>
          <w:p>
            <w:pPr>
              <w:spacing w:after="20"/>
            </w:pPr>
            <w:r>
              <w:rPr>
                <w:rFonts w:ascii="Aptos" w:hAnsi="Aptos" w:eastAsia="Aptos"/>
                <w:b/>
                <w:color w:val="0F766E"/>
                <w:sz w:val="21"/>
              </w:rPr>
              <w:t>5. Investigación e innovación como sello</w:t>
            </w:r>
          </w:p>
          <w:p>
            <w:pPr>
              <w:spacing w:after="0" w:before="0"/>
            </w:pPr>
            <w:r>
              <w:rPr>
                <w:rFonts w:ascii="Aptos" w:hAnsi="Aptos" w:eastAsia="Aptos"/>
                <w:b w:val="0"/>
                <w:color w:val="334155"/>
                <w:sz w:val="19"/>
              </w:rPr>
              <w:t>La universidad consolida su identidad científica, pero ampliando su base de participación, mejorando el soporte a proyectos e integrando mejor investigación, docencia y transferencia.</w:t>
            </w:r>
          </w:p>
        </w:tc>
        <w:tc>
          <w:tcPr>
            <w:tcW w:type="dxa" w:w="4752"/>
            <w:shd w:fill="F1F5F9" w:val="clear"/>
            <w:tcMar>
              <w:top w:w="90" w:type="dxa"/>
              <w:start w:w="120" w:type="dxa"/>
              <w:bottom w:w="90" w:type="dxa"/>
              <w:end w:w="120" w:type="dxa"/>
            </w:tcMar>
            <w:vAlign w:val="center"/>
          </w:tcPr>
          <w:p>
            <w:pPr>
              <w:spacing w:after="20"/>
            </w:pPr>
            <w:r>
              <w:rPr>
                <w:rFonts w:ascii="Aptos" w:hAnsi="Aptos" w:eastAsia="Aptos"/>
                <w:b/>
                <w:color w:val="0F766E"/>
                <w:sz w:val="21"/>
              </w:rPr>
              <w:t>6. Implementación con secuencia y control</w:t>
            </w:r>
          </w:p>
          <w:p>
            <w:pPr>
              <w:spacing w:after="0" w:before="0"/>
            </w:pPr>
            <w:r>
              <w:rPr>
                <w:rFonts w:ascii="Aptos" w:hAnsi="Aptos" w:eastAsia="Aptos"/>
                <w:b w:val="0"/>
                <w:color w:val="334155"/>
                <w:sz w:val="19"/>
              </w:rPr>
              <w:t>No se trata solo de enunciar objetivos: el documento incluye una ruta a cuatro años con auditoría, prioridades, seguimiento, responsables e hitos de ejecución.</w:t>
            </w:r>
          </w:p>
        </w:tc>
      </w:tr>
    </w:tbl>
    <w:p>
      <w:pPr>
        <w:spacing w:before="0" w:after="0"/>
      </w:pPr>
      <w:r>
        <w:t>Este anexo reúne la visión institucional, el diagnóstico y la propuesta de gestión general, e incorpora una síntesis articuladora del Vicerrectorado Académico y del Vicerrectorado de Investigación, así como la hoja de ruta de implementación que permitirá convertir el proyecto institucional en resultados verificables.</w:t>
      </w:r>
    </w:p>
    <w:p>
      <w:r>
        <w:br w:type="page"/>
      </w:r>
    </w:p>
    <w:p>
      <w:pPr>
        <w:spacing w:after="40"/>
        <w:jc w:val="center"/>
      </w:pPr>
      <w:r>
        <w:t>Guía rápida del anexo integrado</w:t>
      </w:r>
    </w:p>
    <w:p>
      <w:pPr>
        <w:spacing w:after="160"/>
        <w:jc w:val="center"/>
      </w:pPr>
      <w:r>
        <w:t>Bloques, temas principales y navegación sugerida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shd w:fill="0F766E" w:val="clear"/>
            <w:tcMar>
              <w:top w:w="80" w:type="dxa"/>
              <w:start w:w="90" w:type="dxa"/>
              <w:bottom w:w="80" w:type="dxa"/>
              <w:end w:w="90" w:type="dxa"/>
            </w:tcMar>
          </w:tcPr>
          <w:p>
            <w:pPr>
              <w:jc w:val="center"/>
            </w:pPr>
            <w:r>
              <w:rPr>
                <w:rFonts w:ascii="Aptos" w:hAnsi="Aptos" w:eastAsia="Aptos"/>
                <w:b/>
                <w:color w:val="FFFFFF"/>
                <w:sz w:val="19"/>
              </w:rPr>
              <w:t>Bloque</w:t>
            </w:r>
          </w:p>
        </w:tc>
        <w:tc>
          <w:tcPr>
            <w:tcW w:type="dxa" w:w="2520"/>
            <w:shd w:fill="0F766E" w:val="clear"/>
            <w:tcMar>
              <w:top w:w="80" w:type="dxa"/>
              <w:start w:w="90" w:type="dxa"/>
              <w:bottom w:w="80" w:type="dxa"/>
              <w:end w:w="90" w:type="dxa"/>
            </w:tcMar>
          </w:tcPr>
          <w:p>
            <w:pPr>
              <w:jc w:val="center"/>
            </w:pPr>
            <w:r>
              <w:rPr>
                <w:rFonts w:ascii="Aptos" w:hAnsi="Aptos" w:eastAsia="Aptos"/>
                <w:b/>
                <w:color w:val="FFFFFF"/>
                <w:sz w:val="19"/>
              </w:rPr>
              <w:t>Qué desarrolla</w:t>
            </w:r>
          </w:p>
        </w:tc>
        <w:tc>
          <w:tcPr>
            <w:tcW w:type="dxa" w:w="4608"/>
            <w:shd w:fill="0F766E" w:val="clear"/>
            <w:tcMar>
              <w:top w:w="80" w:type="dxa"/>
              <w:start w:w="90" w:type="dxa"/>
              <w:bottom w:w="80" w:type="dxa"/>
              <w:end w:w="90" w:type="dxa"/>
            </w:tcMar>
          </w:tcPr>
          <w:p>
            <w:pPr>
              <w:jc w:val="center"/>
            </w:pPr>
            <w:r>
              <w:rPr>
                <w:rFonts w:ascii="Aptos" w:hAnsi="Aptos" w:eastAsia="Aptos"/>
                <w:b/>
                <w:color w:val="FFFFFF"/>
                <w:sz w:val="19"/>
              </w:rPr>
              <w:t>Sub-secciones clave</w:t>
            </w:r>
          </w:p>
        </w:tc>
        <w:tc>
          <w:tcPr>
            <w:tcW w:type="dxa" w:w="1008"/>
            <w:shd w:fill="0F766E" w:val="clear"/>
            <w:tcMar>
              <w:top w:w="80" w:type="dxa"/>
              <w:start w:w="90" w:type="dxa"/>
              <w:bottom w:w="80" w:type="dxa"/>
              <w:end w:w="90" w:type="dxa"/>
            </w:tcMar>
          </w:tcPr>
          <w:p>
            <w:pPr>
              <w:jc w:val="center"/>
            </w:pPr>
            <w:r>
              <w:rPr>
                <w:rFonts w:ascii="Aptos" w:hAnsi="Aptos" w:eastAsia="Aptos"/>
                <w:b/>
                <w:color w:val="FFFFFF"/>
                <w:sz w:val="19"/>
              </w:rPr>
              <w:t>Págs.</w:t>
            </w:r>
          </w:p>
        </w:tc>
      </w:tr>
      <w:tr>
        <w:tc>
          <w:tcPr>
            <w:tcW w:type="dxa" w:w="1656"/>
            <w:shd w:fill="F8FAFC" w:val="clear"/>
            <w:tcMar>
              <w:top w:w="75" w:type="dxa"/>
              <w:start w:w="90" w:type="dxa"/>
              <w:bottom w:w="75" w:type="dxa"/>
              <w:end w:w="90" w:type="dxa"/>
            </w:tcMar>
            <w:vAlign w:val="center"/>
          </w:tcPr>
          <w:p>
            <w:pPr>
              <w:spacing w:after="0"/>
              <w:jc w:val="center"/>
            </w:pPr>
            <w:r>
              <w:rPr>
                <w:rFonts w:ascii="Aptos" w:hAnsi="Aptos" w:eastAsia="Aptos"/>
                <w:b/>
                <w:color w:val="0F766E"/>
                <w:sz w:val="18"/>
              </w:rPr>
              <w:t>Sub-anexo A1</w:t>
            </w:r>
          </w:p>
        </w:tc>
        <w:tc>
          <w:tcPr>
            <w:tcW w:type="dxa" w:w="2520"/>
            <w:shd w:fill="F8FAFC" w:val="clear"/>
            <w:tcMar>
              <w:top w:w="75" w:type="dxa"/>
              <w:start w:w="90" w:type="dxa"/>
              <w:bottom w:w="75" w:type="dxa"/>
              <w:end w:w="90" w:type="dxa"/>
            </w:tcMar>
            <w:vAlign w:val="center"/>
          </w:tcPr>
          <w:p>
            <w:pPr>
              <w:spacing w:after="0"/>
              <w:jc w:val="left"/>
            </w:pPr>
            <w:r>
              <w:rPr>
                <w:rFonts w:ascii="Aptos" w:hAnsi="Aptos" w:eastAsia="Aptos"/>
                <w:color w:val="334155"/>
                <w:sz w:val="18"/>
              </w:rPr>
              <w:t>Visión institucional y marco rector</w:t>
            </w:r>
          </w:p>
        </w:tc>
        <w:tc>
          <w:tcPr>
            <w:tcW w:type="dxa" w:w="4608"/>
            <w:shd w:fill="F8FAFC" w:val="clear"/>
            <w:tcMar>
              <w:top w:w="75" w:type="dxa"/>
              <w:start w:w="90" w:type="dxa"/>
              <w:bottom w:w="75" w:type="dxa"/>
              <w:end w:w="90" w:type="dxa"/>
            </w:tcMar>
            <w:vAlign w:val="center"/>
          </w:tcPr>
          <w:p>
            <w:pPr>
              <w:spacing w:after="0"/>
              <w:jc w:val="left"/>
            </w:pPr>
            <w:r>
              <w:rPr>
                <w:rFonts w:ascii="Aptos" w:hAnsi="Aptos" w:eastAsia="Aptos"/>
                <w:color w:val="334155"/>
                <w:sz w:val="17"/>
              </w:rPr>
              <w:t>A1.1 Contexto y visión del rectorado (p.4)</w:t>
              <w:br/>
              <w:t>A1.2 Rol de la universidad en el siglo XXI (p.4)</w:t>
              <w:br/>
              <w:t>A1.3 Principios de gestión y valores (pp.4–5)</w:t>
            </w:r>
          </w:p>
        </w:tc>
        <w:tc>
          <w:tcPr>
            <w:tcW w:type="dxa" w:w="1008"/>
            <w:shd w:fill="F8FAFC" w:val="clear"/>
            <w:tcMar>
              <w:top w:w="75" w:type="dxa"/>
              <w:start w:w="90" w:type="dxa"/>
              <w:bottom w:w="75" w:type="dxa"/>
              <w:end w:w="90" w:type="dxa"/>
            </w:tcMar>
            <w:vAlign w:val="center"/>
          </w:tcPr>
          <w:p>
            <w:pPr>
              <w:spacing w:after="0"/>
              <w:jc w:val="center"/>
            </w:pPr>
            <w:r>
              <w:rPr>
                <w:rFonts w:ascii="Aptos" w:hAnsi="Aptos" w:eastAsia="Aptos"/>
                <w:color w:val="334155"/>
                <w:sz w:val="18"/>
              </w:rPr>
              <w:t>4–5</w:t>
            </w:r>
          </w:p>
        </w:tc>
      </w:tr>
      <w:tr>
        <w:tc>
          <w:tcPr>
            <w:tcW w:type="dxa" w:w="1656"/>
            <w:shd w:fill="EEF6F5" w:val="clear"/>
            <w:tcMar>
              <w:top w:w="75" w:type="dxa"/>
              <w:start w:w="90" w:type="dxa"/>
              <w:bottom w:w="75" w:type="dxa"/>
              <w:end w:w="90" w:type="dxa"/>
            </w:tcMar>
            <w:vAlign w:val="center"/>
          </w:tcPr>
          <w:p>
            <w:pPr>
              <w:spacing w:after="0"/>
              <w:jc w:val="center"/>
            </w:pPr>
            <w:r>
              <w:rPr>
                <w:rFonts w:ascii="Aptos" w:hAnsi="Aptos" w:eastAsia="Aptos"/>
                <w:b/>
                <w:color w:val="0F766E"/>
                <w:sz w:val="18"/>
              </w:rPr>
              <w:t>Sub-anexo A2</w:t>
            </w:r>
          </w:p>
        </w:tc>
        <w:tc>
          <w:tcPr>
            <w:tcW w:type="dxa" w:w="2520"/>
            <w:shd w:fill="EEF6F5" w:val="clear"/>
            <w:tcMar>
              <w:top w:w="75" w:type="dxa"/>
              <w:start w:w="90" w:type="dxa"/>
              <w:bottom w:w="75" w:type="dxa"/>
              <w:end w:w="90" w:type="dxa"/>
            </w:tcMar>
            <w:vAlign w:val="center"/>
          </w:tcPr>
          <w:p>
            <w:pPr>
              <w:spacing w:after="0"/>
              <w:jc w:val="left"/>
            </w:pPr>
            <w:r>
              <w:rPr>
                <w:rFonts w:ascii="Aptos" w:hAnsi="Aptos" w:eastAsia="Aptos"/>
                <w:color w:val="334155"/>
                <w:sz w:val="18"/>
              </w:rPr>
              <w:t>Diagnóstico institucional</w:t>
            </w:r>
          </w:p>
        </w:tc>
        <w:tc>
          <w:tcPr>
            <w:tcW w:type="dxa" w:w="4608"/>
            <w:shd w:fill="EEF6F5" w:val="clear"/>
            <w:tcMar>
              <w:top w:w="75" w:type="dxa"/>
              <w:start w:w="90" w:type="dxa"/>
              <w:bottom w:w="75" w:type="dxa"/>
              <w:end w:w="90" w:type="dxa"/>
            </w:tcMar>
            <w:vAlign w:val="center"/>
          </w:tcPr>
          <w:p>
            <w:pPr>
              <w:spacing w:after="0"/>
              <w:jc w:val="left"/>
            </w:pPr>
            <w:r>
              <w:rPr>
                <w:rFonts w:ascii="Aptos" w:hAnsi="Aptos" w:eastAsia="Aptos"/>
                <w:color w:val="334155"/>
                <w:sz w:val="17"/>
              </w:rPr>
              <w:t>A2.1 Situación académica (p.5)</w:t>
              <w:br/>
              <w:t>A2.2 Situación financiera (p.6)</w:t>
              <w:br/>
              <w:t>A2.3 Posicionamiento, investigación y vinculación (pp.6–7)</w:t>
            </w:r>
          </w:p>
        </w:tc>
        <w:tc>
          <w:tcPr>
            <w:tcW w:type="dxa" w:w="1008"/>
            <w:shd w:fill="EEF6F5" w:val="clear"/>
            <w:tcMar>
              <w:top w:w="75" w:type="dxa"/>
              <w:start w:w="90" w:type="dxa"/>
              <w:bottom w:w="75" w:type="dxa"/>
              <w:end w:w="90" w:type="dxa"/>
            </w:tcMar>
            <w:vAlign w:val="center"/>
          </w:tcPr>
          <w:p>
            <w:pPr>
              <w:spacing w:after="0"/>
              <w:jc w:val="center"/>
            </w:pPr>
            <w:r>
              <w:rPr>
                <w:rFonts w:ascii="Aptos" w:hAnsi="Aptos" w:eastAsia="Aptos"/>
                <w:color w:val="334155"/>
                <w:sz w:val="18"/>
              </w:rPr>
              <w:t>5–7</w:t>
            </w:r>
          </w:p>
        </w:tc>
      </w:tr>
      <w:tr>
        <w:tc>
          <w:tcPr>
            <w:tcW w:type="dxa" w:w="1656"/>
            <w:shd w:fill="F8FAFC" w:val="clear"/>
            <w:tcMar>
              <w:top w:w="75" w:type="dxa"/>
              <w:start w:w="90" w:type="dxa"/>
              <w:bottom w:w="75" w:type="dxa"/>
              <w:end w:w="90" w:type="dxa"/>
            </w:tcMar>
            <w:vAlign w:val="center"/>
          </w:tcPr>
          <w:p>
            <w:pPr>
              <w:spacing w:after="0"/>
              <w:jc w:val="center"/>
            </w:pPr>
            <w:r>
              <w:rPr>
                <w:rFonts w:ascii="Aptos" w:hAnsi="Aptos" w:eastAsia="Aptos"/>
                <w:b/>
                <w:color w:val="0F766E"/>
                <w:sz w:val="18"/>
              </w:rPr>
              <w:t>Sub-anexo A3</w:t>
            </w:r>
          </w:p>
        </w:tc>
        <w:tc>
          <w:tcPr>
            <w:tcW w:type="dxa" w:w="2520"/>
            <w:shd w:fill="F8FAFC" w:val="clear"/>
            <w:tcMar>
              <w:top w:w="75" w:type="dxa"/>
              <w:start w:w="90" w:type="dxa"/>
              <w:bottom w:w="75" w:type="dxa"/>
              <w:end w:w="90" w:type="dxa"/>
            </w:tcMar>
            <w:vAlign w:val="center"/>
          </w:tcPr>
          <w:p>
            <w:pPr>
              <w:spacing w:after="0"/>
              <w:jc w:val="left"/>
            </w:pPr>
            <w:r>
              <w:rPr>
                <w:rFonts w:ascii="Aptos" w:hAnsi="Aptos" w:eastAsia="Aptos"/>
                <w:color w:val="334155"/>
                <w:sz w:val="18"/>
              </w:rPr>
              <w:t>Propuesta de gestión universitaria</w:t>
            </w:r>
          </w:p>
        </w:tc>
        <w:tc>
          <w:tcPr>
            <w:tcW w:type="dxa" w:w="4608"/>
            <w:shd w:fill="F8FAFC" w:val="clear"/>
            <w:tcMar>
              <w:top w:w="75" w:type="dxa"/>
              <w:start w:w="90" w:type="dxa"/>
              <w:bottom w:w="75" w:type="dxa"/>
              <w:end w:w="90" w:type="dxa"/>
            </w:tcMar>
            <w:vAlign w:val="center"/>
          </w:tcPr>
          <w:p>
            <w:pPr>
              <w:spacing w:after="0"/>
              <w:jc w:val="left"/>
            </w:pPr>
            <w:r>
              <w:rPr>
                <w:rFonts w:ascii="Aptos" w:hAnsi="Aptos" w:eastAsia="Aptos"/>
                <w:color w:val="334155"/>
                <w:sz w:val="17"/>
              </w:rPr>
              <w:t>A3.1 Gobernanza (p.7)</w:t>
              <w:br/>
              <w:t>A3.2 Excelencia académica y nivel estudiantil (pp.7–8)</w:t>
              <w:br/>
              <w:t>A3.3 Sostenibilidad, investigación, RSU e internacionalización (pp.8–9)</w:t>
            </w:r>
          </w:p>
        </w:tc>
        <w:tc>
          <w:tcPr>
            <w:tcW w:type="dxa" w:w="1008"/>
            <w:shd w:fill="F8FAFC" w:val="clear"/>
            <w:tcMar>
              <w:top w:w="75" w:type="dxa"/>
              <w:start w:w="90" w:type="dxa"/>
              <w:bottom w:w="75" w:type="dxa"/>
              <w:end w:w="90" w:type="dxa"/>
            </w:tcMar>
            <w:vAlign w:val="center"/>
          </w:tcPr>
          <w:p>
            <w:pPr>
              <w:spacing w:after="0"/>
              <w:jc w:val="center"/>
            </w:pPr>
            <w:r>
              <w:rPr>
                <w:rFonts w:ascii="Aptos" w:hAnsi="Aptos" w:eastAsia="Aptos"/>
                <w:color w:val="334155"/>
                <w:sz w:val="18"/>
              </w:rPr>
              <w:t>7–9</w:t>
            </w:r>
          </w:p>
        </w:tc>
      </w:tr>
      <w:tr>
        <w:tc>
          <w:tcPr>
            <w:tcW w:type="dxa" w:w="1656"/>
            <w:shd w:fill="EEF6F5" w:val="clear"/>
            <w:tcMar>
              <w:top w:w="75" w:type="dxa"/>
              <w:start w:w="90" w:type="dxa"/>
              <w:bottom w:w="75" w:type="dxa"/>
              <w:end w:w="90" w:type="dxa"/>
            </w:tcMar>
            <w:vAlign w:val="center"/>
          </w:tcPr>
          <w:p>
            <w:pPr>
              <w:spacing w:after="0"/>
              <w:jc w:val="center"/>
            </w:pPr>
            <w:r>
              <w:rPr>
                <w:rFonts w:ascii="Aptos" w:hAnsi="Aptos" w:eastAsia="Aptos"/>
                <w:b/>
                <w:color w:val="0F766E"/>
                <w:sz w:val="18"/>
              </w:rPr>
              <w:t>Sub-anexo A4</w:t>
            </w:r>
          </w:p>
        </w:tc>
        <w:tc>
          <w:tcPr>
            <w:tcW w:type="dxa" w:w="2520"/>
            <w:shd w:fill="EEF6F5" w:val="clear"/>
            <w:tcMar>
              <w:top w:w="75" w:type="dxa"/>
              <w:start w:w="90" w:type="dxa"/>
              <w:bottom w:w="75" w:type="dxa"/>
              <w:end w:w="90" w:type="dxa"/>
            </w:tcMar>
            <w:vAlign w:val="center"/>
          </w:tcPr>
          <w:p>
            <w:pPr>
              <w:spacing w:after="0"/>
              <w:jc w:val="left"/>
            </w:pPr>
            <w:r>
              <w:rPr>
                <w:rFonts w:ascii="Aptos" w:hAnsi="Aptos" w:eastAsia="Aptos"/>
                <w:color w:val="334155"/>
                <w:sz w:val="18"/>
              </w:rPr>
              <w:t>Buen gobierno, transparencia y sostenibilidad financiera</w:t>
            </w:r>
          </w:p>
        </w:tc>
        <w:tc>
          <w:tcPr>
            <w:tcW w:type="dxa" w:w="4608"/>
            <w:shd w:fill="EEF6F5" w:val="clear"/>
            <w:tcMar>
              <w:top w:w="75" w:type="dxa"/>
              <w:start w:w="90" w:type="dxa"/>
              <w:bottom w:w="75" w:type="dxa"/>
              <w:end w:w="90" w:type="dxa"/>
            </w:tcMar>
            <w:vAlign w:val="center"/>
          </w:tcPr>
          <w:p>
            <w:pPr>
              <w:spacing w:after="0"/>
              <w:jc w:val="left"/>
            </w:pPr>
            <w:r>
              <w:rPr>
                <w:rFonts w:ascii="Aptos" w:hAnsi="Aptos" w:eastAsia="Aptos"/>
                <w:color w:val="334155"/>
                <w:sz w:val="17"/>
              </w:rPr>
              <w:t>A4.1 Transparencia y remuneraciones (pp.9–10)</w:t>
              <w:br/>
              <w:t>A4.2 Representación y auditoría (pp.10–11)</w:t>
              <w:br/>
              <w:t>A4.3 Finanzas, automatización y trabajo administrativo (pp.11–13)</w:t>
            </w:r>
          </w:p>
        </w:tc>
        <w:tc>
          <w:tcPr>
            <w:tcW w:type="dxa" w:w="1008"/>
            <w:shd w:fill="EEF6F5" w:val="clear"/>
            <w:tcMar>
              <w:top w:w="75" w:type="dxa"/>
              <w:start w:w="90" w:type="dxa"/>
              <w:bottom w:w="75" w:type="dxa"/>
              <w:end w:w="90" w:type="dxa"/>
            </w:tcMar>
            <w:vAlign w:val="center"/>
          </w:tcPr>
          <w:p>
            <w:pPr>
              <w:spacing w:after="0"/>
              <w:jc w:val="center"/>
            </w:pPr>
            <w:r>
              <w:rPr>
                <w:rFonts w:ascii="Aptos" w:hAnsi="Aptos" w:eastAsia="Aptos"/>
                <w:color w:val="334155"/>
                <w:sz w:val="18"/>
              </w:rPr>
              <w:t>9–13</w:t>
            </w:r>
          </w:p>
        </w:tc>
      </w:tr>
      <w:tr>
        <w:tc>
          <w:tcPr>
            <w:tcW w:type="dxa" w:w="1656"/>
            <w:shd w:fill="F8FAFC" w:val="clear"/>
            <w:tcMar>
              <w:top w:w="75" w:type="dxa"/>
              <w:start w:w="90" w:type="dxa"/>
              <w:bottom w:w="75" w:type="dxa"/>
              <w:end w:w="90" w:type="dxa"/>
            </w:tcMar>
            <w:vAlign w:val="center"/>
          </w:tcPr>
          <w:p>
            <w:pPr>
              <w:spacing w:after="0"/>
              <w:jc w:val="center"/>
            </w:pPr>
            <w:r>
              <w:rPr>
                <w:rFonts w:ascii="Aptos" w:hAnsi="Aptos" w:eastAsia="Aptos"/>
                <w:b/>
                <w:color w:val="0F766E"/>
                <w:sz w:val="18"/>
              </w:rPr>
              <w:t>Sub-anexo A5</w:t>
            </w:r>
          </w:p>
        </w:tc>
        <w:tc>
          <w:tcPr>
            <w:tcW w:type="dxa" w:w="2520"/>
            <w:shd w:fill="F8FAFC" w:val="clear"/>
            <w:tcMar>
              <w:top w:w="75" w:type="dxa"/>
              <w:start w:w="90" w:type="dxa"/>
              <w:bottom w:w="75" w:type="dxa"/>
              <w:end w:w="90" w:type="dxa"/>
            </w:tcMar>
            <w:vAlign w:val="center"/>
          </w:tcPr>
          <w:p>
            <w:pPr>
              <w:spacing w:after="0"/>
              <w:jc w:val="left"/>
            </w:pPr>
            <w:r>
              <w:rPr>
                <w:rFonts w:ascii="Aptos" w:hAnsi="Aptos" w:eastAsia="Aptos"/>
                <w:color w:val="334155"/>
                <w:sz w:val="18"/>
              </w:rPr>
              <w:t>Ruta de implementación y cronograma</w:t>
            </w:r>
          </w:p>
        </w:tc>
        <w:tc>
          <w:tcPr>
            <w:tcW w:type="dxa" w:w="4608"/>
            <w:shd w:fill="F8FAFC" w:val="clear"/>
            <w:tcMar>
              <w:top w:w="75" w:type="dxa"/>
              <w:start w:w="90" w:type="dxa"/>
              <w:bottom w:w="75" w:type="dxa"/>
              <w:end w:w="90" w:type="dxa"/>
            </w:tcMar>
            <w:vAlign w:val="center"/>
          </w:tcPr>
          <w:p>
            <w:pPr>
              <w:spacing w:after="0"/>
              <w:jc w:val="left"/>
            </w:pPr>
            <w:r>
              <w:rPr>
                <w:rFonts w:ascii="Aptos" w:hAnsi="Aptos" w:eastAsia="Aptos"/>
                <w:color w:val="334155"/>
                <w:sz w:val="17"/>
              </w:rPr>
              <w:t>A5.1 Primeros 100 días (pp.13–14)</w:t>
              <w:br/>
              <w:t>A5.2 Año 1 y año 2 (pp.14–15)</w:t>
              <w:br/>
              <w:t>A5.3 Años 3–4 y plan de implementación general (pp.16–18)</w:t>
            </w:r>
          </w:p>
        </w:tc>
        <w:tc>
          <w:tcPr>
            <w:tcW w:type="dxa" w:w="1008"/>
            <w:shd w:fill="F8FAFC" w:val="clear"/>
            <w:tcMar>
              <w:top w:w="75" w:type="dxa"/>
              <w:start w:w="90" w:type="dxa"/>
              <w:bottom w:w="75" w:type="dxa"/>
              <w:end w:w="90" w:type="dxa"/>
            </w:tcMar>
            <w:vAlign w:val="center"/>
          </w:tcPr>
          <w:p>
            <w:pPr>
              <w:spacing w:after="0"/>
              <w:jc w:val="center"/>
            </w:pPr>
            <w:r>
              <w:rPr>
                <w:rFonts w:ascii="Aptos" w:hAnsi="Aptos" w:eastAsia="Aptos"/>
                <w:color w:val="334155"/>
                <w:sz w:val="18"/>
              </w:rPr>
              <w:t>13–18</w:t>
            </w:r>
          </w:p>
        </w:tc>
      </w:tr>
      <w:tr>
        <w:tc>
          <w:tcPr>
            <w:tcW w:type="dxa" w:w="2484"/>
          </w:tcPr>
          <w:p>
            <w:r>
              <w:t>Sub-anexo A6</w:t>
            </w:r>
          </w:p>
        </w:tc>
        <w:tc>
          <w:tcPr>
            <w:tcW w:type="dxa" w:w="2484"/>
          </w:tcPr>
          <w:p>
            <w:r>
              <w:t>Articulación estratégica entre el VRI y el VRA</w:t>
            </w:r>
          </w:p>
        </w:tc>
        <w:tc>
          <w:tcPr>
            <w:tcW w:type="dxa" w:w="2484"/>
          </w:tcPr>
          <w:p>
            <w:r>
              <w:t>A6.1 Prioridades del VRI</w:t>
              <w:br/>
              <w:t>A6.2 Prioridades del VRA</w:t>
              <w:br/>
              <w:t>A6.3 Resultados esperados de la articulación</w:t>
            </w:r>
          </w:p>
        </w:tc>
        <w:tc>
          <w:tcPr>
            <w:tcW w:type="dxa" w:w="2484"/>
          </w:tcPr>
          <w:p>
            <w:r>
              <w:t>20–21</w:t>
            </w:r>
          </w:p>
        </w:tc>
      </w:tr>
      <w:tr>
        <w:tc>
          <w:tcPr>
            <w:tcW w:type="dxa" w:w="2484"/>
          </w:tcPr>
          <w:p>
            <w:r>
              <w:t>Sub-anexo A7</w:t>
            </w:r>
          </w:p>
        </w:tc>
        <w:tc>
          <w:tcPr>
            <w:tcW w:type="dxa" w:w="2484"/>
          </w:tcPr>
          <w:p>
            <w:r>
              <w:t>Plan maestro de implementación integrada</w:t>
            </w:r>
          </w:p>
        </w:tc>
        <w:tc>
          <w:tcPr>
            <w:tcW w:type="dxa" w:w="2484"/>
          </w:tcPr>
          <w:p>
            <w:r>
              <w:t>A7.1 Gobierno de la implementación</w:t>
              <w:br/>
              <w:t>A7.2 Fases, prioridades y convergencias VRI–VRA</w:t>
              <w:br/>
              <w:t>A7.3 Escalamiento e institucionalización</w:t>
            </w:r>
          </w:p>
        </w:tc>
        <w:tc>
          <w:tcPr>
            <w:tcW w:type="dxa" w:w="2484"/>
          </w:tcPr>
          <w:p>
            <w:r>
              <w:t>22–24</w:t>
            </w:r>
          </w:p>
        </w:tc>
      </w:tr>
    </w:tbl>
    <w:p>
      <w:pPr>
        <w:spacing w:before="120" w:after="80"/>
      </w:pPr>
      <w:r>
        <w:t>El documento puede leerse de forma continua o por bloques: primero la visión y el diagnóstico, luego la propuesta institucional, después la articulación VRI–VRA y, finalmente, la ruta de implementación.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9936"/>
      </w:tblGrid>
      <w:tr>
        <w:tc>
          <w:tcPr>
            <w:tcW w:type="dxa" w:w="9936"/>
            <w:shd w:fill="FFF7ED" w:val="clear"/>
            <w:tcMar>
              <w:top w:w="95" w:type="dxa"/>
              <w:start w:w="125" w:type="dxa"/>
              <w:bottom w:w="95" w:type="dxa"/>
              <w:end w:w="125" w:type="dxa"/>
            </w:tcMar>
          </w:tcPr>
          <w:p>
            <w:pPr>
              <w:spacing w:after="0" w:before="0"/>
            </w:pPr>
            <w:r>
              <w:rPr>
                <w:rFonts w:ascii="Aptos" w:hAnsi="Aptos" w:eastAsia="Aptos"/>
                <w:b w:val="0"/>
                <w:color w:val="9A3412"/>
                <w:sz w:val="18"/>
              </w:rPr>
              <w:t>Leer primero A1 y A2 para entender el problema institucional. Luego revisar A3 y A4 para identificar las decisiones de fondo. Finalmente, usar A5 para ubicar la secuencia de implementación y los hitos del periodo 2026–2031.</w:t>
            </w:r>
          </w:p>
        </w:tc>
      </w:tr>
    </w:tbl>
    <w:p>
      <w:r>
        <w:br w:type="page"/>
      </w:r>
    </w:p>
    <w:p w14:paraId="0B65088F" w14:textId="77777777" w:rsidR="00E970E3" w:rsidRPr="009F615C" w:rsidRDefault="00000000">
      <w:pPr>
        <w:jc w:val="center"/>
        <w:rPr>
          <w:lang w:val="es-ES"/>
        </w:rPr>
      </w:pPr>
      <w:r w:rsidRPr="009F615C">
        <w:rPr>
          <w:b/>
          <w:color w:val="123456"/>
          <w:sz w:val="36"/>
          <w:lang w:val="es-ES"/>
        </w:rPr>
        <w:t>Universidad Peruana Cayetano Heredia</w:t>
      </w:r>
    </w:p>
    <w:p w14:paraId="3E05FE30" w14:textId="77777777" w:rsidR="00E970E3" w:rsidRPr="009F615C" w:rsidRDefault="00000000">
      <w:pPr>
        <w:jc w:val="center"/>
        <w:rPr>
          <w:lang w:val="es-ES"/>
        </w:rPr>
      </w:pPr>
      <w:r w:rsidRPr="009F615C">
        <w:rPr>
          <w:b/>
          <w:color w:val="1F4E79"/>
          <w:sz w:val="44"/>
          <w:lang w:val="es-ES"/>
        </w:rPr>
        <w:t>Plan de Desarrollo Institucional 2026–2031</w:t>
      </w:r>
    </w:p>
    <w:p w14:paraId="06F53FAC" w14:textId="77777777" w:rsidR="00E970E3" w:rsidRPr="009F615C" w:rsidRDefault="00000000">
      <w:pPr>
        <w:jc w:val="center"/>
        <w:rPr>
          <w:lang w:val="es-ES"/>
        </w:rPr>
      </w:pPr>
      <w:r w:rsidRPr="009F615C">
        <w:rPr>
          <w:i/>
          <w:color w:val="44546A"/>
          <w:sz w:val="25"/>
          <w:lang w:val="es-ES"/>
        </w:rPr>
        <w:t>Excelencia Académica, Sostenibilidad Financiera, Gobernanza e Impacto Global</w:t>
      </w:r>
    </w:p>
    <w:p w14:paraId="099860DC" w14:textId="77777777" w:rsidR="00E970E3" w:rsidRPr="009F615C" w:rsidRDefault="00000000">
      <w:pPr>
        <w:jc w:val="center"/>
        <w:rPr>
          <w:lang w:val="es-ES"/>
        </w:rPr>
      </w:pPr>
      <w:r w:rsidRPr="009F615C">
        <w:rPr>
          <w:color w:val="666666"/>
          <w:sz w:val="22"/>
          <w:lang w:val="es-ES"/>
        </w:rPr>
        <w:t>Borrador de trabajo para discusión institucional</w:t>
      </w:r>
    </w:p>
    <w:p w14:paraId="35C89451" w14:textId="77777777" w:rsidR="00E970E3" w:rsidRPr="009F615C" w:rsidRDefault="00E970E3">
      <w:pPr>
        <w:rPr>
          <w:lang w:val="es-ES"/>
        </w:rPr>
      </w:pPr>
    </w:p>
    <w:tbl>
      <w:tblPr>
        <w:tblW w:w="0" w:type="auto"/>
        <w:jc w:val="center"/>
        <w:tblLook w:val="04A0" w:firstRow="1" w:lastRow="0" w:firstColumn="1" w:lastColumn="0" w:noHBand="0" w:noVBand="1"/>
      </w:tblPr>
      <w:tblGrid>
        <w:gridCol w:w="8928"/>
      </w:tblGrid>
      <w:tr w:rsidR="00E970E3" w:rsidRPr="00111F32" w14:paraId="610986F2" w14:textId="77777777">
        <w:trPr>
          <w:jc w:val="center"/>
        </w:trPr>
        <w:tc>
          <w:tcPr>
            <w:tcW w:w="8928" w:type="dxa"/>
            <w:shd w:val="clear" w:color="auto" w:fill="F3F7FB"/>
            <w:vAlign w:val="center"/>
          </w:tcPr>
          <w:p>
            <w:r>
              <w:t>Este documento integra y reorganiza la visión institucional, el diagnóstico, la propuesta de gestión universitaria, la síntesis articulada del Vicerrectorado de Investigación y del Vicerrectorado Académico, y el plan maestro de implementación que permite traducir la propuesta en una hoja de ruta verificable.</w:t>
            </w:r>
          </w:p>
        </w:tc>
      </w:tr>
    </w:tbl>
    <w:p w14:paraId="458AECB9" w14:textId="77777777" w:rsidR="00E970E3" w:rsidRPr="009F615C" w:rsidRDefault="00E970E3">
      <w:pPr>
        <w:rPr>
          <w:lang w:val="es-ES"/>
        </w:rPr>
      </w:pPr>
    </w:p>
    <w:p w14:paraId="7DA843E1" w14:textId="77777777" w:rsidR="00E970E3" w:rsidRPr="009F615C" w:rsidRDefault="00000000">
      <w:pPr>
        <w:rPr>
          <w:lang w:val="es-ES"/>
        </w:rPr>
      </w:pPr>
      <w:r w:rsidRPr="009F615C">
        <w:rPr>
          <w:lang w:val="es-ES"/>
        </w:rPr>
        <w:br w:type="page"/>
      </w:r>
    </w:p>
    <w:p w14:paraId="3B41044D" w14:textId="77777777" w:rsidR="00E970E3" w:rsidRPr="009F615C" w:rsidRDefault="00000000">
      <w:pPr>
        <w:pStyle w:val="Heading1"/>
        <w:rPr>
          <w:lang w:val="es-ES"/>
        </w:rPr>
      </w:pPr>
      <w:r w:rsidRPr="009F615C">
        <w:rPr>
          <w:lang w:val="es-ES"/>
        </w:rPr>
        <w:lastRenderedPageBreak/>
        <w:t>INTRODUCCIÓN Y VISIÓN DEL RECTORADO</w:t>
      </w:r>
    </w:p>
    <w:p w14:paraId="484ED7A9" w14:textId="77777777" w:rsidR="00E970E3" w:rsidRPr="009F615C" w:rsidRDefault="00000000">
      <w:pPr>
        <w:rPr>
          <w:lang w:val="es-ES"/>
        </w:rPr>
      </w:pPr>
      <w:r w:rsidRPr="009F615C">
        <w:rPr>
          <w:lang w:val="es-ES"/>
        </w:rPr>
        <w:t>La Universidad Peruana Cayetano Heredia afronta el periodo 2026–2031 en un contexto marcado por cambios científicos, tecnológicos, sociales, regulatorios y económicos que obligan a revisar no solo sus prioridades, sino también la forma en que se organiza para cumplir su misión. La expansión de la inteligencia artificial, la transformación digital, las nuevas demandas del mercado laboral, la presión por demostrar impacto social y la creciente competencia en educación superior exigen una gestión universitaria capaz de combinar excelencia académica, sostenibilidad financiera, investigación relevante, gobernanza participativa e inserción internacional.</w:t>
      </w:r>
    </w:p>
    <w:p w14:paraId="13B4587F" w14:textId="77777777" w:rsidR="00E970E3" w:rsidRPr="009F615C" w:rsidRDefault="00000000">
      <w:pPr>
        <w:rPr>
          <w:lang w:val="es-ES"/>
        </w:rPr>
      </w:pPr>
      <w:r w:rsidRPr="009F615C">
        <w:rPr>
          <w:lang w:val="es-ES"/>
        </w:rPr>
        <w:t>Nuestra universidad posee fortalezas históricas que siguen siendo decisivas: una identidad científica sólida, liderazgo nacional en investigación en ciencias de la vida y salud, prestigio acumulado por sus egresados y una tradición de compromiso con el país. Al mismo tiempo, enfrenta tensiones que deben ser abordadas con honestidad: fragmentación de procesos, debilidades en la implementación del modelo educativo, presión financiera, pérdida de posicionamiento relativo, subutilización de activos institucionales y necesidad de mayor articulación entre facultades, escuela de posgrado, institutos y órganos de gobierno.</w:t>
      </w:r>
    </w:p>
    <w:p w14:paraId="08B3BB69" w14:textId="77777777" w:rsidR="00E970E3" w:rsidRPr="009F615C" w:rsidRDefault="00000000">
      <w:pPr>
        <w:rPr>
          <w:lang w:val="es-ES"/>
        </w:rPr>
      </w:pPr>
      <w:r w:rsidRPr="009F615C">
        <w:rPr>
          <w:lang w:val="es-ES"/>
        </w:rPr>
        <w:t>Este Plan de Desarrollo Institucional propone una hoja de ruta para fortalecer la excelencia académica, consolidar la investigación y la innovación, asegurar la sostenibilidad financiera, recuperar la confianza interna mediante una gobernanza transparente y proyectar a la UPCH como una universidad de alto nivel, integrada, pertinente e influyente en el Perú y en la región.</w:t>
      </w:r>
    </w:p>
    <w:p w14:paraId="72295241" w14:textId="77777777" w:rsidR="00E970E3" w:rsidRPr="009F615C" w:rsidRDefault="00000000">
      <w:pPr>
        <w:pStyle w:val="Heading2"/>
        <w:rPr>
          <w:lang w:val="es-ES"/>
        </w:rPr>
      </w:pPr>
      <w:r w:rsidRPr="009F615C">
        <w:rPr>
          <w:lang w:val="es-ES"/>
        </w:rPr>
        <w:t>Rol de la universidad en el siglo XXI</w:t>
      </w:r>
    </w:p>
    <w:p w14:paraId="364580C6" w14:textId="77777777" w:rsidR="00E970E3" w:rsidRPr="009F615C" w:rsidRDefault="00000000">
      <w:pPr>
        <w:rPr>
          <w:lang w:val="es-ES"/>
        </w:rPr>
      </w:pPr>
      <w:r w:rsidRPr="009F615C">
        <w:rPr>
          <w:lang w:val="es-ES"/>
        </w:rPr>
        <w:t>La universidad contemporánea ya no puede concebirse como un espacio limitado a la transmisión de conocimientos. Es una institución estratégica para la construcción de sociedades basadas en el conocimiento, la innovación y la responsabilidad social. Su papel se expresa en tres funciones misionales inseparables: docencia, investigación y vinculación con la sociedad.</w:t>
      </w:r>
    </w:p>
    <w:p w14:paraId="2369FAD5" w14:textId="77777777" w:rsidR="00E970E3" w:rsidRPr="009F615C" w:rsidRDefault="00000000">
      <w:pPr>
        <w:rPr>
          <w:lang w:val="es-ES"/>
        </w:rPr>
      </w:pPr>
      <w:r w:rsidRPr="009F615C">
        <w:rPr>
          <w:lang w:val="es-ES"/>
        </w:rPr>
        <w:t>La docencia debe formar profesionales con sólida base científica, pensamiento crítico, compromiso ético, capacidad de adaptación y vocación de aprendizaje permanente. La investigación debe generar conocimiento nuevo, pertinente y útil, así como contribuir a la solución de problemas de salud, desarrollo y bienestar. La vinculación con la sociedad debe traducirse en responsabilidad social universitaria, transferencia tecnológica, incidencia en políticas públicas y colaboración efectiva con comunidades, empresas e instituciones del Estado.</w:t>
      </w:r>
    </w:p>
    <w:p w14:paraId="33C87B1F" w14:textId="77777777" w:rsidR="00E970E3" w:rsidRPr="009F615C" w:rsidRDefault="00000000">
      <w:pPr>
        <w:rPr>
          <w:lang w:val="es-ES"/>
        </w:rPr>
      </w:pPr>
      <w:r w:rsidRPr="009F615C">
        <w:rPr>
          <w:lang w:val="es-ES"/>
        </w:rPr>
        <w:t>En el caso de la UPCH, estas funciones no son abstractas. Constituyen el núcleo del llamado espíritu herediano: excelencia académica, búsqueda de la verdad científica, servicio al país y compromiso con los sectores más vulnerables.</w:t>
      </w:r>
    </w:p>
    <w:p w14:paraId="2D282184" w14:textId="77777777" w:rsidR="00E970E3" w:rsidRPr="009F615C" w:rsidRDefault="00000000">
      <w:pPr>
        <w:pStyle w:val="Heading2"/>
        <w:rPr>
          <w:lang w:val="es-ES"/>
        </w:rPr>
      </w:pPr>
      <w:r w:rsidRPr="009F615C">
        <w:rPr>
          <w:lang w:val="es-ES"/>
        </w:rPr>
        <w:t>Principios de gestión</w:t>
      </w:r>
    </w:p>
    <w:p w14:paraId="779A82D7" w14:textId="77777777" w:rsidR="00E970E3" w:rsidRPr="009F615C" w:rsidRDefault="00000000">
      <w:pPr>
        <w:rPr>
          <w:lang w:val="es-ES"/>
        </w:rPr>
      </w:pPr>
      <w:r w:rsidRPr="009F615C">
        <w:rPr>
          <w:lang w:val="es-ES"/>
        </w:rPr>
        <w:t>La gestión institucional para el periodo 2026–2031 se sustentará en principios que permitan alinear las decisiones académicas, administrativas y financieras con la misión universitaria. Entre ellos destacan la autonomía universitaria, la participación democrática, la transparencia y la rendición de cuentas, la mejora continua, la profesionalización de la gestión, la innovación institucional y la planificación estratégica.</w:t>
      </w:r>
    </w:p>
    <w:p w14:paraId="7D9A73A7" w14:textId="77777777" w:rsidR="00E970E3" w:rsidRPr="009F615C" w:rsidRDefault="00000000">
      <w:pPr>
        <w:rPr>
          <w:lang w:val="es-ES"/>
        </w:rPr>
      </w:pPr>
      <w:r w:rsidRPr="009F615C">
        <w:rPr>
          <w:lang w:val="es-ES"/>
        </w:rPr>
        <w:t>Estos principios exigen una conducción capaz de escuchar, integrar, evaluar y decidir con criterios claros. También obligan a superar tanto el centralismo improductivo como la fragmentación, promoviendo una integración académica real, sin anular la identidad ni la capacidad de conducción de las facultades.</w:t>
      </w:r>
    </w:p>
    <w:p w14:paraId="2953D01F" w14:textId="77777777" w:rsidR="00E970E3" w:rsidRPr="009F615C" w:rsidRDefault="00000000">
      <w:pPr>
        <w:pStyle w:val="Heading2"/>
        <w:rPr>
          <w:lang w:val="es-ES"/>
        </w:rPr>
      </w:pPr>
      <w:r w:rsidRPr="009F615C">
        <w:rPr>
          <w:lang w:val="es-ES"/>
        </w:rPr>
        <w:lastRenderedPageBreak/>
        <w:t>Valores institucionales</w:t>
      </w:r>
    </w:p>
    <w:p w14:paraId="0F63F1E2" w14:textId="77777777" w:rsidR="00E970E3" w:rsidRPr="009F615C" w:rsidRDefault="00000000">
      <w:pPr>
        <w:rPr>
          <w:lang w:val="es-ES"/>
        </w:rPr>
      </w:pPr>
      <w:r w:rsidRPr="009F615C">
        <w:rPr>
          <w:lang w:val="es-ES"/>
        </w:rPr>
        <w:t>Los valores institucionales son el fundamento ético y cultural del plan. La excelencia académica expresa la búsqueda permanente de calidad en la docencia, la investigación y los servicios. La integridad obliga a honrar la verdad científica, la honestidad intelectual y la ética en toda actividad universitaria. La responsabilidad social reafirma el compromiso con el desarrollo del país y la mejora de las condiciones de vida de la población. El respeto a la diversidad, el pluralismo y la libertad de pensamiento sostienen una comunidad abierta al diálogo y a la crítica. Finalmente, el compromiso con el conocimiento y el servicio a la sociedad constituye un rasgo distintivo de la comunidad herediana.</w:t>
      </w:r>
    </w:p>
    <w:p w14:paraId="08431C8F" w14:textId="77777777" w:rsidR="00E970E3" w:rsidRPr="009F615C" w:rsidRDefault="00000000">
      <w:pPr>
        <w:pStyle w:val="Heading1"/>
        <w:rPr>
          <w:lang w:val="es-ES"/>
        </w:rPr>
      </w:pPr>
      <w:r w:rsidRPr="009F615C">
        <w:rPr>
          <w:lang w:val="es-ES"/>
        </w:rPr>
        <w:t>DIAGNÓSTICO INSTITUCIONAL</w:t>
      </w:r>
    </w:p>
    <w:p w14:paraId="11AB48EF" w14:textId="77777777" w:rsidR="00E970E3" w:rsidRPr="009F615C" w:rsidRDefault="00000000">
      <w:pPr>
        <w:rPr>
          <w:lang w:val="es-ES"/>
        </w:rPr>
      </w:pPr>
      <w:r w:rsidRPr="009F615C">
        <w:rPr>
          <w:lang w:val="es-ES"/>
        </w:rPr>
        <w:t>El diagnóstico institucional debe ser objetivo, integral y orientado a la acción. Más que enumerar problemas, debe identificar brechas cuya superación permita ordenar el crecimiento y recuperar capacidad de liderazgo.</w:t>
      </w:r>
    </w:p>
    <w:p w14:paraId="7319A807" w14:textId="77777777" w:rsidR="00E970E3" w:rsidRPr="009F615C" w:rsidRDefault="00000000">
      <w:pPr>
        <w:pStyle w:val="Heading2"/>
        <w:rPr>
          <w:lang w:val="es-ES"/>
        </w:rPr>
      </w:pPr>
      <w:r w:rsidRPr="009F615C">
        <w:rPr>
          <w:lang w:val="es-ES"/>
        </w:rPr>
        <w:t>Situación académica</w:t>
      </w:r>
    </w:p>
    <w:p w14:paraId="3A4FFF04" w14:textId="77777777" w:rsidR="00E970E3" w:rsidRPr="009F615C" w:rsidRDefault="00000000">
      <w:pPr>
        <w:rPr>
          <w:lang w:val="es-ES"/>
        </w:rPr>
      </w:pPr>
      <w:r w:rsidRPr="009F615C">
        <w:rPr>
          <w:lang w:val="es-ES"/>
        </w:rPr>
        <w:t>La UPCH mantiene fortalezas académicas reconocidas, especialmente en ciencias de la vida, salud y áreas afines; sin embargo, presenta signos de desgaste en la implementación de su modelo educativo y en la coherencia de la experiencia formativa. Existen brechas entre el currículo declarado y el currículo realmente vivido por los estudiantes, así como problemas de redundancia de cursos, heterogeneidad en la calidad docente, debilidades en el acompañamiento del primer año y limitaciones de infraestructura en campos clínicos y espacios de aprendizaje.</w:t>
      </w:r>
    </w:p>
    <w:p w14:paraId="29F71AA4" w14:textId="77777777" w:rsidR="00E970E3" w:rsidRPr="009F615C" w:rsidRDefault="00000000">
      <w:pPr>
        <w:rPr>
          <w:lang w:val="es-ES"/>
        </w:rPr>
      </w:pPr>
      <w:r w:rsidRPr="009F615C">
        <w:rPr>
          <w:lang w:val="es-ES"/>
        </w:rPr>
        <w:t>La Unidad de Formación Básica Integral requiere fortalecimiento para cumplir mejor su función de transición académica, nivelación y acompañamiento. La gestión curricular necesita más articulación entre facultades, departamentos, DUGAD y Escuela de Posgrado. Además, las salidas a campo, la docencia en servicio y las prácticas profesionales han perdido parte de su potencial formativo por restricciones logísticas, saturación de campos y falta de soporte estructurado.</w:t>
      </w:r>
    </w:p>
    <w:p w14:paraId="07C5C56C" w14:textId="77777777" w:rsidR="00E970E3" w:rsidRPr="009F615C" w:rsidRDefault="00000000">
      <w:pPr>
        <w:rPr>
          <w:lang w:val="es-ES"/>
        </w:rPr>
      </w:pPr>
      <w:r w:rsidRPr="009F615C">
        <w:rPr>
          <w:lang w:val="es-ES"/>
        </w:rPr>
        <w:t>Pese a estas dificultades, la universidad cuenta con capacidades valiosas: carreras consolidadas, centros de simulación, plataformas clínicas y docentes, y una comunidad académica que sigue valorando la calidad y la rigurosidad. El desafío es convertir esos activos en un sistema más ordenado, inclusivo y sostenible.</w:t>
      </w:r>
    </w:p>
    <w:p w14:paraId="49336A6B" w14:textId="77777777" w:rsidR="00E970E3" w:rsidRPr="009F615C" w:rsidRDefault="00000000">
      <w:pPr>
        <w:pStyle w:val="Heading2"/>
        <w:rPr>
          <w:lang w:val="es-ES"/>
        </w:rPr>
      </w:pPr>
      <w:r w:rsidRPr="009F615C">
        <w:rPr>
          <w:lang w:val="es-ES"/>
        </w:rPr>
        <w:t>Situación financiera</w:t>
      </w:r>
    </w:p>
    <w:p w14:paraId="54866ED3" w14:textId="77777777" w:rsidR="00E970E3" w:rsidRPr="009F615C" w:rsidRDefault="00000000">
      <w:pPr>
        <w:rPr>
          <w:lang w:val="es-ES"/>
        </w:rPr>
      </w:pPr>
      <w:r w:rsidRPr="009F615C">
        <w:rPr>
          <w:lang w:val="es-ES"/>
        </w:rPr>
        <w:t>La estructura financiera de la universidad muestra una alta dependencia de las pensiones de estudio y una vulnerabilidad frente a fluctuaciones de matrícula. A ello se suma una percepción de centralismo en la ejecución presupuestaria, falta de claridad en algunos criterios de reinversión y tensiones entre unidades académicas respecto al retorno de sus esfuerzos.</w:t>
      </w:r>
    </w:p>
    <w:p w14:paraId="44567A55" w14:textId="77777777" w:rsidR="00E970E3" w:rsidRPr="009F615C" w:rsidRDefault="00000000">
      <w:pPr>
        <w:rPr>
          <w:lang w:val="es-ES"/>
        </w:rPr>
      </w:pPr>
      <w:r w:rsidRPr="009F615C">
        <w:rPr>
          <w:lang w:val="es-ES"/>
        </w:rPr>
        <w:t>Si bien se han realizado inversiones en infraestructura, no siempre han estado acompañadas de consenso interno sobre prioridades, sostenibilidad ni uso estratégico de los activos resultantes. La universidad necesita diversificar sus fuentes de ingreso, fortalecer la gestión patrimonial, aprovechar mejor la educación continua, el posgrado, la investigación financiada, la transferencia tecnológica y el relacionamiento con egresados y aliados.</w:t>
      </w:r>
    </w:p>
    <w:p w14:paraId="449FD503" w14:textId="77777777" w:rsidR="00E970E3" w:rsidRPr="009F615C" w:rsidRDefault="00000000">
      <w:pPr>
        <w:pStyle w:val="Heading2"/>
        <w:rPr>
          <w:lang w:val="es-ES"/>
        </w:rPr>
      </w:pPr>
      <w:r w:rsidRPr="009F615C">
        <w:rPr>
          <w:lang w:val="es-ES"/>
        </w:rPr>
        <w:lastRenderedPageBreak/>
        <w:t>Posicionamiento institucional</w:t>
      </w:r>
    </w:p>
    <w:p w14:paraId="42BBAE87" w14:textId="77777777" w:rsidR="00E970E3" w:rsidRPr="009F615C" w:rsidRDefault="00000000">
      <w:pPr>
        <w:rPr>
          <w:lang w:val="es-ES"/>
        </w:rPr>
      </w:pPr>
      <w:r w:rsidRPr="009F615C">
        <w:rPr>
          <w:lang w:val="es-ES"/>
        </w:rPr>
        <w:t>La UPCH conserva prestigio nacional e internacional en campos clave, pero ha perdido posicionamiento relativo en rankings, visibilidad y capacidad de atracción frente a universidades que han crecido más agresivamente en infraestructura, oferta académica y comunicación institucional. La internacionalización ha avanzado, aunque de manera parcial, con limitaciones en idioma, movilidad, programas conjuntos y aprovechamiento sistemático de alianzas.</w:t>
      </w:r>
    </w:p>
    <w:p w14:paraId="35235419" w14:textId="77777777" w:rsidR="00E970E3" w:rsidRPr="009F615C" w:rsidRDefault="00000000">
      <w:pPr>
        <w:rPr>
          <w:lang w:val="es-ES"/>
        </w:rPr>
      </w:pPr>
      <w:r w:rsidRPr="009F615C">
        <w:rPr>
          <w:lang w:val="es-ES"/>
        </w:rPr>
        <w:t>La universidad necesita reposicionar su narrativa institucional: no como una universidad pequeña que resiste, sino como una universidad especializada, rigurosa, innovadora y socialmente relevante, capaz de crecer sin perder identidad.</w:t>
      </w:r>
    </w:p>
    <w:p w14:paraId="275E21DE" w14:textId="77777777" w:rsidR="00E970E3" w:rsidRPr="009F615C" w:rsidRDefault="00000000">
      <w:pPr>
        <w:pStyle w:val="Heading2"/>
        <w:rPr>
          <w:lang w:val="es-ES"/>
        </w:rPr>
      </w:pPr>
      <w:r w:rsidRPr="009F615C">
        <w:rPr>
          <w:lang w:val="es-ES"/>
        </w:rPr>
        <w:t>Investigación</w:t>
      </w:r>
    </w:p>
    <w:p w14:paraId="614612DE" w14:textId="77777777" w:rsidR="00E970E3" w:rsidRPr="009F615C" w:rsidRDefault="00000000">
      <w:pPr>
        <w:rPr>
          <w:lang w:val="es-ES"/>
        </w:rPr>
      </w:pPr>
      <w:r w:rsidRPr="009F615C">
        <w:rPr>
          <w:lang w:val="es-ES"/>
        </w:rPr>
        <w:t>La investigación sigue siendo uno de los principales activos distintivos de la UPCH. No obstante, su producción científica se concentra en determinados grupos y facultades, mientras que en otras áreas aún no se despliega plenamente el potencial institucional. Persisten brechas entre las líneas de investigación declaradas y su implementación efectiva, insuficiente articulación entre facultades e institutos, dependencia alta de fondos externos y soporte limitado para presupuestación, gestión de proyectos, publicaciones y transferencia tecnológica.</w:t>
      </w:r>
    </w:p>
    <w:p w14:paraId="584ECAF4" w14:textId="77777777" w:rsidR="00E970E3" w:rsidRPr="009F615C" w:rsidRDefault="00000000">
      <w:pPr>
        <w:rPr>
          <w:lang w:val="es-ES"/>
        </w:rPr>
      </w:pPr>
      <w:r w:rsidRPr="009F615C">
        <w:rPr>
          <w:lang w:val="es-ES"/>
        </w:rPr>
        <w:t>La situación del docente-investigador exige atención especial. En varias áreas, el financiamiento externo ha compensado carencias estructurales, pero no puede seguir sustituyendo indefinidamente una política institucional de cuidado, reconocimiento y fortalecimiento de la carrera académica.</w:t>
      </w:r>
    </w:p>
    <w:p w14:paraId="61CCD997" w14:textId="77777777" w:rsidR="00E970E3" w:rsidRPr="009F615C" w:rsidRDefault="00000000">
      <w:pPr>
        <w:pStyle w:val="Heading2"/>
        <w:rPr>
          <w:lang w:val="es-ES"/>
        </w:rPr>
      </w:pPr>
      <w:r w:rsidRPr="009F615C">
        <w:rPr>
          <w:lang w:val="es-ES"/>
        </w:rPr>
        <w:t>Responsabilidad social y vinculación</w:t>
      </w:r>
    </w:p>
    <w:p w14:paraId="0AC465BA" w14:textId="77777777" w:rsidR="00E970E3" w:rsidRPr="009F615C" w:rsidRDefault="00000000">
      <w:pPr>
        <w:rPr>
          <w:lang w:val="es-ES"/>
        </w:rPr>
      </w:pPr>
      <w:r w:rsidRPr="009F615C">
        <w:rPr>
          <w:lang w:val="es-ES"/>
        </w:rPr>
        <w:t>La universidad posee una tradición valiosa de compromiso social, trabajo comunitario y vinculación con problemas nacionales, pero dichas acciones aparecen a menudo fragmentadas y poco articuladas con las prioridades institucionales. Se requiere una estrategia más integrada de responsabilidad social universitaria, con enfoque territorial, medición de impacto y articulación entre facultades, investigación y docencia.</w:t>
      </w:r>
    </w:p>
    <w:p w14:paraId="2B7F4B51" w14:textId="77777777" w:rsidR="00E970E3" w:rsidRPr="009F615C" w:rsidRDefault="00000000">
      <w:pPr>
        <w:pStyle w:val="Heading1"/>
        <w:rPr>
          <w:lang w:val="es-ES"/>
        </w:rPr>
      </w:pPr>
      <w:r w:rsidRPr="009F615C">
        <w:rPr>
          <w:lang w:val="es-ES"/>
        </w:rPr>
        <w:t>PROPUESTA DE GESTIÓN UNIVERSITARIA</w:t>
      </w:r>
    </w:p>
    <w:p w14:paraId="4D79257C" w14:textId="77777777" w:rsidR="00E970E3" w:rsidRPr="009F615C" w:rsidRDefault="00000000">
      <w:pPr>
        <w:rPr>
          <w:lang w:val="es-ES"/>
        </w:rPr>
      </w:pPr>
      <w:r w:rsidRPr="009F615C">
        <w:rPr>
          <w:lang w:val="es-ES"/>
        </w:rPr>
        <w:t>La propuesta de gestión universitaria se organiza en grandes líneas de acción que buscan alinear excelencia académica, investigación relevante, sostenibilidad financiera y gobernanza participativa.</w:t>
      </w:r>
    </w:p>
    <w:p w14:paraId="3B9FF5B1" w14:textId="77777777" w:rsidR="00E970E3" w:rsidRPr="009F615C" w:rsidRDefault="00000000">
      <w:pPr>
        <w:pStyle w:val="Heading2"/>
        <w:rPr>
          <w:lang w:val="es-ES"/>
        </w:rPr>
      </w:pPr>
      <w:r w:rsidRPr="009F615C">
        <w:rPr>
          <w:lang w:val="es-ES"/>
        </w:rPr>
        <w:t>Gobernanza</w:t>
      </w:r>
    </w:p>
    <w:p w14:paraId="02A15382" w14:textId="77777777" w:rsidR="00E970E3" w:rsidRPr="009F615C" w:rsidRDefault="00000000">
      <w:pPr>
        <w:rPr>
          <w:lang w:val="es-ES"/>
        </w:rPr>
      </w:pPr>
      <w:r w:rsidRPr="009F615C">
        <w:rPr>
          <w:lang w:val="es-ES"/>
        </w:rPr>
        <w:t>La propuesta de gobernanza parte de un principio básico: la universidad necesita una conducción participativa, transparente y técnicamente sólida. Para ello se propone fortalecer los órganos de gobierno, mejorar la representación de facultades, docentes y estudiantes en los espacios de decisión, y establecer mecanismos periódicos de diálogo y rendición de cuentas a la comunidad herediana.</w:t>
      </w:r>
    </w:p>
    <w:p w14:paraId="020D4B4B" w14:textId="77777777" w:rsidR="00E970E3" w:rsidRPr="009F615C" w:rsidRDefault="00000000">
      <w:pPr>
        <w:rPr>
          <w:lang w:val="es-ES"/>
        </w:rPr>
      </w:pPr>
      <w:r w:rsidRPr="009F615C">
        <w:rPr>
          <w:lang w:val="es-ES"/>
        </w:rPr>
        <w:t>La integración institucional debe profundizarse más allá de la simplificación administrativa. Se propone una integración académica auténtica, en la que las facultades recuperen capacidad de conducción en programas de formación e investigación, sin romper la coordinación estratégica universitaria.</w:t>
      </w:r>
    </w:p>
    <w:p w14:paraId="530E1E0A" w14:textId="77777777" w:rsidR="00E970E3" w:rsidRPr="009F615C" w:rsidRDefault="00000000">
      <w:pPr>
        <w:pStyle w:val="Heading2"/>
        <w:rPr>
          <w:lang w:val="es-ES"/>
        </w:rPr>
      </w:pPr>
      <w:r w:rsidRPr="009F615C">
        <w:rPr>
          <w:lang w:val="es-ES"/>
        </w:rPr>
        <w:lastRenderedPageBreak/>
        <w:t>Excelencia académica</w:t>
      </w:r>
    </w:p>
    <w:p w14:paraId="5FA35365" w14:textId="77777777" w:rsidR="00E970E3" w:rsidRPr="009F615C" w:rsidRDefault="00000000">
      <w:pPr>
        <w:rPr>
          <w:lang w:val="es-ES"/>
        </w:rPr>
      </w:pPr>
      <w:r w:rsidRPr="009F615C">
        <w:rPr>
          <w:lang w:val="es-ES"/>
        </w:rPr>
        <w:t>La excelencia académica será sostenida mediante un rediseño curricular basado en competencias, una mejora efectiva de la implementación del modelo educativo, fortalecimiento de la UFBI, modernización de la docencia, ampliación del uso responsable de la inteligencia artificial, incorporación de innovación pedagógica y desarrollo de una carrera docente que promueva la formación avanzada, el doctorado, la gestión universitaria y la mejora continua.</w:t>
      </w:r>
    </w:p>
    <w:p w14:paraId="17C3463A" w14:textId="605495DA" w:rsidR="00E970E3" w:rsidRPr="009F615C" w:rsidRDefault="00000000">
      <w:pPr>
        <w:rPr>
          <w:lang w:val="es-ES"/>
        </w:rPr>
      </w:pPr>
      <w:r w:rsidRPr="009F615C">
        <w:rPr>
          <w:lang w:val="es-ES"/>
        </w:rPr>
        <w:t>La propuesta también contempla reforzar el posicionamiento de carreras estratégicas en ciencias de la vida y salud, ampliar la interdisciplinariedad, impulsar el inglés institucionalmente, fortalecer los campos formativos</w:t>
      </w:r>
      <w:r w:rsidR="009F615C" w:rsidRPr="009F615C">
        <w:rPr>
          <w:lang w:val="es-ES"/>
        </w:rPr>
        <w:t xml:space="preserve">, </w:t>
      </w:r>
      <w:r w:rsidRPr="009F615C">
        <w:rPr>
          <w:lang w:val="es-ES"/>
        </w:rPr>
        <w:t>incluyendo salidas de campo, espacios clínicos y simulación</w:t>
      </w:r>
      <w:r w:rsidR="009F615C" w:rsidRPr="009F615C">
        <w:rPr>
          <w:lang w:val="es-ES"/>
        </w:rPr>
        <w:t xml:space="preserve">, </w:t>
      </w:r>
      <w:r w:rsidRPr="009F615C">
        <w:rPr>
          <w:lang w:val="es-ES"/>
        </w:rPr>
        <w:t>y promover programas de doble titulación y posgrados articulados con facultades y Escuela de Posgrado.</w:t>
      </w:r>
    </w:p>
    <w:p>
      <w:pPr>
        <w:pStyle w:val="Heading3"/>
      </w:pPr>
      <w:r>
        <w:t>Recuperación del nivel académico y fortalecimiento del perfil estudiantil</w:t>
      </w:r>
    </w:p>
    <w:p>
      <w:pPr/>
      <w:r>
        <w:t>La universidad asumirá de manera explícita el compromiso de recuperar y fortalecer el nivel académico de sus estudiantes, preservando la identidad herediana de rigor, mérito y excelencia. Este objetivo comprenderá una revisión integral de los procesos de admisión, la consolidación de mecanismos de nivelación y acompañamiento en los primeros ciclos, el fortalecimiento de la tutoría académica, la mejora continua de la docencia y la evaluación, y la definición de estándares claros de progreso estudiantil. El crecimiento de la matrícula no deberá producirse a costa de la calidad, sino sobre la base de trayectorias formativas mejor diseñadas, mayor apoyo en la transición universitaria y un entorno académico que combine exigencia con acompañamiento.</w:t>
      </w:r>
    </w:p>
    <w:p>
      <w:pPr/>
      <w:r>
        <w:t>La recuperación del nivel académico será entendida como una prioridad estratégica vinculada a la credibilidad pública de la universidad, a la formación de profesionales e investigadores de alto nivel y a la sostenibilidad institucional de largo plazo. En este marco, la universidad promoverá procesos de admisión y permanencia coherentes con su misión, fortaleciendo simultáneamente la UFBI, los sistemas de alerta temprana, la mentoría y los mecanismos de apoyo al aprendizaje, de modo que la excelencia académica sea un atributo real de la experiencia formativa y no solo un rasgo histórico de la institución.</w:t>
      </w:r>
    </w:p>
    <w:p w14:paraId="3969CE33" w14:textId="77777777" w:rsidR="00E970E3" w:rsidRPr="009F615C" w:rsidRDefault="00000000">
      <w:pPr>
        <w:pStyle w:val="Heading2"/>
        <w:rPr>
          <w:lang w:val="es-ES"/>
        </w:rPr>
      </w:pPr>
      <w:r w:rsidRPr="009F615C">
        <w:rPr>
          <w:lang w:val="es-ES"/>
        </w:rPr>
        <w:t>Sostenibilidad económica y gestión financiera</w:t>
      </w:r>
    </w:p>
    <w:p w14:paraId="2B185E09" w14:textId="77777777" w:rsidR="00E970E3" w:rsidRPr="009F615C" w:rsidRDefault="00000000">
      <w:pPr>
        <w:rPr>
          <w:lang w:val="es-ES"/>
        </w:rPr>
      </w:pPr>
      <w:r w:rsidRPr="009F615C">
        <w:rPr>
          <w:lang w:val="es-ES"/>
        </w:rPr>
        <w:t>La universidad necesita un modelo financiero sostenible que combine responsabilidad institucional con visión de largo plazo. La propuesta contempla diversificación de ingresos, crecimiento ordenado del posgrado y la educación continua, consolidación del pregrado con inversiones estratégicas en equipamiento e infraestructura, optimización del gasto, profesionalización de la gestión patrimonial y establecimiento de criterios claros de reinversión.</w:t>
      </w:r>
    </w:p>
    <w:p w14:paraId="60DC3B23" w14:textId="13A54BC4" w:rsidR="00E970E3" w:rsidRPr="009F615C" w:rsidRDefault="00000000">
      <w:pPr>
        <w:rPr>
          <w:lang w:val="es-ES"/>
        </w:rPr>
      </w:pPr>
      <w:r w:rsidRPr="009F615C">
        <w:rPr>
          <w:lang w:val="es-ES"/>
        </w:rPr>
        <w:t xml:space="preserve">Se </w:t>
      </w:r>
      <w:r w:rsidR="00A96AAA">
        <w:rPr>
          <w:lang w:val="es-ES"/>
        </w:rPr>
        <w:t>reforzará el modelo de</w:t>
      </w:r>
      <w:r w:rsidRPr="009F615C">
        <w:rPr>
          <w:lang w:val="es-ES"/>
        </w:rPr>
        <w:t xml:space="preserve"> endowment universitario y</w:t>
      </w:r>
      <w:r w:rsidR="00A96AAA">
        <w:rPr>
          <w:lang w:val="es-ES"/>
        </w:rPr>
        <w:t xml:space="preserve"> la</w:t>
      </w:r>
      <w:r w:rsidRPr="009F615C">
        <w:rPr>
          <w:lang w:val="es-ES"/>
        </w:rPr>
        <w:t xml:space="preserve"> estrategia de fundraising apoyada en egresados, aliados institucionales y cooperación nacional e internacional. De igual modo, se buscará una relación más activa con fondos del Estado, beneficios tributarios, consultorías y mecanismos de asociación público-privada.</w:t>
      </w:r>
    </w:p>
    <w:p w14:paraId="7BD58C92" w14:textId="77777777" w:rsidR="00E970E3" w:rsidRPr="009F615C" w:rsidRDefault="00000000">
      <w:pPr>
        <w:pStyle w:val="Heading2"/>
        <w:rPr>
          <w:lang w:val="es-ES"/>
        </w:rPr>
      </w:pPr>
      <w:r w:rsidRPr="009F615C">
        <w:rPr>
          <w:lang w:val="es-ES"/>
        </w:rPr>
        <w:t>Investigación, innovación y transferencia</w:t>
      </w:r>
    </w:p>
    <w:p w14:paraId="4A7EBB98" w14:textId="77777777" w:rsidR="00E970E3" w:rsidRPr="009F615C" w:rsidRDefault="00000000">
      <w:pPr>
        <w:rPr>
          <w:lang w:val="es-ES"/>
        </w:rPr>
      </w:pPr>
      <w:r w:rsidRPr="009F615C">
        <w:rPr>
          <w:lang w:val="es-ES"/>
        </w:rPr>
        <w:t>La gestión de la investigación garantizará la generación de conocimiento relevante, el fortalecimiento de institutos, centros y líneas por facultad, y la ampliación de programas interfacultativos en temas de alta prioridad institucional como Una Salud, cambio climático, educación y evaluación de competencias, biomateriales, salud mental, salud digital e inteligencia artificial aplicada.</w:t>
      </w:r>
    </w:p>
    <w:p w14:paraId="7AEF881D" w14:textId="77777777" w:rsidR="00E970E3" w:rsidRPr="009F615C" w:rsidRDefault="00000000">
      <w:pPr>
        <w:rPr>
          <w:lang w:val="es-ES"/>
        </w:rPr>
      </w:pPr>
      <w:r w:rsidRPr="009F615C">
        <w:rPr>
          <w:lang w:val="es-ES"/>
        </w:rPr>
        <w:t>Se impulsará una oficina de soporte a proyectos más robusta, fondos de apoyo a la investigación, políticas claras de overhead y reconocimiento al docente-investigador. Se fortalecerá la transferencia tecnológica, la vinculación con empresas y el desarrollo de servicios especializados de alto valor. La investigación formativa se alineará mejor con las prioridades institucionales y se integrará a trayectorias de pregrado y posgrado.</w:t>
      </w:r>
    </w:p>
    <w:p w14:paraId="5245AED4" w14:textId="77777777" w:rsidR="00E970E3" w:rsidRPr="009F615C" w:rsidRDefault="00000000">
      <w:pPr>
        <w:pStyle w:val="Heading2"/>
        <w:rPr>
          <w:lang w:val="es-ES"/>
        </w:rPr>
      </w:pPr>
      <w:r w:rsidRPr="009F615C">
        <w:rPr>
          <w:lang w:val="es-ES"/>
        </w:rPr>
        <w:t>Responsabilidad social universitaria</w:t>
      </w:r>
    </w:p>
    <w:p w14:paraId="5650E33D" w14:textId="77777777" w:rsidR="00E970E3" w:rsidRPr="009F615C" w:rsidRDefault="00000000">
      <w:pPr>
        <w:rPr>
          <w:lang w:val="es-ES"/>
        </w:rPr>
      </w:pPr>
      <w:r w:rsidRPr="009F615C">
        <w:rPr>
          <w:lang w:val="es-ES"/>
        </w:rPr>
        <w:t>La responsabilidad social universitaria tendrá enfoque territorial y de desarrollo comunitario. Se promoverán programas interfacultades que contribuyan al bienestar y desarrollo del entorno, con especial atención al Cono Norte de Lima y a las comunidades vinculadas a las sedes y campos formativos de la universidad.</w:t>
      </w:r>
    </w:p>
    <w:p w14:paraId="782A8E66" w14:textId="77777777" w:rsidR="00E970E3" w:rsidRPr="009F615C" w:rsidRDefault="00000000">
      <w:pPr>
        <w:rPr>
          <w:lang w:val="es-ES"/>
        </w:rPr>
      </w:pPr>
      <w:r w:rsidRPr="009F615C">
        <w:rPr>
          <w:lang w:val="es-ES"/>
        </w:rPr>
        <w:t>Esto incluye programas de municipios o comunidades saludables con enfoque de Una Salud, desarrollo de capacidades comunitarias, formación de agentes de salud y desarrollo, y fortalecimiento de competencias de gestión en autoridades locales.</w:t>
      </w:r>
    </w:p>
    <w:p w14:paraId="13A5C6D5" w14:textId="77777777" w:rsidR="00E970E3" w:rsidRPr="009F615C" w:rsidRDefault="00000000">
      <w:pPr>
        <w:pStyle w:val="Heading2"/>
        <w:rPr>
          <w:lang w:val="es-ES"/>
        </w:rPr>
      </w:pPr>
      <w:r w:rsidRPr="009F615C">
        <w:rPr>
          <w:lang w:val="es-ES"/>
        </w:rPr>
        <w:lastRenderedPageBreak/>
        <w:t>Modelo de gobernanza universitaria</w:t>
      </w:r>
    </w:p>
    <w:p w14:paraId="59C9A2E2" w14:textId="77777777" w:rsidR="00E970E3" w:rsidRPr="009F615C" w:rsidRDefault="00000000">
      <w:pPr>
        <w:rPr>
          <w:lang w:val="es-ES"/>
        </w:rPr>
      </w:pPr>
      <w:r w:rsidRPr="009F615C">
        <w:rPr>
          <w:lang w:val="es-ES"/>
        </w:rPr>
        <w:t>El modelo de gobernanza universitaria combinará conducción estratégica central con mayor descentralización técnica y académica. Esto implica fortalecer la profesionalización administrativa, avanzar en gobierno digital, transparentar la composición y funciones de los órganos de gobierno, revisar mecanismos de representación y asegurar que las decisiones relevantes se adopten con base en información verificable y evaluación periódica.</w:t>
      </w:r>
    </w:p>
    <w:p w14:paraId="277A9936" w14:textId="77777777" w:rsidR="00E970E3" w:rsidRPr="009F615C" w:rsidRDefault="00000000">
      <w:pPr>
        <w:rPr>
          <w:lang w:val="es-ES"/>
        </w:rPr>
      </w:pPr>
      <w:r w:rsidRPr="009F615C">
        <w:rPr>
          <w:lang w:val="es-ES"/>
        </w:rPr>
        <w:t>Se propone una universidad menos fragmentada, con procesos más claros, órganos más funcionales y responsabilidades mejor definidas entre rectorado, vicerrectorados, facultades, escuela de posgrado, institutos y unidades de apoyo.</w:t>
      </w:r>
    </w:p>
    <w:p w14:paraId="25546FAE" w14:textId="77777777" w:rsidR="00E970E3" w:rsidRPr="009F615C" w:rsidRDefault="00000000">
      <w:pPr>
        <w:pStyle w:val="Heading2"/>
        <w:rPr>
          <w:lang w:val="es-ES"/>
        </w:rPr>
      </w:pPr>
      <w:r w:rsidRPr="009F615C">
        <w:rPr>
          <w:lang w:val="es-ES"/>
        </w:rPr>
        <w:t>Internacionalización</w:t>
      </w:r>
    </w:p>
    <w:p w14:paraId="334D2F7E" w14:textId="77777777" w:rsidR="00E970E3" w:rsidRPr="009F615C" w:rsidRDefault="00000000">
      <w:pPr>
        <w:rPr>
          <w:lang w:val="es-ES"/>
        </w:rPr>
      </w:pPr>
      <w:r w:rsidRPr="009F615C">
        <w:rPr>
          <w:lang w:val="es-ES"/>
        </w:rPr>
        <w:t>La internacionalización será entendida como una función transversal y no como un conjunto disperso de convenios. Se priorizarán alianzas académicas y científicas con universidades de alto nivel, movilidad estudiantil y docente con propósito académico, programas en inglés, dobles grados y cotutelas, así como la participación activa en redes regionales y globales.</w:t>
      </w:r>
    </w:p>
    <w:p w14:paraId="3323C0FA" w14:textId="77777777" w:rsidR="00E970E3" w:rsidRPr="009F615C" w:rsidRDefault="00000000">
      <w:pPr>
        <w:rPr>
          <w:lang w:val="es-ES"/>
        </w:rPr>
      </w:pPr>
      <w:r w:rsidRPr="009F615C">
        <w:rPr>
          <w:lang w:val="es-ES"/>
        </w:rPr>
        <w:t>Junto con la proyección global, se fortalecerá una internacionalización sur-sur más estratégica, priorizando vínculos con universidades latinoamericanas de excelencia y con instituciones cuyas fortalezas complementen las de la UPCH.</w:t>
      </w:r>
    </w:p>
    <w:p w14:paraId="5C62D291" w14:textId="77777777" w:rsidR="00111F32" w:rsidRDefault="00111F32">
      <w:pPr>
        <w:pStyle w:val="Heading1"/>
        <w:rPr>
          <w:lang w:val="es-ES"/>
        </w:rPr>
      </w:pPr>
    </w:p>
    <w:p w14:paraId="495F908D" w14:textId="77777777" w:rsidR="00111F32" w:rsidRDefault="00111F32">
      <w:pPr>
        <w:pStyle w:val="Heading1"/>
        <w:rPr>
          <w:lang w:val="es-ES"/>
        </w:rPr>
      </w:pPr>
    </w:p>
    <w:p w14:paraId="17944AC6" w14:textId="77777777" w:rsidR="00111F32" w:rsidRPr="00111F32" w:rsidRDefault="00111F32" w:rsidP="00111F32">
      <w:pPr>
        <w:pStyle w:val="Heading2"/>
        <w:rPr>
          <w:rFonts w:ascii="Times New Roman" w:hAnsi="Times New Roman"/>
          <w:sz w:val="44"/>
          <w:szCs w:val="32"/>
          <w:lang w:val="es-ES"/>
        </w:rPr>
      </w:pPr>
      <w:r w:rsidRPr="00111F32">
        <w:rPr>
          <w:sz w:val="32"/>
          <w:szCs w:val="32"/>
          <w:lang w:val="es-ES"/>
        </w:rPr>
        <w:t>Eje de Buen Gobierno, Transparencia y Sostenibilidad Financiera</w:t>
      </w:r>
    </w:p>
    <w:p w14:paraId="2F055EC7" w14:textId="77777777" w:rsidR="00111F32" w:rsidRDefault="00111F32" w:rsidP="00111F32">
      <w:pPr>
        <w:pStyle w:val="NormalWeb"/>
      </w:pPr>
      <w:r>
        <w:t>La sostenibilidad de la universidad no depende únicamente de la calidad de sus programas académicos o de la fortaleza de su investigación. También depende de la confianza que la comunidad universitaria y la sociedad depositen en sus mecanismos de gobierno, en la transparencia de su gestión y en la responsabilidad con la que administra sus recursos. En una institución como la UPCH, cuya identidad se ha construido históricamente sobre el prestigio académico, la ética pública y la vocación de servicio, el buen gobierno no puede ser entendido como un componente accesorio: debe ser reconocido como una condición esencial para la legitimidad institucional y para la viabilidad de cualquier proceso de transformación.</w:t>
      </w:r>
    </w:p>
    <w:p w14:paraId="7C11D1C1" w14:textId="77777777" w:rsidR="00111F32" w:rsidRDefault="00111F32" w:rsidP="00111F32">
      <w:pPr>
        <w:pStyle w:val="NormalWeb"/>
      </w:pPr>
      <w:r>
        <w:t xml:space="preserve">En ese marco, la gestión institucional promoverá una política activa de </w:t>
      </w:r>
      <w:r>
        <w:rPr>
          <w:rStyle w:val="Strong"/>
        </w:rPr>
        <w:t>transparencia, responsabilidad financiera, fortalecimiento de la representación universitaria y control institucional</w:t>
      </w:r>
      <w:r>
        <w:t>, con el propósito de asegurar que las decisiones estratégicas de la universidad estén respaldadas por reglas claras, información accesible, criterios objetivos y mecanismos efectivos de supervisión y rendición de cuentas.</w:t>
      </w:r>
    </w:p>
    <w:p w14:paraId="52A8D4AB" w14:textId="77777777" w:rsidR="00111F32" w:rsidRDefault="00111F32" w:rsidP="00111F32">
      <w:pPr>
        <w:pStyle w:val="NormalWeb"/>
      </w:pPr>
      <w:r>
        <w:t>La universidad avanzará hacia un modelo en el que la información institucional relevante deje de estar fragmentada, reservada o sujeta a interpretaciones discrecionales, y pase a formar parte de una cultura de gestión basada en evidencia y confianza. Esto incluye de manera explícita la transparencia en la información presupuestal, en la estructura remunerativa del alto gobierno, en los criterios de asignación de recursos y en las acciones correctivas derivadas de procesos de auditoría.</w:t>
      </w:r>
    </w:p>
    <w:p w14:paraId="31F39231" w14:textId="77777777" w:rsidR="00111F32" w:rsidRDefault="00111F32" w:rsidP="00111F32">
      <w:pPr>
        <w:pStyle w:val="NormalWeb"/>
      </w:pPr>
      <w:r>
        <w:lastRenderedPageBreak/>
        <w:t>Asimismo, se promoverá una revisión del funcionamiento de los órganos de gobierno universitario, con el fin de preservar su naturaleza colegiada, fortalecer su legitimidad representativa y asegurar que las instancias técnicas de apoyo puedan participar sin distorsionar el equilibrio deliberativo que corresponde a los órganos de decisión.</w:t>
      </w:r>
    </w:p>
    <w:p w14:paraId="683C351E" w14:textId="77777777" w:rsidR="00111F32" w:rsidRDefault="00292297" w:rsidP="00111F32">
      <w:r>
        <w:rPr>
          <w:noProof/>
        </w:rPr>
        <w:pict w14:anchorId="4A3925A6">
          <v:rect id="_x0000_i1034" alt="" style="width:468pt;height:.05pt;mso-width-percent:0;mso-height-percent:0;mso-width-percent:0;mso-height-percent:0" o:hralign="center" o:hrstd="t" o:hr="t" fillcolor="#a0a0a0" stroked="f"/>
        </w:pict>
      </w:r>
    </w:p>
    <w:p w14:paraId="68CEBF80" w14:textId="77777777" w:rsidR="00111F32" w:rsidRPr="00111F32" w:rsidRDefault="00111F32" w:rsidP="00111F32">
      <w:pPr>
        <w:pStyle w:val="Heading2"/>
        <w:rPr>
          <w:lang w:val="es-ES"/>
        </w:rPr>
      </w:pPr>
      <w:r w:rsidRPr="00111F32">
        <w:rPr>
          <w:lang w:val="es-ES"/>
        </w:rPr>
        <w:t>1. Transparencia institucional y acceso a la información</w:t>
      </w:r>
    </w:p>
    <w:p w14:paraId="5E957826" w14:textId="77777777" w:rsidR="00111F32" w:rsidRDefault="00111F32" w:rsidP="00111F32">
      <w:pPr>
        <w:pStyle w:val="NormalWeb"/>
      </w:pPr>
      <w:r>
        <w:t>La universidad establecerá una política de transparencia activa que garantice el acceso periódico, ordenado y comprensible a la información institucional relevante. Esta política comprenderá la publicación regular de información financiera agregada, presupuestos, ejecución presupuestal, compromisos institucionales, resultados de gestión y estructura remunerativa del alto gobierno universitario.</w:t>
      </w:r>
    </w:p>
    <w:p w14:paraId="272F442A" w14:textId="77777777" w:rsidR="00111F32" w:rsidRDefault="00111F32" w:rsidP="00111F32">
      <w:pPr>
        <w:pStyle w:val="NormalWeb"/>
      </w:pPr>
      <w:r>
        <w:t>En particular, se transparentarán los sueldos de las autoridades del alto gobierno. Estos montos no deben permanecer ocultos, pues se trata de información de interés institucional y de un elemento indispensable para restablecer la confianza, fortalecer la rendición de cuentas y evitar la percepción de discrecionalidad. La transparencia en este punto no tendrá un carácter punitivo ni personalista; será parte de una política general de integridad y responsabilidad institucional.</w:t>
      </w:r>
    </w:p>
    <w:p w14:paraId="5B56CA7C" w14:textId="77777777" w:rsidR="00111F32" w:rsidRDefault="00111F32" w:rsidP="00111F32">
      <w:pPr>
        <w:pStyle w:val="NormalWeb"/>
      </w:pPr>
      <w:r>
        <w:t xml:space="preserve">La universidad desarrollará un </w:t>
      </w:r>
      <w:r>
        <w:rPr>
          <w:rStyle w:val="Strong"/>
        </w:rPr>
        <w:t>Portal Institucional de Transparencia y Seguimiento de la Gestión</w:t>
      </w:r>
      <w:r>
        <w:t>, en el que se publiquen de manera periódica y estructurada los principales indicadores financieros, administrativos y estratégicos de la gestión universitaria.</w:t>
      </w:r>
    </w:p>
    <w:p w14:paraId="2BA2DEF9" w14:textId="77777777" w:rsidR="00111F32" w:rsidRDefault="00292297" w:rsidP="00111F32">
      <w:r>
        <w:rPr>
          <w:noProof/>
        </w:rPr>
        <w:pict w14:anchorId="7425D57C">
          <v:rect id="_x0000_i1033" alt="" style="width:468pt;height:.05pt;mso-width-percent:0;mso-height-percent:0;mso-width-percent:0;mso-height-percent:0" o:hralign="center" o:hrstd="t" o:hr="t" fillcolor="#a0a0a0" stroked="f"/>
        </w:pict>
      </w:r>
    </w:p>
    <w:p w14:paraId="2250CDD3" w14:textId="77777777" w:rsidR="00111F32" w:rsidRPr="00111F32" w:rsidRDefault="00111F32" w:rsidP="00111F32">
      <w:pPr>
        <w:pStyle w:val="Heading2"/>
        <w:rPr>
          <w:lang w:val="es-ES"/>
        </w:rPr>
      </w:pPr>
      <w:r w:rsidRPr="00111F32">
        <w:rPr>
          <w:lang w:val="es-ES"/>
        </w:rPr>
        <w:t>2. Ordenamiento y regulación de las remuneraciones del alto gobierno</w:t>
      </w:r>
    </w:p>
    <w:p w14:paraId="10F4E98D" w14:textId="77777777" w:rsidR="00111F32" w:rsidRDefault="00111F32" w:rsidP="00111F32">
      <w:pPr>
        <w:pStyle w:val="NormalWeb"/>
      </w:pPr>
      <w:r>
        <w:t>Las remuneraciones de las altas autoridades no podrán establecerse de manera arbitraria ni quedar sujetas exclusivamente a decisiones discrecionales del nivel de gobierno de turno. La universidad establecerá, mediante normativa interna, criterios objetivos de fijación, revisión y publicidad de las remuneraciones de rectorado y altas autoridades universitarias.</w:t>
      </w:r>
    </w:p>
    <w:p w14:paraId="1EB08E28" w14:textId="77777777" w:rsidR="00111F32" w:rsidRDefault="00111F32" w:rsidP="00111F32">
      <w:pPr>
        <w:pStyle w:val="NormalWeb"/>
      </w:pPr>
      <w:r>
        <w:t xml:space="preserve">Con ese fin, se propondrá la aprobación de una política remunerativa que incluya un </w:t>
      </w:r>
      <w:r>
        <w:rPr>
          <w:rStyle w:val="Strong"/>
        </w:rPr>
        <w:t>tope máximo institucional</w:t>
      </w:r>
      <w:r>
        <w:t xml:space="preserve">, definido en relación con la estructura salarial de la propia universidad. Como criterio inicial de ordenamiento, se plantea que la compensación mensual total de las más altas autoridades no exceda </w:t>
      </w:r>
      <w:r>
        <w:rPr>
          <w:rStyle w:val="Strong"/>
        </w:rPr>
        <w:t>seis veces la remuneración de referencia de un profesor</w:t>
      </w:r>
      <w:r>
        <w:t xml:space="preserve"> de la universidad, criterio que podrá ser afinado normativamente con precisión técnica, pero que expresa con claridad un principio de proporcionalidad, sobriedad y congruencia institucional.</w:t>
      </w:r>
    </w:p>
    <w:p w14:paraId="764A5664" w14:textId="77777777" w:rsidR="00111F32" w:rsidRDefault="00111F32" w:rsidP="00111F32">
      <w:pPr>
        <w:pStyle w:val="NormalWeb"/>
      </w:pPr>
      <w:r>
        <w:t>El propósito de esta regulación no es debilitar la capacidad de atraer buenos gestores, sino garantizar que el liderazgo universitario se ejerza dentro de márgenes compatibles con la realidad institucional, con la misión académica de la universidad y con el principio de equidad frente al conjunto de trabajadores.</w:t>
      </w:r>
    </w:p>
    <w:p w14:paraId="1CE12D92" w14:textId="77777777" w:rsidR="00111F32" w:rsidRDefault="00292297" w:rsidP="00111F32">
      <w:r>
        <w:rPr>
          <w:noProof/>
        </w:rPr>
        <w:pict w14:anchorId="1097E78E">
          <v:rect id="_x0000_i1032" alt="" style="width:468pt;height:.05pt;mso-width-percent:0;mso-height-percent:0;mso-width-percent:0;mso-height-percent:0" o:hralign="center" o:hrstd="t" o:hr="t" fillcolor="#a0a0a0" stroked="f"/>
        </w:pict>
      </w:r>
    </w:p>
    <w:p w14:paraId="059DFB9B" w14:textId="77777777" w:rsidR="00111F32" w:rsidRPr="00111F32" w:rsidRDefault="00111F32" w:rsidP="00111F32">
      <w:pPr>
        <w:pStyle w:val="Heading2"/>
        <w:rPr>
          <w:lang w:val="es-ES"/>
        </w:rPr>
      </w:pPr>
      <w:r w:rsidRPr="00111F32">
        <w:rPr>
          <w:lang w:val="es-ES"/>
        </w:rPr>
        <w:lastRenderedPageBreak/>
        <w:t>3. Fortalecimiento de la representación y naturaleza colegiada del Consejo Universitario</w:t>
      </w:r>
    </w:p>
    <w:p w14:paraId="18CA1A50" w14:textId="77777777" w:rsidR="00111F32" w:rsidRDefault="00111F32" w:rsidP="00111F32">
      <w:pPr>
        <w:pStyle w:val="NormalWeb"/>
      </w:pPr>
      <w:r>
        <w:t>La universidad promoverá una revisión del funcionamiento y composición del Consejo Universitario, con el propósito de fortalecer su naturaleza reguladora, deliberativa y representativa.</w:t>
      </w:r>
    </w:p>
    <w:p w14:paraId="1C6040F6" w14:textId="77777777" w:rsidR="00111F32" w:rsidRDefault="00111F32" w:rsidP="00111F32">
      <w:pPr>
        <w:pStyle w:val="NormalWeb"/>
      </w:pPr>
      <w:r>
        <w:t xml:space="preserve">En ese marco, se propondrá que los </w:t>
      </w:r>
      <w:r>
        <w:rPr>
          <w:rStyle w:val="Strong"/>
        </w:rPr>
        <w:t>directores universitarios</w:t>
      </w:r>
      <w:r>
        <w:t xml:space="preserve">, en tanto cargos de confianza designados por el Rectorado y responsables de aportar sustento técnico a la gestión, puedan participar en las sesiones del Consejo Universitario </w:t>
      </w:r>
      <w:r>
        <w:rPr>
          <w:rStyle w:val="Strong"/>
        </w:rPr>
        <w:t>con voz pero sin derecho a voto</w:t>
      </w:r>
      <w:r>
        <w:t>. Esta medida permitirá aprovechar mejor su conocimiento especializado sin alterar la naturaleza colegiada del órgano ni concentrar indebidamente la capacidad de decisión en cargos de designación directa.</w:t>
      </w:r>
    </w:p>
    <w:p w14:paraId="33A8E54D" w14:textId="77777777" w:rsidR="00111F32" w:rsidRDefault="00111F32" w:rsidP="00111F32">
      <w:pPr>
        <w:pStyle w:val="NormalWeb"/>
      </w:pPr>
      <w:r>
        <w:t xml:space="preserve">Asimismo, se promoverá un esquema de representación más amplio de las facultades, de modo que </w:t>
      </w:r>
      <w:r>
        <w:rPr>
          <w:rStyle w:val="Strong"/>
        </w:rPr>
        <w:t>cada facultad cuente con la participación de un profesor representante y un estudiante representante</w:t>
      </w:r>
      <w:r>
        <w:t>, fortaleciendo así el vínculo entre los órganos de gobierno y la vida real de las unidades académicas. Esta propuesta requerirá la revisión normativa o estatutaria correspondiente, y deberá ser implementada de manera técnicamente ordenada, pero expresa una convicción clara: la universidad necesita órganos de gobierno más representativos, más conectados con la comunidad y más legitimados en sus decisiones.</w:t>
      </w:r>
    </w:p>
    <w:p w14:paraId="71717CD5" w14:textId="77777777" w:rsidR="00111F32" w:rsidRDefault="00292297" w:rsidP="00111F32">
      <w:r>
        <w:rPr>
          <w:noProof/>
        </w:rPr>
        <w:pict w14:anchorId="335B295C">
          <v:rect id="_x0000_i1031" alt="" style="width:468pt;height:.05pt;mso-width-percent:0;mso-height-percent:0;mso-width-percent:0;mso-height-percent:0" o:hralign="center" o:hrstd="t" o:hr="t" fillcolor="#a0a0a0" stroked="f"/>
        </w:pict>
      </w:r>
    </w:p>
    <w:p w14:paraId="29CEEA9F" w14:textId="77777777" w:rsidR="00111F32" w:rsidRPr="00111F32" w:rsidRDefault="00111F32" w:rsidP="00111F32">
      <w:pPr>
        <w:pStyle w:val="Heading2"/>
        <w:rPr>
          <w:lang w:val="es-ES"/>
        </w:rPr>
      </w:pPr>
      <w:r w:rsidRPr="00111F32">
        <w:rPr>
          <w:lang w:val="es-ES"/>
        </w:rPr>
        <w:t>4. Auditoría integral y fortalecimiento del control institucional</w:t>
      </w:r>
    </w:p>
    <w:p w14:paraId="020B9754" w14:textId="77777777" w:rsidR="00111F32" w:rsidRDefault="00111F32" w:rsidP="00111F32">
      <w:pPr>
        <w:pStyle w:val="NormalWeb"/>
      </w:pPr>
      <w:r>
        <w:t xml:space="preserve">La universidad impulsará una </w:t>
      </w:r>
      <w:r>
        <w:rPr>
          <w:rStyle w:val="Strong"/>
        </w:rPr>
        <w:t>auditoría integral en todos sus niveles</w:t>
      </w:r>
      <w:r>
        <w:t>, incluyendo de manera explícita una auditoría financiera. Esta auditoría tendrá alcance amplio y comprenderá, según corresponda, la revisión de aspectos financieros, administrativos, laborales, contractuales, patrimoniales, operativos y de gestión.</w:t>
      </w:r>
    </w:p>
    <w:p w14:paraId="11B92286" w14:textId="77777777" w:rsidR="00111F32" w:rsidRDefault="00111F32" w:rsidP="00111F32">
      <w:pPr>
        <w:pStyle w:val="NormalWeb"/>
      </w:pPr>
      <w:r>
        <w:t>El objetivo no será instalar una lógica persecutoria, sino obtener una línea de base clara sobre la situación institucional, identificar debilidades, riesgos y desajustes acumulados, y construir a partir de ello un plan de corrección, fortalecimiento y mejora continua. La universidad no puede proyectarse con seriedad hacia el futuro sin una comprensión honesta y técnica de su situación presente.</w:t>
      </w:r>
    </w:p>
    <w:p w14:paraId="066E1A38" w14:textId="77777777" w:rsidR="00111F32" w:rsidRDefault="00111F32" w:rsidP="00111F32">
      <w:pPr>
        <w:pStyle w:val="NormalWeb"/>
      </w:pPr>
      <w:r>
        <w:t xml:space="preserve">Los resultados de esta auditoría serán procesados institucionalmente y se traducirán en un </w:t>
      </w:r>
      <w:r>
        <w:rPr>
          <w:rStyle w:val="Strong"/>
        </w:rPr>
        <w:t>Plan de Regularización y Mejora</w:t>
      </w:r>
      <w:r>
        <w:t>, con plazos, responsables e indicadores. De este modo, la auditoría no será un fin en sí mismo, sino el punto de partida para una gestión más ordenada y responsable.</w:t>
      </w:r>
    </w:p>
    <w:p w14:paraId="48F08EEA" w14:textId="77777777" w:rsidR="00111F32" w:rsidRDefault="00292297" w:rsidP="00111F32">
      <w:r>
        <w:rPr>
          <w:noProof/>
        </w:rPr>
        <w:pict w14:anchorId="799265C5">
          <v:rect id="_x0000_i1030" alt="" style="width:468pt;height:.05pt;mso-width-percent:0;mso-height-percent:0;mso-width-percent:0;mso-height-percent:0" o:hralign="center" o:hrstd="t" o:hr="t" fillcolor="#a0a0a0" stroked="f"/>
        </w:pict>
      </w:r>
    </w:p>
    <w:p w14:paraId="4FA7862B" w14:textId="77777777" w:rsidR="00111F32" w:rsidRPr="00111F32" w:rsidRDefault="00111F32" w:rsidP="00111F32">
      <w:pPr>
        <w:pStyle w:val="Heading2"/>
        <w:rPr>
          <w:lang w:val="es-ES"/>
        </w:rPr>
      </w:pPr>
      <w:r w:rsidRPr="00111F32">
        <w:rPr>
          <w:lang w:val="es-ES"/>
        </w:rPr>
        <w:t>5. Finanzas al servicio de la misión universitaria</w:t>
      </w:r>
    </w:p>
    <w:p w14:paraId="68D2ED52" w14:textId="77777777" w:rsidR="00111F32" w:rsidRDefault="00111F32" w:rsidP="00111F32">
      <w:pPr>
        <w:pStyle w:val="NormalWeb"/>
      </w:pPr>
      <w:r>
        <w:t>La sostenibilidad financiera será entendida como un medio para asegurar la continuidad y la calidad de la misión universitaria. La política financiera institucional estará orientada a garantizar que los recursos de la universidad se asignen con criterios estratégicos, priorizando el fortalecimiento académico, la investigación, la formación de estudiantes, la renovación del cuerpo docente, la infraestructura crítica y las funciones sustantivas que definen la identidad de la UPCH.</w:t>
      </w:r>
    </w:p>
    <w:p w14:paraId="7EE74A7C" w14:textId="77777777" w:rsidR="00111F32" w:rsidRDefault="00111F32" w:rsidP="00111F32">
      <w:pPr>
        <w:pStyle w:val="NormalWeb"/>
      </w:pPr>
      <w:r>
        <w:lastRenderedPageBreak/>
        <w:t>En este sentido, la universidad promoverá una gestión financiera sobria, transparente y planificada, con mayor disciplina presupuestal, mejor evaluación de prioridades, control del gasto innecesario y criterios más claros para la asignación de recursos entre unidades, programas e inversiones.</w:t>
      </w:r>
    </w:p>
    <w:p>
      <w:pPr>
        <w:pStyle w:val="Heading3"/>
      </w:pPr>
      <w:r>
        <w:t>5.1 Diversificación de fuentes de ingreso</w:t>
      </w:r>
    </w:p>
    <w:p>
      <w:pPr/>
      <w:r>
        <w:t>La sostenibilidad financiera de la universidad exige reducir la dependencia excesiva de una sola fuente de ingresos y avanzar hacia un modelo más diversificado, resiliente y estratégicamente orientado. En el caso de la UPCH, esta estrategia deberá apoyarse en el fortalecimiento del posgrado y la educación continua, el desarrollo de servicios especializados de alto valor académico y técnico, la expansión de la investigación financiada con reglas claras de reinversión, la transferencia tecnológica, la articulación con el sector productivo, el fortalecimiento del vínculo con egresados y la búsqueda activa de alianzas filantrópicas e institucionales. La diversificación del ingreso deberá gestionarse con criterios de coherencia misional, estabilidad y sostenibilidad, evitando sustituir una dependencia por otra.</w:t>
      </w:r>
    </w:p>
    <w:p>
      <w:pPr>
        <w:pStyle w:val="Heading3"/>
      </w:pPr>
      <w:r>
        <w:t>5.2 Optimización y eficiencia del gasto</w:t>
      </w:r>
    </w:p>
    <w:p>
      <w:pPr/>
      <w:r>
        <w:t>La sostenibilidad institucional no depende únicamente de captar más recursos, sino también de administrar mejor los existentes. La universidad impulsará una política de eficiencia orientada a proteger las funciones misionales y a reducir el gasto improductivo, mediante la automatización de procesos, la centralización inteligente de servicios de soporte, la revisión periódica del uso de infraestructura, la mejora del control presupuestal y la evaluación continua del portafolio académico y administrativo. Este enfoque incluirá también medidas de ecoeficiencia y sostenibilidad operativa, orientadas a reducir costos recurrentes y a fortalecer la responsabilidad ambiental institucional.</w:t>
      </w:r>
    </w:p>
    <w:p>
      <w:pPr>
        <w:pStyle w:val="Heading3"/>
      </w:pPr>
      <w:r>
        <w:t>5.3 Modernización y automatización de procesos institucionales</w:t>
      </w:r>
    </w:p>
    <w:p>
      <w:pPr/>
      <w:r>
        <w:t>La universidad desarrollará una agenda de modernización y automatización de procesos orientada a reducir tiempos, errores, duplicidades y cargas administrativas innecesarias. Esta transformación priorizará aquellos procedimientos que afectan de manera más directa la experiencia académica, laboral y administrativa de la comunidad universitaria, entre ellos la matrícula y programación académica, convalidaciones y equivalencias, aprobación y actualización de sílabos, pagos y reembolsos, compras y contrataciones, asignación de carga docente, trámites de investigación y convenios, gestión de personal, licencias y vacaciones, soporte estudiantil y seguimiento de expedientes. La automatización será entendida como una herramienta para fortalecer la eficiencia institucional, liberar capacidad operativa y mejorar la calidad del servicio.</w:t>
      </w:r>
    </w:p>
    <w:p>
      <w:pPr>
        <w:pStyle w:val="Heading3"/>
      </w:pPr>
      <w:r>
        <w:t>5.4 Gestión moderna del trabajo administrativo y relaciones laborales</w:t>
      </w:r>
    </w:p>
    <w:p>
      <w:pPr/>
      <w:r>
        <w:t>La universidad promoverá una política de fortalecimiento del trabajo administrativo y de mejora de las relaciones laborales, basada en diálogo institucional, profesionalización de la gestión de personas y mecanismos permanentes de prevención y resolución de conflictos. Esta política partirá del reconocimiento de que el personal administrativo constituye una pieza esencial para el funcionamiento universitario y de que una gestión moderna no puede sostenerse sobre relaciones laborales deterioradas, poco transparentes o exclusivamente reactivas. Se fortalecerá una instancia especializada de relaciones laborales, se capacitará a jefaturas y supervisores para la conducción de equipos en entornos sindicalizados y se crearán espacios regulares de diálogo con representación administrativa, con el fin de construir una cultura institucional más productiva, respetuosa y orientada a la solución de problemas. La universidad promoverá además criterios más claros para la asignación y rotación de funciones administrativas, evitando la reproducción de prácticas arbitrarias o poco funcionales para la calidad del servicio.</w:t>
      </w:r>
    </w:p>
    <w:p>
      <w:pPr>
        <w:pStyle w:val="Heading3"/>
      </w:pPr>
      <w:r>
        <w:t>5.5 Gobernanza financiera y decisiones basadas en datos</w:t>
      </w:r>
    </w:p>
    <w:p>
      <w:pPr/>
      <w:r>
        <w:t>Una gestión financiera moderna requiere información oportuna, comparable y útil para la toma de decisiones. La universidad establecerá mecanismos de monitoreo permanente de su salud financiera mediante tableros de control, indicadores clave de desempeño y reportes periódicos que permitan evaluar liquidez, estructura de ingresos, eficiencia del gasto, presión de deuda, inversión estratégica y cumplimiento presupuestal. La transparencia y la rendición de cuentas serán componentes inseparables de esta gobernanza financiera, de modo que la comunidad universitaria pueda comprender cómo se asignan, ejecutan y reinvierten los recursos.</w:t>
      </w:r>
    </w:p>
    <w:p>
      <w:pPr>
        <w:pStyle w:val="Heading3"/>
      </w:pPr>
      <w:r>
        <w:t>5.6 Retención estudiantil y sostenibilidad académica</w:t>
      </w:r>
    </w:p>
    <w:p>
      <w:pPr/>
      <w:r>
        <w:t>La sostenibilidad financiera también depende de la capacidad de la universidad para acompañar y retener a sus estudiantes. Por ello, la política financiera institucional reconocerá que invertir en apoyo académico, tutoría, bienestar estudiantil, transición al primer año, calidad docente y trayectorias formativas flexibles no constituye un gasto periférico, sino una inversión clave para la estabilidad de la matrícula, la permanencia y la legitimidad de la misión universitaria. Del mismo modo, la expansión ordenada de modalidades híbridas o virtuales, especialmente en posgrado y educación continua, deberá entenderse como una estrategia de sostenibilidad y alcance, siempre que preserve la calidad formativa.</w:t>
      </w:r>
    </w:p>
    <w:p>
      <w:pPr>
        <w:pStyle w:val="Heading3"/>
      </w:pPr>
      <w:r>
        <w:t>5.7 Sostenibilidad, patrimonio y responsabilidad institucional</w:t>
      </w:r>
    </w:p>
    <w:p>
      <w:pPr/>
      <w:r>
        <w:t>La universidad fortalecerá una visión de sostenibilidad que integre dimensión financiera, responsabilidad social, uso estratégico del patrimonio y alineamiento con estándares contemporáneos de gobernanza institucional. Este enfoque implicará poner en valor los activos institucionales, revisar sus usos y retornos, priorizar inversiones de alto impacto académico y social, y asegurar que las decisiones patrimoniales respondan a una visión universitaria de largo plazo.</w:t>
      </w:r>
    </w:p>
    <w:p w14:paraId="0A21863D" w14:textId="77777777" w:rsidR="00111F32" w:rsidRDefault="00292297" w:rsidP="00111F32">
      <w:r>
        <w:rPr>
          <w:noProof/>
        </w:rPr>
        <w:pict w14:anchorId="5BBEE02E">
          <v:rect id="_x0000_i1029" alt="" style="width:468pt;height:.05pt;mso-width-percent:0;mso-height-percent:0;mso-width-percent:0;mso-height-percent:0" o:hralign="center" o:hrstd="t" o:hr="t" fillcolor="#a0a0a0" stroked="f"/>
        </w:pict>
      </w:r>
    </w:p>
    <w:p w14:paraId="43278A22" w14:textId="77777777" w:rsidR="00111F32" w:rsidRPr="00111F32" w:rsidRDefault="00111F32" w:rsidP="00111F32">
      <w:pPr>
        <w:pStyle w:val="Heading1"/>
        <w:rPr>
          <w:lang w:val="es-ES"/>
        </w:rPr>
      </w:pPr>
      <w:r w:rsidRPr="00111F32">
        <w:rPr>
          <w:lang w:val="es-ES"/>
        </w:rPr>
        <w:t>Ruta de implementación a cuatro años</w:t>
      </w:r>
    </w:p>
    <w:p w14:paraId="5EEB0820" w14:textId="77777777" w:rsidR="00111F32" w:rsidRPr="00111F32" w:rsidRDefault="00111F32" w:rsidP="00111F32">
      <w:pPr>
        <w:pStyle w:val="Heading2"/>
        <w:rPr>
          <w:lang w:val="es-ES"/>
        </w:rPr>
      </w:pPr>
      <w:r w:rsidRPr="00111F32">
        <w:rPr>
          <w:lang w:val="es-ES"/>
        </w:rPr>
        <w:t>Componente de Buen Gobierno, Transparencia y Sostenibilidad Financiera</w:t>
      </w:r>
    </w:p>
    <w:p w14:paraId="79A3A24A" w14:textId="77777777" w:rsidR="00111F32" w:rsidRPr="00111F32" w:rsidRDefault="00111F32" w:rsidP="00111F32">
      <w:pPr>
        <w:pStyle w:val="Heading2"/>
        <w:rPr>
          <w:lang w:val="es-ES"/>
        </w:rPr>
      </w:pPr>
      <w:r w:rsidRPr="00111F32">
        <w:rPr>
          <w:lang w:val="es-ES"/>
        </w:rPr>
        <w:t>Primeros 100 días</w:t>
      </w:r>
    </w:p>
    <w:p w14:paraId="1595FBF4" w14:textId="77777777" w:rsidR="00111F32" w:rsidRDefault="00111F32" w:rsidP="00111F32">
      <w:pPr>
        <w:pStyle w:val="NormalWeb"/>
      </w:pPr>
      <w:r>
        <w:t>Durante los primeros cien días se instalará la estructura de conducción del proceso. Se conformará una Comisión de Buen Gobierno, Transparencia y Sostenibilidad Financiera, presidida por el Rectorado e integrada por representantes del nivel de gobierno, administración, asesoría legal y unidades técnicas pertinentes. Esta comisión tendrá la responsabilidad de coordinar la ejecución de las acciones iniciales, revisar el estado de la información institucional disponible, definir prioridades inmediatas y conducir el proceso de ordenamiento normativo. En esta fase se iniciará además un mapeo institucional de procesos críticos susceptibles de automatización y simplificación, así como un diagnóstico de relaciones laborales y funcionamiento administrativo orientado a identificar cuellos de botella, focos de conflicto y oportunidades de mejora.</w:t>
      </w:r>
    </w:p>
    <w:p w14:paraId="35EF77EA" w14:textId="77777777" w:rsidR="00111F32" w:rsidRDefault="00111F32" w:rsidP="00111F32">
      <w:pPr>
        <w:pStyle w:val="NormalWeb"/>
      </w:pPr>
      <w:r>
        <w:t>En este mismo periodo se iniciará la auditoría integral institucional, incluyendo su componente financiero, mediante la contratación o activación de una instancia técnica independiente con capacidad suficiente para emitir un diagnóstico sólido. Paralelamente, se dispondrá el levantamiento y sistematización de la información relativa a remuneraciones del alto gobierno, estructura presupuestal, compromisos financieros, contratos relevantes, principales flujos administrativos y estado de los sistemas de soporte.</w:t>
      </w:r>
    </w:p>
    <w:p w14:paraId="3ED80F4B" w14:textId="77777777" w:rsidR="00111F32" w:rsidRDefault="00111F32" w:rsidP="00111F32">
      <w:pPr>
        <w:pStyle w:val="NormalWeb"/>
      </w:pPr>
      <w:r>
        <w:t>Asimismo, en esta fase se elaborará el borrador de la política institucional de transparencia, incluyendo los contenidos que deberán publicarse, la periodicidad de actualización y la estructura básica del portal institucional de transparencia. Se iniciará también la revisión normativa preliminar necesaria para sustentar los cambios propuestos respecto al Consejo Universitario, la regulación de remuneraciones del alto gobierno, la modernización de procesos y la mejora de la gestión del trabajo administrativo.</w:t>
      </w:r>
    </w:p>
    <w:p w14:paraId="01CF8E6F" w14:textId="77777777" w:rsidR="00111F32" w:rsidRPr="00111F32" w:rsidRDefault="00111F32" w:rsidP="00111F32">
      <w:pPr>
        <w:pStyle w:val="Heading3"/>
        <w:rPr>
          <w:lang w:val="es-ES"/>
        </w:rPr>
      </w:pPr>
      <w:r w:rsidRPr="00111F32">
        <w:rPr>
          <w:lang w:val="es-ES"/>
        </w:rPr>
        <w:t>Responsables</w:t>
      </w:r>
    </w:p>
    <w:p w14:paraId="1297F82B" w14:textId="77777777" w:rsidR="00111F32" w:rsidRDefault="00111F32" w:rsidP="00111F32">
      <w:pPr>
        <w:pStyle w:val="NormalWeb"/>
      </w:pPr>
      <w:r>
        <w:t>Rectorado, Secretaría General, Gerencia General/Administración, Asesoría Jurídica, Comisión de Buen Gobierno.</w:t>
      </w:r>
    </w:p>
    <w:p w14:paraId="6B1833CE" w14:textId="77777777" w:rsidR="00111F32" w:rsidRPr="00111F32" w:rsidRDefault="00111F32" w:rsidP="00111F32">
      <w:pPr>
        <w:pStyle w:val="Heading3"/>
        <w:rPr>
          <w:lang w:val="es-ES"/>
        </w:rPr>
      </w:pPr>
      <w:r w:rsidRPr="00111F32">
        <w:rPr>
          <w:lang w:val="es-ES"/>
        </w:rPr>
        <w:t>Instancia de conducción</w:t>
      </w:r>
    </w:p>
    <w:p w14:paraId="1A8860CC" w14:textId="77777777" w:rsidR="00111F32" w:rsidRDefault="00111F32" w:rsidP="00111F32">
      <w:pPr>
        <w:pStyle w:val="NormalWeb"/>
      </w:pPr>
      <w:r>
        <w:t>Comisión de Buen Gobierno, Transparencia y Sostenibilidad Financiera, con reporte al Consejo Universitario.</w:t>
      </w:r>
    </w:p>
    <w:p w14:paraId="7CF6286E" w14:textId="77777777" w:rsidR="00111F32" w:rsidRDefault="00111F32" w:rsidP="00111F32">
      <w:pPr>
        <w:pStyle w:val="Heading3"/>
      </w:pPr>
      <w:r>
        <w:t>Indicadores de esta fase</w:t>
      </w:r>
    </w:p>
    <w:p w14:paraId="0A79F841" w14:textId="77777777" w:rsidR="00111F32" w:rsidRDefault="00111F32" w:rsidP="00111F32">
      <w:pPr>
        <w:pStyle w:val="NormalWeb"/>
        <w:numPr>
          <w:ilvl w:val="0"/>
          <w:numId w:val="10"/>
        </w:numPr>
      </w:pPr>
      <w:r>
        <w:t>Comisión instalada y plan de trabajo aprobado.</w:t>
      </w:r>
    </w:p>
    <w:p w14:paraId="0435857F" w14:textId="77777777" w:rsidR="00111F32" w:rsidRDefault="00111F32" w:rsidP="00111F32">
      <w:pPr>
        <w:pStyle w:val="NormalWeb"/>
        <w:numPr>
          <w:ilvl w:val="0"/>
          <w:numId w:val="10"/>
        </w:numPr>
      </w:pPr>
      <w:r>
        <w:t>Auditoría integral contratada o activada formalmente.</w:t>
      </w:r>
    </w:p>
    <w:p w14:paraId="144F0F3D" w14:textId="77777777" w:rsidR="00111F32" w:rsidRDefault="00111F32" w:rsidP="00111F32">
      <w:pPr>
        <w:pStyle w:val="NormalWeb"/>
        <w:numPr>
          <w:ilvl w:val="0"/>
          <w:numId w:val="10"/>
        </w:numPr>
      </w:pPr>
      <w:r>
        <w:t>Línea de base de remuneraciones y estructura financiera elaborada.</w:t>
      </w:r>
    </w:p>
    <w:p w14:paraId="3808502E" w14:textId="77777777" w:rsidR="00111F32" w:rsidRDefault="00111F32" w:rsidP="00111F32">
      <w:pPr>
        <w:pStyle w:val="NormalWeb"/>
        <w:numPr>
          <w:ilvl w:val="0"/>
          <w:numId w:val="10"/>
        </w:numPr>
      </w:pPr>
      <w:r>
        <w:t>Borrador de política de transparencia preparado.</w:t>
      </w:r>
    </w:p>
    <w:p w14:paraId="31F8D751" w14:textId="77777777" w:rsidR="00111F32" w:rsidRDefault="00111F32" w:rsidP="00111F32">
      <w:pPr>
        <w:pStyle w:val="NormalWeb"/>
        <w:numPr>
          <w:ilvl w:val="0"/>
          <w:numId w:val="10"/>
        </w:numPr>
      </w:pPr>
      <w:r>
        <w:t>Diagnóstico normativo preliminar sobre gobierno universitario concluido.</w:t>
      </w:r>
    </w:p>
    <w:p>
      <w:pPr/>
      <w:r>
        <w:t>Mapa institucional de procesos críticos elaborado.</w:t>
      </w:r>
    </w:p>
    <w:p>
      <w:pPr/>
      <w:r>
        <w:t>Diagnóstico de relaciones laborales y funcionamiento administrativo concluido.</w:t>
      </w:r>
    </w:p>
    <w:p w14:paraId="326919C4" w14:textId="77777777" w:rsidR="00111F32" w:rsidRDefault="00292297" w:rsidP="00111F32">
      <w:r>
        <w:rPr>
          <w:noProof/>
        </w:rPr>
        <w:lastRenderedPageBreak/>
        <w:pict w14:anchorId="385B4346">
          <v:rect id="_x0000_i1028" alt="" style="width:468pt;height:.05pt;mso-width-percent:0;mso-height-percent:0;mso-width-percent:0;mso-height-percent:0" o:hralign="center" o:hrstd="t" o:hr="t" fillcolor="#a0a0a0" stroked="f"/>
        </w:pict>
      </w:r>
    </w:p>
    <w:p w14:paraId="050E37CB" w14:textId="77777777" w:rsidR="00111F32" w:rsidRPr="00111F32" w:rsidRDefault="00111F32" w:rsidP="00111F32">
      <w:pPr>
        <w:pStyle w:val="Heading2"/>
        <w:rPr>
          <w:lang w:val="es-ES"/>
        </w:rPr>
      </w:pPr>
      <w:r w:rsidRPr="00111F32">
        <w:rPr>
          <w:lang w:val="es-ES"/>
        </w:rPr>
        <w:t>Primer año</w:t>
      </w:r>
    </w:p>
    <w:p w14:paraId="0D7F1415" w14:textId="77777777" w:rsidR="00111F32" w:rsidRDefault="00111F32" w:rsidP="00111F32">
      <w:pPr>
        <w:pStyle w:val="NormalWeb"/>
      </w:pPr>
      <w:r>
        <w:t>Durante el primer año se deberá pasar del diagnóstico al ordenamiento institucional. La prioridad será convertir la información levantada y los hallazgos de auditoría en decisiones concretas. Se presentará y aprobará la política institucional de transparencia, junto con la puesta en funcionamiento del portal correspondiente. En paralelo, se presentará una propuesta normativa para regular la fijación de remuneraciones del alto gobierno, incluyendo criterios de publicidad y el principio de tope institucional. En esta misma etapa se aprobará una hoja de ruta para la automatización de procesos críticos y para el fortalecimiento de la gestión administrativa y laboral.</w:t>
      </w:r>
    </w:p>
    <w:p w14:paraId="5F3218FB" w14:textId="77777777" w:rsidR="00111F32" w:rsidRDefault="00111F32" w:rsidP="00111F32">
      <w:pPr>
        <w:pStyle w:val="NormalWeb"/>
      </w:pPr>
      <w:r>
        <w:t>En esta misma etapa se revisarán los resultados preliminares de la auditoría y se formulará el Plan de Regularización y Mejora, con responsabilidades específicas, cronograma y metas verificables. Este plan deberá incluir medidas correctivas inmediatas, acciones de fortalecimiento del control interno, mejoras de eficiencia, simplificación administrativa y mecanismos de seguimiento periódico.</w:t>
      </w:r>
    </w:p>
    <w:p w14:paraId="1FF54D98" w14:textId="77777777" w:rsidR="00111F32" w:rsidRDefault="00111F32" w:rsidP="00111F32">
      <w:pPr>
        <w:pStyle w:val="NormalWeb"/>
      </w:pPr>
      <w:r>
        <w:t>Además, se elaborará la propuesta de reforma o adecuación normativa orientada a fortalecer la naturaleza colegiada del Consejo Universitario, incorporar el principio de participación de directores con voz pero sin voto, ampliar la representación por facultades y mejorar el marco institucional para la gestión de relaciones laborales y la asignación transparente de responsabilidades administrativas.</w:t>
      </w:r>
    </w:p>
    <w:p w14:paraId="20AE9617" w14:textId="77777777" w:rsidR="00111F32" w:rsidRPr="00111F32" w:rsidRDefault="00111F32" w:rsidP="00111F32">
      <w:pPr>
        <w:pStyle w:val="Heading3"/>
        <w:rPr>
          <w:lang w:val="es-ES"/>
        </w:rPr>
      </w:pPr>
      <w:r w:rsidRPr="00111F32">
        <w:rPr>
          <w:lang w:val="es-ES"/>
        </w:rPr>
        <w:t>Responsables</w:t>
      </w:r>
    </w:p>
    <w:p w14:paraId="64C0A9F9" w14:textId="77777777" w:rsidR="00111F32" w:rsidRDefault="00111F32" w:rsidP="00111F32">
      <w:pPr>
        <w:pStyle w:val="NormalWeb"/>
      </w:pPr>
      <w:r>
        <w:t>Rectorado, Consejo Universitario, Secretaría General, Comisión de Buen Gobierno, Asesoría Jurídica, Administración.</w:t>
      </w:r>
    </w:p>
    <w:p w14:paraId="4E45A972" w14:textId="77777777" w:rsidR="00111F32" w:rsidRPr="00111F32" w:rsidRDefault="00111F32" w:rsidP="00111F32">
      <w:pPr>
        <w:pStyle w:val="Heading3"/>
        <w:rPr>
          <w:lang w:val="es-ES"/>
        </w:rPr>
      </w:pPr>
      <w:r w:rsidRPr="00111F32">
        <w:rPr>
          <w:lang w:val="es-ES"/>
        </w:rPr>
        <w:t>Instancia de conducción</w:t>
      </w:r>
    </w:p>
    <w:p w14:paraId="61825B25" w14:textId="77777777" w:rsidR="00111F32" w:rsidRDefault="00111F32" w:rsidP="00111F32">
      <w:pPr>
        <w:pStyle w:val="NormalWeb"/>
      </w:pPr>
      <w:r>
        <w:t>Consejo Universitario, con apoyo técnico de la Comisión de Buen Gobierno.</w:t>
      </w:r>
    </w:p>
    <w:p w14:paraId="60EF8763" w14:textId="77777777" w:rsidR="00111F32" w:rsidRDefault="00111F32" w:rsidP="00111F32">
      <w:pPr>
        <w:pStyle w:val="Heading3"/>
      </w:pPr>
      <w:r>
        <w:t>Indicadores de esta fase</w:t>
      </w:r>
    </w:p>
    <w:p w14:paraId="6029BED9" w14:textId="77777777" w:rsidR="00111F32" w:rsidRDefault="00111F32" w:rsidP="00111F32">
      <w:pPr>
        <w:pStyle w:val="NormalWeb"/>
        <w:numPr>
          <w:ilvl w:val="0"/>
          <w:numId w:val="11"/>
        </w:numPr>
      </w:pPr>
      <w:r>
        <w:t>Política institucional de transparencia aprobada.</w:t>
      </w:r>
    </w:p>
    <w:p w14:paraId="3C8B7B86" w14:textId="77777777" w:rsidR="00111F32" w:rsidRDefault="00111F32" w:rsidP="00111F32">
      <w:pPr>
        <w:pStyle w:val="NormalWeb"/>
        <w:numPr>
          <w:ilvl w:val="0"/>
          <w:numId w:val="11"/>
        </w:numPr>
      </w:pPr>
      <w:r>
        <w:t>Portal institucional de transparencia implementado.</w:t>
      </w:r>
    </w:p>
    <w:p w14:paraId="4E0EA4B6" w14:textId="77777777" w:rsidR="00111F32" w:rsidRDefault="00111F32" w:rsidP="00111F32">
      <w:pPr>
        <w:pStyle w:val="NormalWeb"/>
        <w:numPr>
          <w:ilvl w:val="0"/>
          <w:numId w:val="11"/>
        </w:numPr>
      </w:pPr>
      <w:r>
        <w:t>Propuesta normativa sobre remuneraciones del alto gobierno presentada.</w:t>
      </w:r>
    </w:p>
    <w:p w14:paraId="22D1BC93" w14:textId="77777777" w:rsidR="00111F32" w:rsidRDefault="00111F32" w:rsidP="00111F32">
      <w:pPr>
        <w:pStyle w:val="NormalWeb"/>
        <w:numPr>
          <w:ilvl w:val="0"/>
          <w:numId w:val="11"/>
        </w:numPr>
      </w:pPr>
      <w:r>
        <w:t>Informe de auditoría recibido y plan de mejora aprobado.</w:t>
      </w:r>
    </w:p>
    <w:p w14:paraId="633C20CD" w14:textId="77777777" w:rsidR="00111F32" w:rsidRDefault="00111F32" w:rsidP="00111F32">
      <w:pPr>
        <w:pStyle w:val="NormalWeb"/>
        <w:numPr>
          <w:ilvl w:val="0"/>
          <w:numId w:val="11"/>
        </w:numPr>
      </w:pPr>
      <w:r>
        <w:t>Propuesta de reforma de gobernanza universitaria formulada y sustentada.</w:t>
      </w:r>
    </w:p>
    <w:p>
      <w:pPr/>
      <w:r>
        <w:t>Hoja de ruta de automatización de procesos aprobada.</w:t>
      </w:r>
    </w:p>
    <w:p>
      <w:pPr/>
      <w:r>
        <w:t>Plan de fortalecimiento de la gestión administrativa y laboral formulado.</w:t>
      </w:r>
    </w:p>
    <w:p w14:paraId="14C34AAB" w14:textId="77777777" w:rsidR="00111F32" w:rsidRDefault="00292297" w:rsidP="00111F32">
      <w:r>
        <w:rPr>
          <w:noProof/>
        </w:rPr>
        <w:pict w14:anchorId="3D7E4FBF">
          <v:rect id="_x0000_i1027" alt="" style="width:468pt;height:.05pt;mso-width-percent:0;mso-height-percent:0;mso-width-percent:0;mso-height-percent:0" o:hralign="center" o:hrstd="t" o:hr="t" fillcolor="#a0a0a0" stroked="f"/>
        </w:pict>
      </w:r>
    </w:p>
    <w:p w14:paraId="23142EB5" w14:textId="77777777" w:rsidR="00111F32" w:rsidRPr="00111F32" w:rsidRDefault="00111F32" w:rsidP="00111F32">
      <w:pPr>
        <w:pStyle w:val="Heading2"/>
        <w:rPr>
          <w:lang w:val="es-ES"/>
        </w:rPr>
      </w:pPr>
      <w:r w:rsidRPr="00111F32">
        <w:rPr>
          <w:lang w:val="es-ES"/>
        </w:rPr>
        <w:t>Segundo año</w:t>
      </w:r>
    </w:p>
    <w:p w14:paraId="58508C27" w14:textId="77777777" w:rsidR="00111F32" w:rsidRDefault="00111F32" w:rsidP="00111F32">
      <w:pPr>
        <w:pStyle w:val="NormalWeb"/>
      </w:pPr>
      <w:r>
        <w:t>Durante el segundo año la prioridad será la implementación efectiva de las medidas aprobadas. Esto incluye la aplicación de la política de transparencia, la publicación periódica de la información relevante, la ejecución del plan de mejora derivado de la auditoría, el inicio de la automatización de procesos prioritarios y el avance en la regulación de remuneraciones y del funcionamiento del Consejo Universitario. También será el momento de institucionalizar espacios regulares de diálogo y mejora con el personal administrativo y sus representaciones.</w:t>
      </w:r>
    </w:p>
    <w:p w14:paraId="251D8910" w14:textId="77777777" w:rsidR="00111F32" w:rsidRDefault="00111F32" w:rsidP="00111F32">
      <w:pPr>
        <w:pStyle w:val="NormalWeb"/>
      </w:pPr>
      <w:r>
        <w:t>Será también el momento de introducir mecanismos estables de seguimiento trimestral, mediante tableros de control y reportes internos de cumplimiento. La universidad deberá demostrar que el buen gobierno no se reduce a una fase inicial de diagnóstico, sino que se convierte en una práctica habitual de gestión, apoyada en información, tecnología y reglas claras.</w:t>
      </w:r>
    </w:p>
    <w:p w14:paraId="791FFCEE" w14:textId="77777777" w:rsidR="00111F32" w:rsidRDefault="00111F32" w:rsidP="00111F32">
      <w:pPr>
        <w:pStyle w:val="NormalWeb"/>
      </w:pPr>
      <w:r>
        <w:t>En esta fase convendrá además fortalecer los procedimientos presupuestales, revisar criterios de asignación de recursos, establecer controles más claros sobre decisiones con impacto financiero significativo y evaluar el impacto de las mejoras en eficiencia, automatización y clima laboral sobre la capacidad institucional de respuesta.</w:t>
      </w:r>
    </w:p>
    <w:p w14:paraId="5B3739A9" w14:textId="77777777" w:rsidR="00111F32" w:rsidRPr="00111F32" w:rsidRDefault="00111F32" w:rsidP="00111F32">
      <w:pPr>
        <w:pStyle w:val="Heading3"/>
        <w:rPr>
          <w:lang w:val="es-ES"/>
        </w:rPr>
      </w:pPr>
      <w:r w:rsidRPr="00111F32">
        <w:rPr>
          <w:lang w:val="es-ES"/>
        </w:rPr>
        <w:t>Responsables</w:t>
      </w:r>
    </w:p>
    <w:p w14:paraId="70ABE454" w14:textId="77777777" w:rsidR="00111F32" w:rsidRDefault="00111F32" w:rsidP="00111F32">
      <w:pPr>
        <w:pStyle w:val="NormalWeb"/>
      </w:pPr>
      <w:r>
        <w:t>Rectorado, Gerencia/Administración, Secretaría General, Consejo Universitario, Oficina de Planeamiento o equivalente, Comisión de Seguimiento.</w:t>
      </w:r>
    </w:p>
    <w:p w14:paraId="0D6365DA" w14:textId="77777777" w:rsidR="00111F32" w:rsidRPr="00111F32" w:rsidRDefault="00111F32" w:rsidP="00111F32">
      <w:pPr>
        <w:pStyle w:val="Heading3"/>
        <w:rPr>
          <w:lang w:val="es-ES"/>
        </w:rPr>
      </w:pPr>
      <w:r w:rsidRPr="00111F32">
        <w:rPr>
          <w:lang w:val="es-ES"/>
        </w:rPr>
        <w:t>Instancia de conducción</w:t>
      </w:r>
    </w:p>
    <w:p w14:paraId="39470F13" w14:textId="77777777" w:rsidR="00111F32" w:rsidRDefault="00111F32" w:rsidP="00111F32">
      <w:pPr>
        <w:pStyle w:val="NormalWeb"/>
      </w:pPr>
      <w:r>
        <w:t>Consejo Universitario y Comisión de Seguimiento de Implementación.</w:t>
      </w:r>
    </w:p>
    <w:p w14:paraId="761A0C30" w14:textId="77777777" w:rsidR="00111F32" w:rsidRDefault="00111F32" w:rsidP="00111F32">
      <w:pPr>
        <w:pStyle w:val="Heading3"/>
      </w:pPr>
      <w:r>
        <w:t>Indicadores de esta fase</w:t>
      </w:r>
    </w:p>
    <w:p w14:paraId="605287CB" w14:textId="77777777" w:rsidR="00111F32" w:rsidRDefault="00111F32" w:rsidP="00111F32">
      <w:pPr>
        <w:pStyle w:val="NormalWeb"/>
        <w:numPr>
          <w:ilvl w:val="0"/>
          <w:numId w:val="12"/>
        </w:numPr>
      </w:pPr>
      <w:r>
        <w:t>Publicación regular de reportes financieros e institucionales.</w:t>
      </w:r>
    </w:p>
    <w:p w14:paraId="59306869" w14:textId="77777777" w:rsidR="00111F32" w:rsidRDefault="00111F32" w:rsidP="00111F32">
      <w:pPr>
        <w:pStyle w:val="NormalWeb"/>
        <w:numPr>
          <w:ilvl w:val="0"/>
          <w:numId w:val="12"/>
        </w:numPr>
      </w:pPr>
      <w:r>
        <w:t>Porcentaje de acciones correctivas del plan de mejora en ejecución.</w:t>
      </w:r>
    </w:p>
    <w:p w14:paraId="3122730A" w14:textId="77777777" w:rsidR="00111F32" w:rsidRDefault="00111F32" w:rsidP="00111F32">
      <w:pPr>
        <w:pStyle w:val="NormalWeb"/>
        <w:numPr>
          <w:ilvl w:val="0"/>
          <w:numId w:val="12"/>
        </w:numPr>
      </w:pPr>
      <w:r>
        <w:t>Política remunerativa implementada o en fase avanzada de implementación.</w:t>
      </w:r>
    </w:p>
    <w:p w14:paraId="11A419E2" w14:textId="77777777" w:rsidR="00111F32" w:rsidRDefault="00111F32" w:rsidP="00111F32">
      <w:pPr>
        <w:pStyle w:val="NormalWeb"/>
        <w:numPr>
          <w:ilvl w:val="0"/>
          <w:numId w:val="12"/>
        </w:numPr>
      </w:pPr>
      <w:r>
        <w:t>Sistema trimestral de monitoreo funcionando.</w:t>
      </w:r>
    </w:p>
    <w:p w14:paraId="5F819F02" w14:textId="77777777" w:rsidR="00111F32" w:rsidRDefault="00111F32" w:rsidP="00111F32">
      <w:pPr>
        <w:pStyle w:val="NormalWeb"/>
        <w:numPr>
          <w:ilvl w:val="0"/>
          <w:numId w:val="12"/>
        </w:numPr>
      </w:pPr>
      <w:r>
        <w:t>Propuesta de reforma de gobernanza en discusión o aprobación institucional.</w:t>
      </w:r>
    </w:p>
    <w:p>
      <w:pPr/>
      <w:r>
        <w:t>Procesos críticos priorizados en fase de automatización o rediseño.</w:t>
      </w:r>
    </w:p>
    <w:p>
      <w:pPr/>
      <w:r>
        <w:t>Instancias permanentes de diálogo administrativo-laboral implementadas.</w:t>
      </w:r>
    </w:p>
    <w:p w14:paraId="0ABDFA81" w14:textId="77777777" w:rsidR="00111F32" w:rsidRDefault="00292297" w:rsidP="00111F32">
      <w:r>
        <w:rPr>
          <w:noProof/>
        </w:rPr>
        <w:pict w14:anchorId="589DEB96">
          <v:rect id="_x0000_i1026" alt="" style="width:468pt;height:.05pt;mso-width-percent:0;mso-height-percent:0;mso-width-percent:0;mso-height-percent:0" o:hralign="center" o:hrstd="t" o:hr="t" fillcolor="#a0a0a0" stroked="f"/>
        </w:pict>
      </w:r>
    </w:p>
    <w:p w14:paraId="353FD41F" w14:textId="77777777" w:rsidR="00111F32" w:rsidRPr="00111F32" w:rsidRDefault="00111F32" w:rsidP="00111F32">
      <w:pPr>
        <w:pStyle w:val="Heading2"/>
        <w:rPr>
          <w:lang w:val="es-ES"/>
        </w:rPr>
      </w:pPr>
      <w:r w:rsidRPr="00111F32">
        <w:rPr>
          <w:lang w:val="es-ES"/>
        </w:rPr>
        <w:t>Tercer año</w:t>
      </w:r>
    </w:p>
    <w:p w14:paraId="6CB97802" w14:textId="77777777" w:rsidR="00111F32" w:rsidRDefault="00111F32" w:rsidP="00111F32">
      <w:pPr>
        <w:pStyle w:val="NormalWeb"/>
      </w:pPr>
      <w:r>
        <w:t xml:space="preserve">El tercer año deberá estar orientado a la </w:t>
      </w:r>
      <w:r>
        <w:rPr>
          <w:rStyle w:val="Strong"/>
        </w:rPr>
        <w:t>consolidación y evaluación</w:t>
      </w:r>
      <w:r>
        <w:t>. En esta etapa se revisará el impacto real de las medidas adoptadas, se ajustarán los procedimientos que no hayan funcionado adecuadamente y se reforzarán las áreas donde persistan debilidades.</w:t>
      </w:r>
    </w:p>
    <w:p w14:paraId="223DE142" w14:textId="77777777" w:rsidR="00111F32" w:rsidRDefault="00111F32" w:rsidP="00111F32">
      <w:pPr>
        <w:pStyle w:val="NormalWeb"/>
      </w:pPr>
      <w:r>
        <w:t xml:space="preserve">También será pertinente realizar una </w:t>
      </w:r>
      <w:r>
        <w:rPr>
          <w:rStyle w:val="Strong"/>
        </w:rPr>
        <w:t>auditoría de seguimiento</w:t>
      </w:r>
      <w:r>
        <w:t xml:space="preserve"> o una evaluación externa parcial que permita verificar el avance en la corrección de hallazgos y la mejora de los procesos de control, transparencia y gobierno institucional. La universidad deberá contar ya con una cultura más madura de reporte y rendición de cuentas, lo que permitirá que esta evaluación tenga un sentido más profundo y no solo formal.</w:t>
      </w:r>
    </w:p>
    <w:p w14:paraId="3AF7769F" w14:textId="77777777" w:rsidR="00111F32" w:rsidRPr="00111F32" w:rsidRDefault="00111F32" w:rsidP="00111F32">
      <w:pPr>
        <w:pStyle w:val="Heading3"/>
        <w:rPr>
          <w:lang w:val="es-ES"/>
        </w:rPr>
      </w:pPr>
      <w:r w:rsidRPr="00111F32">
        <w:rPr>
          <w:lang w:val="es-ES"/>
        </w:rPr>
        <w:t>Responsables</w:t>
      </w:r>
    </w:p>
    <w:p w14:paraId="428E7CD7" w14:textId="77777777" w:rsidR="00111F32" w:rsidRDefault="00111F32" w:rsidP="00111F32">
      <w:pPr>
        <w:pStyle w:val="NormalWeb"/>
      </w:pPr>
      <w:r>
        <w:t>Rectorado, Consejo Universitario, Administración, Comisión de Seguimiento, instancia externa de evaluación o auditoría.</w:t>
      </w:r>
    </w:p>
    <w:p w14:paraId="6F581E17" w14:textId="77777777" w:rsidR="00111F32" w:rsidRPr="00111F32" w:rsidRDefault="00111F32" w:rsidP="00111F32">
      <w:pPr>
        <w:pStyle w:val="Heading3"/>
        <w:rPr>
          <w:lang w:val="es-ES"/>
        </w:rPr>
      </w:pPr>
      <w:r w:rsidRPr="00111F32">
        <w:rPr>
          <w:lang w:val="es-ES"/>
        </w:rPr>
        <w:t>Instancia de conducción</w:t>
      </w:r>
    </w:p>
    <w:p w14:paraId="22875E54" w14:textId="77777777" w:rsidR="00111F32" w:rsidRDefault="00111F32" w:rsidP="00111F32">
      <w:pPr>
        <w:pStyle w:val="NormalWeb"/>
      </w:pPr>
      <w:r>
        <w:t>Consejo Universitario, con soporte técnico de la Comisión de Seguimiento.</w:t>
      </w:r>
    </w:p>
    <w:p w14:paraId="3E3A8DAA" w14:textId="77777777" w:rsidR="00111F32" w:rsidRDefault="00111F32" w:rsidP="00111F32">
      <w:pPr>
        <w:pStyle w:val="Heading3"/>
      </w:pPr>
      <w:r>
        <w:lastRenderedPageBreak/>
        <w:t>Indicadores de esta fase</w:t>
      </w:r>
    </w:p>
    <w:p w14:paraId="675981BB" w14:textId="77777777" w:rsidR="00111F32" w:rsidRDefault="00111F32" w:rsidP="00111F32">
      <w:pPr>
        <w:pStyle w:val="NormalWeb"/>
        <w:numPr>
          <w:ilvl w:val="0"/>
          <w:numId w:val="13"/>
        </w:numPr>
      </w:pPr>
      <w:r>
        <w:t>Evaluación externa o auditoría de seguimiento realizada.</w:t>
      </w:r>
    </w:p>
    <w:p w14:paraId="6FD2CE01" w14:textId="77777777" w:rsidR="00111F32" w:rsidRDefault="00111F32" w:rsidP="00111F32">
      <w:pPr>
        <w:pStyle w:val="NormalWeb"/>
        <w:numPr>
          <w:ilvl w:val="0"/>
          <w:numId w:val="13"/>
        </w:numPr>
      </w:pPr>
      <w:r>
        <w:t>Porcentaje de hallazgos corregidos respecto a la auditoría inicial.</w:t>
      </w:r>
    </w:p>
    <w:p w14:paraId="0535EBDC" w14:textId="77777777" w:rsidR="00111F32" w:rsidRDefault="00111F32" w:rsidP="00111F32">
      <w:pPr>
        <w:pStyle w:val="NormalWeb"/>
        <w:numPr>
          <w:ilvl w:val="0"/>
          <w:numId w:val="13"/>
        </w:numPr>
      </w:pPr>
      <w:r>
        <w:t>Cumplimiento sostenido de política de transparencia.</w:t>
      </w:r>
    </w:p>
    <w:p w14:paraId="00A61531" w14:textId="77777777" w:rsidR="00111F32" w:rsidRDefault="00111F32" w:rsidP="00111F32">
      <w:pPr>
        <w:pStyle w:val="NormalWeb"/>
        <w:numPr>
          <w:ilvl w:val="0"/>
          <w:numId w:val="13"/>
        </w:numPr>
      </w:pPr>
      <w:r>
        <w:t>Ajustes normativos y operativos derivados de la evaluación implementados.</w:t>
      </w:r>
    </w:p>
    <w:p>
      <w:pPr/>
      <w:r>
        <w:t>Mejora verificable en tiempos de respuesta de procesos críticos.</w:t>
      </w:r>
    </w:p>
    <w:p>
      <w:pPr/>
      <w:r>
        <w:t>Reducción de incidencias administrativas o conflictos recurrentes reportados.</w:t>
      </w:r>
    </w:p>
    <w:p w14:paraId="7E87AA1A" w14:textId="77777777" w:rsidR="00111F32" w:rsidRDefault="00292297" w:rsidP="00111F32">
      <w:r>
        <w:rPr>
          <w:noProof/>
        </w:rPr>
        <w:pict w14:anchorId="39F8D1D3">
          <v:rect id="_x0000_i1025" alt="" style="width:468pt;height:.05pt;mso-width-percent:0;mso-height-percent:0;mso-width-percent:0;mso-height-percent:0" o:hralign="center" o:hrstd="t" o:hr="t" fillcolor="#a0a0a0" stroked="f"/>
        </w:pict>
      </w:r>
    </w:p>
    <w:p w14:paraId="35959538" w14:textId="77777777" w:rsidR="00111F32" w:rsidRPr="00111F32" w:rsidRDefault="00111F32" w:rsidP="00111F32">
      <w:pPr>
        <w:pStyle w:val="Heading2"/>
        <w:rPr>
          <w:lang w:val="es-ES"/>
        </w:rPr>
      </w:pPr>
      <w:r w:rsidRPr="00111F32">
        <w:rPr>
          <w:lang w:val="es-ES"/>
        </w:rPr>
        <w:t>Cuarto año</w:t>
      </w:r>
    </w:p>
    <w:p w14:paraId="468A4868" w14:textId="77777777" w:rsidR="00111F32" w:rsidRDefault="00111F32" w:rsidP="00111F32">
      <w:pPr>
        <w:pStyle w:val="NormalWeb"/>
      </w:pPr>
      <w:r>
        <w:t xml:space="preserve">El cuarto año deberá cerrar el ciclo asegurando la </w:t>
      </w:r>
      <w:r>
        <w:rPr>
          <w:rStyle w:val="Strong"/>
        </w:rPr>
        <w:t>institucionalización</w:t>
      </w:r>
      <w:r>
        <w:t xml:space="preserve"> de lo avanzado. La meta será dejar consolidados los mecanismos de transparencia, control, seguimiento y regulación, de modo que no dependan exclusivamente de la voluntad de una gestión particular. En esta etapa la universidad deberá producir un informe final de resultados, lecciones aprendidas y pendientes críticos, que sirva de base para la siguiente administración.</w:t>
      </w:r>
    </w:p>
    <w:p w14:paraId="42088710" w14:textId="77777777" w:rsidR="00111F32" w:rsidRDefault="00111F32" w:rsidP="00111F32">
      <w:pPr>
        <w:pStyle w:val="NormalWeb"/>
      </w:pPr>
      <w:r>
        <w:t>Lo más importante al final del periodo será que la comunidad universitaria pueda reconocer que la gestión dejó una universidad más ordenada, más transparente, más equilibrada en sus reglas de gobierno y más seria en la conducción de sus recursos.</w:t>
      </w:r>
    </w:p>
    <w:p w14:paraId="5C323D03" w14:textId="77777777" w:rsidR="00111F32" w:rsidRPr="00111F32" w:rsidRDefault="00111F32" w:rsidP="00111F32">
      <w:pPr>
        <w:pStyle w:val="Heading3"/>
        <w:rPr>
          <w:lang w:val="es-ES"/>
        </w:rPr>
      </w:pPr>
      <w:r w:rsidRPr="00111F32">
        <w:rPr>
          <w:lang w:val="es-ES"/>
        </w:rPr>
        <w:t>Responsables</w:t>
      </w:r>
    </w:p>
    <w:p w14:paraId="0E5B91E1" w14:textId="77777777" w:rsidR="00111F32" w:rsidRDefault="00111F32" w:rsidP="00111F32">
      <w:pPr>
        <w:pStyle w:val="NormalWeb"/>
      </w:pPr>
      <w:r>
        <w:t>Rectorado, Consejo Universitario, Secretaría General, Administración, Comisión de Cierre de Gestión.</w:t>
      </w:r>
    </w:p>
    <w:p w14:paraId="69F82CE4" w14:textId="77777777" w:rsidR="00111F32" w:rsidRPr="00111F32" w:rsidRDefault="00111F32" w:rsidP="00111F32">
      <w:pPr>
        <w:pStyle w:val="Heading3"/>
        <w:rPr>
          <w:lang w:val="es-ES"/>
        </w:rPr>
      </w:pPr>
      <w:r w:rsidRPr="00111F32">
        <w:rPr>
          <w:lang w:val="es-ES"/>
        </w:rPr>
        <w:t>Instancia de conducción</w:t>
      </w:r>
    </w:p>
    <w:p w14:paraId="70DF23F5" w14:textId="77777777" w:rsidR="00111F32" w:rsidRDefault="00111F32" w:rsidP="00111F32">
      <w:pPr>
        <w:pStyle w:val="NormalWeb"/>
      </w:pPr>
      <w:r>
        <w:t>Consejo Universitario.</w:t>
      </w:r>
    </w:p>
    <w:p w14:paraId="3B7354E2" w14:textId="77777777" w:rsidR="00111F32" w:rsidRDefault="00111F32" w:rsidP="00111F32">
      <w:pPr>
        <w:pStyle w:val="Heading3"/>
      </w:pPr>
      <w:r>
        <w:t>Indicadores de esta fase</w:t>
      </w:r>
    </w:p>
    <w:p w14:paraId="528C24B6" w14:textId="77777777" w:rsidR="00111F32" w:rsidRDefault="00111F32" w:rsidP="00111F32">
      <w:pPr>
        <w:pStyle w:val="NormalWeb"/>
        <w:numPr>
          <w:ilvl w:val="0"/>
          <w:numId w:val="14"/>
        </w:numPr>
      </w:pPr>
      <w:r>
        <w:t>Informe final de resultados y lecciones aprendidas publicado.</w:t>
      </w:r>
    </w:p>
    <w:p w14:paraId="65694650" w14:textId="77777777" w:rsidR="00111F32" w:rsidRDefault="00111F32" w:rsidP="00111F32">
      <w:pPr>
        <w:pStyle w:val="NormalWeb"/>
        <w:numPr>
          <w:ilvl w:val="0"/>
          <w:numId w:val="14"/>
        </w:numPr>
      </w:pPr>
      <w:r>
        <w:t>Mecanismos de transparencia y seguimiento institucionalizados.</w:t>
      </w:r>
    </w:p>
    <w:p w14:paraId="12BB4FFE" w14:textId="77777777" w:rsidR="00111F32" w:rsidRDefault="00111F32" w:rsidP="00111F32">
      <w:pPr>
        <w:pStyle w:val="NormalWeb"/>
        <w:numPr>
          <w:ilvl w:val="0"/>
          <w:numId w:val="14"/>
        </w:numPr>
      </w:pPr>
      <w:r>
        <w:t>Normativa de gobierno y remuneraciones consolidada.</w:t>
      </w:r>
    </w:p>
    <w:p w14:paraId="36F89073" w14:textId="77777777" w:rsidR="00111F32" w:rsidRDefault="00111F32" w:rsidP="00111F32">
      <w:pPr>
        <w:pStyle w:val="NormalWeb"/>
        <w:numPr>
          <w:ilvl w:val="0"/>
          <w:numId w:val="14"/>
        </w:numPr>
      </w:pPr>
      <w:r>
        <w:t>Balance de gestión y estado de cumplimiento entregado a la siguiente administración.</w:t>
      </w:r>
    </w:p>
    <w:p>
      <w:pPr/>
      <w:r>
        <w:t>Sistema de gobierno, seguimiento y transparencia plenamente institucionalizado.</w:t>
      </w:r>
    </w:p>
    <w:p w14:paraId="1A5ABDFD" w14:textId="77777777" w:rsidR="00111F32" w:rsidRDefault="00111F32">
      <w:pPr>
        <w:pStyle w:val="Heading1"/>
        <w:rPr>
          <w:lang w:val="es-ES"/>
        </w:rPr>
      </w:pPr>
    </w:p>
    <w:p w14:paraId="32D60727" w14:textId="77777777" w:rsidR="00111F32" w:rsidRDefault="00111F32">
      <w:pPr>
        <w:pStyle w:val="Heading1"/>
        <w:rPr>
          <w:lang w:val="es-ES"/>
        </w:rPr>
      </w:pPr>
    </w:p>
    <w:p w14:paraId="5D3B0A3E" w14:textId="77777777" w:rsidR="00111F32" w:rsidRDefault="00111F32">
      <w:pPr>
        <w:pStyle w:val="Heading1"/>
        <w:rPr>
          <w:lang w:val="es-ES"/>
        </w:rPr>
      </w:pPr>
    </w:p>
    <w:p w14:paraId="7DAF063E" w14:textId="57DD3B5C" w:rsidR="00E970E3" w:rsidRPr="009F615C" w:rsidRDefault="00000000">
      <w:pPr>
        <w:pStyle w:val="Heading1"/>
        <w:rPr>
          <w:lang w:val="es-ES"/>
        </w:rPr>
      </w:pPr>
      <w:r w:rsidRPr="009F615C">
        <w:rPr>
          <w:lang w:val="es-ES"/>
        </w:rPr>
        <w:t>PLAN DE IMPLEMENTACIÓN</w:t>
      </w:r>
    </w:p>
    <w:p w14:paraId="3E8F670B" w14:textId="77777777" w:rsidR="00E970E3" w:rsidRPr="009F615C" w:rsidRDefault="00000000">
      <w:pPr>
        <w:rPr>
          <w:lang w:val="es-ES"/>
        </w:rPr>
      </w:pPr>
      <w:r w:rsidRPr="009F615C">
        <w:rPr>
          <w:lang w:val="es-ES"/>
        </w:rPr>
        <w:t xml:space="preserve">La ejecución del plan 2026–2031 requerirá una secuencia ordenada. En los primeros cien días deberán instalarse mecanismos de transparencia, mesas de articulación entre vicerrectorados, facultades y </w:t>
      </w:r>
      <w:r w:rsidRPr="009F615C">
        <w:rPr>
          <w:lang w:val="es-ES"/>
        </w:rPr>
        <w:lastRenderedPageBreak/>
        <w:t>unidades estratégicas, así como un tablero básico de seguimiento. En el corto plazo se priorizarán reformas de alto impacto y rápida visibilidad: ordenamiento de procesos académicos, mejora de la matrícula y programación, fortalecimiento de la UFBI, actualización de mecanismos de soporte a la investigación, y puesta en marcha de circuitos de rendición de cuentas.</w:t>
      </w:r>
    </w:p>
    <w:p w14:paraId="1E70E7D7" w14:textId="77777777" w:rsidR="00E970E3" w:rsidRPr="009F615C" w:rsidRDefault="00000000">
      <w:pPr>
        <w:rPr>
          <w:lang w:val="es-ES"/>
        </w:rPr>
      </w:pPr>
      <w:r w:rsidRPr="009F615C">
        <w:rPr>
          <w:lang w:val="es-ES"/>
        </w:rPr>
        <w:t>Entre el primer y segundo año se deberá consolidar el rediseño curricular por competencias, la articulación entre Escuela de Posgrado y facultades, el fortalecimiento de la carrera docente y del docente-investigador, el crecimiento responsable de programas de pre y posgrado, la mejora de campos clínicos y salidas de campo, y la implementación de políticas institucionales sobre IA, datos y evaluación.</w:t>
      </w:r>
    </w:p>
    <w:p w14:paraId="6C7AEA96" w14:textId="77777777" w:rsidR="00E970E3" w:rsidRPr="009F615C" w:rsidRDefault="00000000">
      <w:pPr>
        <w:rPr>
          <w:lang w:val="es-ES"/>
        </w:rPr>
      </w:pPr>
      <w:r w:rsidRPr="009F615C">
        <w:rPr>
          <w:lang w:val="es-ES"/>
        </w:rPr>
        <w:t>En el mediano plazo, entre el tercer y cuarto año, la universidad deberá haber institucionalizado un modelo más ágil de gestión, un sistema más robusto de investigación e innovación, una oferta académica más pertinente y articulada, y mecanismos estables de sostenibilidad financiera e internacionalización. El quinto año debe servir para consolidar logros, corregir brechas y dejar instaladas capacidades permanentes para la siguiente etapa institucional.</w:t>
      </w:r>
    </w:p>
    <w:p w14:paraId="42866145" w14:textId="77777777" w:rsidR="00E970E3" w:rsidRDefault="00000000">
      <w:pPr>
        <w:pStyle w:val="Heading2"/>
      </w:pPr>
      <w:r>
        <w:t>Cronograma estratégico</w:t>
      </w:r>
    </w:p>
    <w:tbl>
      <w:tblPr>
        <w:tblW w:w="0" w:type="auto"/>
        <w:jc w:val="center"/>
        <w:tblLook w:val="04A0" w:firstRow="1" w:lastRow="0" w:firstColumn="1" w:lastColumn="0" w:noHBand="0" w:noVBand="1"/>
      </w:tblPr>
      <w:tblGrid>
        <w:gridCol w:w="2592"/>
        <w:gridCol w:w="1728"/>
        <w:gridCol w:w="5472"/>
      </w:tblGrid>
      <w:tr w:rsidR="00E970E3" w14:paraId="34E4212B" w14:textId="77777777">
        <w:trPr>
          <w:jc w:val="center"/>
        </w:trPr>
        <w:tc>
          <w:tcPr>
            <w:tcW w:w="2592" w:type="dxa"/>
            <w:shd w:val="clear" w:color="auto" w:fill="D9EAF7"/>
            <w:vAlign w:val="center"/>
          </w:tcPr>
          <w:p w14:paraId="384E79BF" w14:textId="77777777" w:rsidR="00E970E3" w:rsidRDefault="00000000">
            <w:pPr>
              <w:spacing w:after="0" w:line="240" w:lineRule="auto"/>
            </w:pPr>
            <w:r>
              <w:rPr>
                <w:b/>
                <w:sz w:val="20"/>
              </w:rPr>
              <w:t>Fase</w:t>
            </w:r>
          </w:p>
        </w:tc>
        <w:tc>
          <w:tcPr>
            <w:tcW w:w="1728" w:type="dxa"/>
            <w:shd w:val="clear" w:color="auto" w:fill="D9EAF7"/>
            <w:vAlign w:val="center"/>
          </w:tcPr>
          <w:p w14:paraId="35A15A85" w14:textId="77777777" w:rsidR="00E970E3" w:rsidRDefault="00000000">
            <w:pPr>
              <w:spacing w:after="0" w:line="240" w:lineRule="auto"/>
            </w:pPr>
            <w:r>
              <w:rPr>
                <w:b/>
                <w:sz w:val="20"/>
              </w:rPr>
              <w:t>Horizonte</w:t>
            </w:r>
          </w:p>
        </w:tc>
        <w:tc>
          <w:tcPr>
            <w:tcW w:w="5472" w:type="dxa"/>
            <w:shd w:val="clear" w:color="auto" w:fill="D9EAF7"/>
            <w:vAlign w:val="center"/>
          </w:tcPr>
          <w:p w14:paraId="0A1A7AC2" w14:textId="77777777" w:rsidR="00E970E3" w:rsidRDefault="00000000">
            <w:pPr>
              <w:spacing w:after="0" w:line="240" w:lineRule="auto"/>
            </w:pPr>
            <w:r>
              <w:rPr>
                <w:b/>
                <w:sz w:val="20"/>
              </w:rPr>
              <w:t>Prioridades</w:t>
            </w:r>
          </w:p>
        </w:tc>
      </w:tr>
      <w:tr w:rsidR="00E970E3" w:rsidRPr="00111F32" w14:paraId="1BF6834A" w14:textId="77777777">
        <w:trPr>
          <w:jc w:val="center"/>
        </w:trPr>
        <w:tc>
          <w:tcPr>
            <w:tcW w:w="2592" w:type="dxa"/>
            <w:vAlign w:val="center"/>
          </w:tcPr>
          <w:p w14:paraId="2ED94D68" w14:textId="77777777" w:rsidR="00E970E3" w:rsidRDefault="00000000">
            <w:pPr>
              <w:spacing w:after="0" w:line="240" w:lineRule="auto"/>
            </w:pPr>
            <w:r>
              <w:rPr>
                <w:sz w:val="18"/>
              </w:rPr>
              <w:t>Medidas inmediatas</w:t>
            </w:r>
          </w:p>
        </w:tc>
        <w:tc>
          <w:tcPr>
            <w:tcW w:w="1728" w:type="dxa"/>
            <w:vAlign w:val="center"/>
          </w:tcPr>
          <w:p w14:paraId="617B6000" w14:textId="77777777" w:rsidR="00E970E3" w:rsidRDefault="00000000">
            <w:pPr>
              <w:spacing w:after="0" w:line="240" w:lineRule="auto"/>
            </w:pPr>
            <w:r>
              <w:rPr>
                <w:sz w:val="18"/>
              </w:rPr>
              <w:t>100 días</w:t>
            </w:r>
          </w:p>
        </w:tc>
        <w:tc>
          <w:tcPr>
            <w:tcW w:w="5472" w:type="dxa"/>
            <w:vAlign w:val="center"/>
          </w:tcPr>
          <w:p w14:paraId="551EDC4E" w14:textId="77777777" w:rsidR="00E970E3" w:rsidRPr="009F615C" w:rsidRDefault="00000000">
            <w:pPr>
              <w:spacing w:after="0" w:line="240" w:lineRule="auto"/>
              <w:rPr>
                <w:lang w:val="es-ES"/>
              </w:rPr>
            </w:pPr>
            <w:r w:rsidRPr="009F615C">
              <w:rPr>
                <w:sz w:val="18"/>
                <w:lang w:val="es-ES"/>
              </w:rPr>
              <w:t>Transparencia, diálogo interno, diagnóstico fino, instalación de mesas de articulación y ordenamiento básico de procesos.</w:t>
            </w:r>
          </w:p>
        </w:tc>
      </w:tr>
      <w:tr w:rsidR="00E970E3" w:rsidRPr="00111F32" w14:paraId="3A2A1E03" w14:textId="77777777">
        <w:trPr>
          <w:jc w:val="center"/>
        </w:trPr>
        <w:tc>
          <w:tcPr>
            <w:tcW w:w="2592" w:type="dxa"/>
            <w:vAlign w:val="center"/>
          </w:tcPr>
          <w:p w14:paraId="5B177763" w14:textId="77777777" w:rsidR="00E970E3" w:rsidRDefault="00000000">
            <w:pPr>
              <w:spacing w:after="0" w:line="240" w:lineRule="auto"/>
            </w:pPr>
            <w:r>
              <w:rPr>
                <w:sz w:val="18"/>
              </w:rPr>
              <w:t>Corto plazo</w:t>
            </w:r>
          </w:p>
        </w:tc>
        <w:tc>
          <w:tcPr>
            <w:tcW w:w="1728" w:type="dxa"/>
            <w:vAlign w:val="center"/>
          </w:tcPr>
          <w:p w14:paraId="2E4BF213" w14:textId="1F67005C" w:rsidR="00E970E3" w:rsidRDefault="00000000">
            <w:pPr>
              <w:spacing w:after="0" w:line="240" w:lineRule="auto"/>
            </w:pPr>
            <w:r>
              <w:rPr>
                <w:sz w:val="18"/>
              </w:rPr>
              <w:t>1</w:t>
            </w:r>
            <w:r w:rsidR="00A96AAA">
              <w:rPr>
                <w:sz w:val="18"/>
              </w:rPr>
              <w:t>-</w:t>
            </w:r>
            <w:r>
              <w:rPr>
                <w:sz w:val="18"/>
              </w:rPr>
              <w:t>2 años</w:t>
            </w:r>
          </w:p>
        </w:tc>
        <w:tc>
          <w:tcPr>
            <w:tcW w:w="5472" w:type="dxa"/>
            <w:vAlign w:val="center"/>
          </w:tcPr>
          <w:p w14:paraId="329285F7" w14:textId="11B35F57" w:rsidR="00E970E3" w:rsidRPr="009F615C" w:rsidRDefault="00000000">
            <w:pPr>
              <w:spacing w:after="0" w:line="240" w:lineRule="auto"/>
              <w:rPr>
                <w:lang w:val="es-ES"/>
              </w:rPr>
            </w:pPr>
            <w:r w:rsidRPr="009F615C">
              <w:rPr>
                <w:sz w:val="18"/>
                <w:lang w:val="es-ES"/>
              </w:rPr>
              <w:t>Reformas curriculares iniciales, fortalecimiento de UFBI, soporte a investigación, mejora de campos formativos, articulación EPG</w:t>
            </w:r>
            <w:r w:rsidR="00A96AAA">
              <w:rPr>
                <w:sz w:val="18"/>
                <w:lang w:val="es-ES"/>
              </w:rPr>
              <w:t>-</w:t>
            </w:r>
            <w:r w:rsidRPr="009F615C">
              <w:rPr>
                <w:sz w:val="18"/>
                <w:lang w:val="es-ES"/>
              </w:rPr>
              <w:t>facultades y piloto digital/IA.</w:t>
            </w:r>
          </w:p>
        </w:tc>
      </w:tr>
      <w:tr w:rsidR="00E970E3" w:rsidRPr="00111F32" w14:paraId="27E72559" w14:textId="77777777">
        <w:trPr>
          <w:jc w:val="center"/>
        </w:trPr>
        <w:tc>
          <w:tcPr>
            <w:tcW w:w="2592" w:type="dxa"/>
            <w:vAlign w:val="center"/>
          </w:tcPr>
          <w:p w14:paraId="7CCE254A" w14:textId="77777777" w:rsidR="00E970E3" w:rsidRDefault="00000000">
            <w:pPr>
              <w:spacing w:after="0" w:line="240" w:lineRule="auto"/>
            </w:pPr>
            <w:r>
              <w:rPr>
                <w:sz w:val="18"/>
              </w:rPr>
              <w:t>Mediano plazo</w:t>
            </w:r>
          </w:p>
        </w:tc>
        <w:tc>
          <w:tcPr>
            <w:tcW w:w="1728" w:type="dxa"/>
            <w:vAlign w:val="center"/>
          </w:tcPr>
          <w:p w14:paraId="0B797DAC" w14:textId="15435329" w:rsidR="00E970E3" w:rsidRDefault="00000000">
            <w:pPr>
              <w:spacing w:after="0" w:line="240" w:lineRule="auto"/>
            </w:pPr>
            <w:r>
              <w:rPr>
                <w:sz w:val="18"/>
              </w:rPr>
              <w:t>3</w:t>
            </w:r>
            <w:r w:rsidR="00A96AAA">
              <w:rPr>
                <w:sz w:val="18"/>
              </w:rPr>
              <w:t>-</w:t>
            </w:r>
            <w:r>
              <w:rPr>
                <w:sz w:val="18"/>
              </w:rPr>
              <w:t>4 años</w:t>
            </w:r>
          </w:p>
        </w:tc>
        <w:tc>
          <w:tcPr>
            <w:tcW w:w="5472" w:type="dxa"/>
            <w:vAlign w:val="center"/>
          </w:tcPr>
          <w:p w14:paraId="4ED6F7A4" w14:textId="77777777" w:rsidR="00E970E3" w:rsidRPr="009F615C" w:rsidRDefault="00000000">
            <w:pPr>
              <w:spacing w:after="0" w:line="240" w:lineRule="auto"/>
              <w:rPr>
                <w:lang w:val="es-ES"/>
              </w:rPr>
            </w:pPr>
            <w:r w:rsidRPr="009F615C">
              <w:rPr>
                <w:sz w:val="18"/>
                <w:lang w:val="es-ES"/>
              </w:rPr>
              <w:t>Escalamiento de programas estratégicos, fortalecimiento de institutos y transferencia, crecimiento del posgrado, consolidación de gobernanza y diversificación de ingresos.</w:t>
            </w:r>
          </w:p>
        </w:tc>
      </w:tr>
      <w:tr w:rsidR="00E970E3" w:rsidRPr="00111F32" w14:paraId="706CDCEC" w14:textId="77777777">
        <w:trPr>
          <w:jc w:val="center"/>
        </w:trPr>
        <w:tc>
          <w:tcPr>
            <w:tcW w:w="2592" w:type="dxa"/>
            <w:vAlign w:val="center"/>
          </w:tcPr>
          <w:p w14:paraId="699087D8" w14:textId="77777777" w:rsidR="00E970E3" w:rsidRDefault="00000000">
            <w:pPr>
              <w:spacing w:after="0" w:line="240" w:lineRule="auto"/>
            </w:pPr>
            <w:r>
              <w:rPr>
                <w:sz w:val="18"/>
              </w:rPr>
              <w:t>Largo plazo</w:t>
            </w:r>
          </w:p>
        </w:tc>
        <w:tc>
          <w:tcPr>
            <w:tcW w:w="1728" w:type="dxa"/>
            <w:vAlign w:val="center"/>
          </w:tcPr>
          <w:p w14:paraId="68B8525E" w14:textId="77777777" w:rsidR="00E970E3" w:rsidRDefault="00000000">
            <w:pPr>
              <w:spacing w:after="0" w:line="240" w:lineRule="auto"/>
            </w:pPr>
            <w:r>
              <w:rPr>
                <w:sz w:val="18"/>
              </w:rPr>
              <w:t>5 años</w:t>
            </w:r>
          </w:p>
        </w:tc>
        <w:tc>
          <w:tcPr>
            <w:tcW w:w="5472" w:type="dxa"/>
            <w:vAlign w:val="center"/>
          </w:tcPr>
          <w:p w14:paraId="023CC561" w14:textId="77777777" w:rsidR="00E970E3" w:rsidRPr="009F615C" w:rsidRDefault="00000000">
            <w:pPr>
              <w:spacing w:after="0" w:line="240" w:lineRule="auto"/>
              <w:rPr>
                <w:lang w:val="es-ES"/>
              </w:rPr>
            </w:pPr>
            <w:r w:rsidRPr="009F615C">
              <w:rPr>
                <w:sz w:val="18"/>
                <w:lang w:val="es-ES"/>
              </w:rPr>
              <w:t>Institucionalización de políticas, cierre de brechas críticas, evaluación integral del plan y preparación de la siguiente etapa.</w:t>
            </w:r>
          </w:p>
        </w:tc>
      </w:tr>
    </w:tbl>
    <w:p w14:paraId="1B643CE7" w14:textId="77777777" w:rsidR="00E970E3" w:rsidRPr="009F615C" w:rsidRDefault="00E970E3">
      <w:pPr>
        <w:rPr>
          <w:lang w:val="es-ES"/>
        </w:rPr>
      </w:pPr>
    </w:p>
    <w:p w14:paraId="6F813B5D" w14:textId="77777777" w:rsidR="00E970E3" w:rsidRPr="009F615C" w:rsidRDefault="00000000">
      <w:pPr>
        <w:jc w:val="center"/>
        <w:rPr>
          <w:lang w:val="es-ES"/>
        </w:rPr>
      </w:pPr>
      <w:r w:rsidRPr="009F615C">
        <w:rPr>
          <w:i/>
          <w:color w:val="666666"/>
          <w:sz w:val="19"/>
          <w:lang w:val="es-ES"/>
        </w:rPr>
        <w:t>Documento de trabajo para validación política y técnica</w:t>
      </w:r>
    </w:p>
    <w:p>
      <w:r>
        <w:br w:type="page"/>
      </w:r>
    </w:p>
    <w:p>
      <w:pPr>
        <w:pStyle w:val="Heading1"/>
      </w:pPr>
      <w:r>
        <w:t>ARTICULACIÓN ESTRATÉGICA ENTRE EL VICERRECTORADO ACADÉMICO Y EL VICERRECTORADO DE INVESTIGACIÓN</w:t>
      </w:r>
    </w:p>
    <w:p>
      <w:pPr/>
      <w:r>
        <w:t>La propuesta institucional 2026–2031 exige una convergencia efectiva entre el frente académico y el frente de investigación. Por ello, este anexo integra una síntesis de los planes del Vicerrectorado de Investigación y del Vicerrectorado Académico, de modo que su lectura no dependa de documentos separados y permita comprender, en un mismo cuerpo, las prioridades estratégicas, los beneficios esperados y los ámbitos donde la coordinación entre ambas instancias resultará decisiva para el futuro de la UPCH.</w:t>
      </w:r>
    </w:p>
    <w:p>
      <w:pPr>
        <w:pStyle w:val="Heading2"/>
      </w:pPr>
      <w:r>
        <w:t>Prioridades estratégicas del Vicerrectorado de Investigación</w:t>
      </w:r>
    </w:p>
    <w:p>
      <w:pPr/>
      <w:r>
        <w:t>El plan del VRI parte de una idea central: la investigación le dio grandeza a la UPCH y hoy necesita ser cuidada, modernizada y proyectada con reglas claras, soporte real y una visión más amplia de universidad. No se trata solo de publicar más, sino de construir un ecosistema donde investigar sea más viable, más colaborativo y más útil para formar personas, atraer recursos y aportar soluciones al país.</w:t>
      </w:r>
    </w:p>
    <w:p>
      <w:pPr/>
      <w:r>
        <w:t>Aspectos relevantes del plan</w:t>
      </w:r>
    </w:p>
    <w:p>
      <w:pPr>
        <w:pStyle w:val="ListBullet"/>
      </w:pPr>
      <w:r>
        <w:t>Cuidar a los investigadores y renovar el sistema científico Herediano: ruta clara para investigadores jóvenes, mentoría formal, fondos semilla, tiempo protegido y reconocimiento a quienes forman estudiantes y captan recursos.</w:t>
      </w:r>
    </w:p>
    <w:p>
      <w:pPr>
        <w:pStyle w:val="ListBullet"/>
      </w:pPr>
      <w:r>
        <w:t>Instalar una gestión moderna de la investigación: oficina de soporte a proyectos (pre-award y post-award), política transparente de overhead, tableros de seguimiento y reducción de trabas administrativas.</w:t>
      </w:r>
    </w:p>
    <w:p>
      <w:pPr>
        <w:pStyle w:val="ListBullet"/>
      </w:pPr>
      <w:r>
        <w:t>Convertir la investigación formativa en política institucional: más estudiantes en laboratorios, semilleros, tesis articuladas a líneas activas y una trayectoria que conecte pregrado, posgrado y producción científica.</w:t>
      </w:r>
    </w:p>
    <w:p>
      <w:pPr>
        <w:pStyle w:val="ListBullet"/>
      </w:pPr>
      <w:r>
        <w:t>Abrir la UPCH al país y al sector productivo: alianzas con universidades de fortalezas complementarias, consorcios regionales, proyectos con Estado, empresas, hospitales y uso estratégico de incentivos tributarios para I+D+i.</w:t>
      </w:r>
    </w:p>
    <w:p>
      <w:pPr>
        <w:pStyle w:val="ListBullet"/>
      </w:pPr>
      <w:r>
        <w:t>Fortalecer la transferencia y la innovación: propiedad intelectual, servicios especializados, tesis orientadas a problemas reales, startups y un programa institucional para proyectos de base tecnológica.</w:t>
      </w:r>
    </w:p>
    <w:p>
      <w:pPr>
        <w:pStyle w:val="ListBullet"/>
      </w:pPr>
      <w:r>
        <w:t>Dar un salto en IA y datos para investigación: política institucional de uso responsable, protección de datos, capacitación, soporte metodológico y expansión de la ciencia de datos y la IA en salud y ciencias de la vida.</w:t>
      </w:r>
    </w:p>
    <w:p>
      <w:pPr>
        <w:pStyle w:val="ListBullet"/>
      </w:pPr>
      <w:r>
        <w:t>Desarrollar la investigación por facultades e interfacultades: fortalecimiento de agendas específicas en medicina, ciencias, salud pública, psicología, estomatología, enfermería, veterinaria y educación, articuladas en misiones compartidas.</w:t>
      </w:r>
    </w:p>
    <w:p>
      <w:pPr>
        <w:pStyle w:val="Heading3"/>
      </w:pPr>
      <w:r>
        <w:t>Resultado esperado en investigación</w:t>
      </w:r>
    </w:p>
    <w:p>
      <w:pPr/>
      <w:r>
        <w:t>Resultado esperado</w:t>
      </w:r>
    </w:p>
    <w:p>
      <w:pPr>
        <w:pStyle w:val="Heading2"/>
      </w:pPr>
      <w:r>
        <w:t>Prioridades estratégicas del Vicerrectorado Académico</w:t>
      </w:r>
    </w:p>
    <w:p>
      <w:pPr/>
      <w:r>
        <w:t>El plan del VRA busca recuperar y elevar la excelencia académica de la UPCH sin perder captación ni identidad. La propuesta combina exigencia con soporte, mejor docencia, currículos más coherentes, innovación pedagógica, fortalecimiento del pregrado y del posgrado, y un uso más inteligente de la infraestructura académica y clínica.</w:t>
      </w:r>
    </w:p>
    <w:p>
      <w:pPr/>
      <w:r>
        <w:t>Aspectos relevantes del plan</w:t>
      </w:r>
    </w:p>
    <w:p>
      <w:pPr>
        <w:pStyle w:val="ListBullet"/>
      </w:pPr>
      <w:r>
        <w:t>Convertir el modelo educativo en experiencia real: mapeo curricular por competencias, eliminación de redundancias, mejor articulación entre departamentos y carreras, y una DUGAD más ágil como motor técnico.</w:t>
      </w:r>
    </w:p>
    <w:p>
      <w:pPr>
        <w:pStyle w:val="ListBullet"/>
      </w:pPr>
      <w:r>
        <w:t>Reforzar UFBI como plataforma de éxito académico: nivelación, tutoría, hábitos universitarios, competencias transversales y una mejor experiencia para los estudiantes de los primeros años.</w:t>
      </w:r>
    </w:p>
    <w:p>
      <w:pPr>
        <w:pStyle w:val="ListBullet"/>
      </w:pPr>
      <w:r>
        <w:t>Profesionalizar la docencia: Academia Docente Herediana, evaluación formativa continua, retroalimentación temprana y anónima por parte de estudiantes, y un programa de formación y doctoración para docentes jóvenes.</w:t>
      </w:r>
    </w:p>
    <w:p>
      <w:pPr>
        <w:pStyle w:val="ListBullet"/>
      </w:pPr>
      <w:r>
        <w:t>Usar IA y transformación digital con criterio pedagógico: evaluación con respuestas desarrolladas asistida por IA, retroalimentación personalizada, analítica del aprendizaje y modalidades híbridas donde agreguen valor.</w:t>
      </w:r>
    </w:p>
    <w:p>
      <w:pPr>
        <w:pStyle w:val="ListBullet"/>
      </w:pPr>
      <w:r>
        <w:t>Fortalecer la docencia en servicio y los campos clínicos: mejores condiciones de aprendizaje en hospitales y clínicas docentes, reorganización de turnos, reconocimiento al docente clínico y apoyo a medicina, enfermería, psicología, estomatología y veterinaria.</w:t>
      </w:r>
    </w:p>
    <w:p>
      <w:pPr>
        <w:pStyle w:val="ListBullet"/>
      </w:pPr>
      <w:r>
        <w:t>Aprovechar estratégicamente el Centro de Simulación: expansión hacia medicina veterinaria, mayor integración con medicina y estomatología, y módulos selectivos para primeros años en ciencias básicas contextualizadas a salud y ciencias de la vida.</w:t>
      </w:r>
    </w:p>
    <w:p>
      <w:pPr>
        <w:pStyle w:val="ListBullet"/>
      </w:pPr>
      <w:r>
        <w:t>Ordenar el crecimiento académico y el posgrado: la EPG como plataforma de implementación para programas diseñados por las facultades; impulso a programas interdisciplinarios, certificación progresiva, prácticas en empresas y alianzas nacionales e internacionales.</w:t>
      </w:r>
    </w:p>
    <w:p>
      <w:pPr>
        <w:pStyle w:val="Heading3"/>
      </w:pPr>
      <w:r>
        <w:t>Resultado esperado en el frente académico</w:t>
      </w:r>
    </w:p>
    <w:p>
      <w:pPr/>
      <w:r>
        <w:t>Resultado esperado</w:t>
      </w:r>
    </w:p>
    <w:p>
      <w:pPr>
        <w:pStyle w:val="Heading2"/>
      </w:pPr>
      <w:r>
        <w:t>Sentido institucional de la articulación VRI–VRA</w:t>
      </w:r>
    </w:p>
    <w:p>
      <w:pPr/>
      <w:r>
        <w:t>La articulación entre ambos vicerrectorados permitirá que la excelencia académica, la investigación formativa, el desarrollo del posgrado, la transformación digital, la infraestructura compartida, la docencia en servicio y la vinculación con el entorno dejen de operar como agendas paralelas. La universidad podrá así construir una trayectoria más coherente para estudiantes, docentes e investigadores, y sostener un crecimiento que combine calidad, pertinencia, sostenibilidad y capacidad de ejecución.</w:t>
      </w:r>
    </w:p>
    <w:p>
      <w:r>
        <w:br w:type="page"/>
      </w:r>
    </w:p>
    <w:p>
      <w:pPr>
        <w:pStyle w:val="Heading1"/>
      </w:pPr>
      <w:r>
        <w:t>PLAN MAESTRO DE IMPLEMENTACIÓN INTEGRADA</w:t>
      </w:r>
    </w:p>
    <w:p>
      <w:pPr/>
      <w:r>
        <w:t>La implementación constituye la prueba decisiva de la propuesta institucional. En esta etapa se ordenan las prioridades, se define la arquitectura de conducción, se establecen secuencias realistas de trabajo y se convierte el proyecto universitario en una agenda ejecutable. La integración del plan maestro dentro de este anexo permite que la visión estratégica y la hoja de ruta operativa se lean como partes de un mismo proceso.</w:t>
      </w:r>
    </w:p>
    <w:p>
      <w:pPr>
        <w:pStyle w:val="Heading2"/>
      </w:pPr>
      <w:r>
        <w:t>Propósito y enfoque de la implementación</w:t>
      </w:r>
    </w:p>
    <w:p>
      <w:pPr/>
      <w:r>
        <w:t>Este plan maestro establece la ruta institucional para traducir los lineamientos del Vicerrectorado de Investigación y del Vicerrectorado Académico en transformaciones visibles, ordenadas y sostenibles. Su propósito es asegurar que las prioridades estratégicas de la universidad se conviertan en decisiones, procesos y resultados verificables para la comunidad universitaria y para el país.</w:t>
      </w:r>
    </w:p>
    <w:p>
      <w:pPr/>
      <w:r>
        <w:t>La implementación se desarrollará con una lógica de secuencia y consolidación. En una primera etapa se instalará la arquitectura de conducción y seguimiento; luego se pondrán en marcha pilotos de alto valor institucional; posteriormente se escalarán las experiencias que demuestren resultados; y, finalmente, estas se incorporarán a las normas, rutinas, presupuestos y prácticas permanentes de la universidad. Este enfoque permite evitar tanto la dispersión de iniciativas como la inmovilidad administrativa.</w:t>
      </w:r>
    </w:p>
    <w:p>
      <w:pPr>
        <w:pStyle w:val="Heading2"/>
      </w:pPr>
      <w:r>
        <w:t>Gobierno de la implementación</w:t>
      </w:r>
    </w:p>
    <w:p>
      <w:pPr/>
      <w:r>
        <w:t>La ejecución del plan requiere un componente de gobierno explícito. La transformación institucional demanda claridad en la conducción política, en la toma de decisiones, en la coordinación entre unidades y en los mecanismos de corrección de desvíos. Por ello, la implementación se sustentará en una estructura visible de gobierno, con autoridad, soporte técnico y disciplina de seguimiento.</w:t>
      </w:r>
    </w:p>
    <w:p>
      <w:pPr/>
      <w:r>
        <w:t>El primer nivel de esta estructura será un Comité Directivo Rectoral de Implementación, presidido por el Rectorado y conformado por el Vicerrectorado de Investigación, el Vicerrectorado Académico y las unidades institucionales críticas para la ejecución del plan. Su función será definir prioridades, resolver tensiones entre unidades, revisar el tablero de control y asegurar coherencia en la conducción del proceso. El segundo nivel será una Oficina de Implementación o PMO, con función técnica y operativa, encargada de organizar cronogramas, anticipar riesgos y asegurar trazabilidad. El tercer nivel estará integrado por los equipos temáticos o workstreams, responsables de aterrizar cada línea de trabajo en productos, responsables, plazos e indicadores.</w:t>
      </w:r>
    </w:p>
    <w:p>
      <w:pPr>
        <w:pStyle w:val="Heading2"/>
      </w:pPr>
      <w:r>
        <w:t>Prioridades de la fase inicial</w:t>
      </w:r>
    </w:p>
    <w:p>
      <w:pPr/>
      <w:r>
        <w:t>La fase inicial de implementación se concentrará en instalar las capacidades que harán viable el resto del plan. Durante los primeros 100 días se priorizará el ordenamiento de procesos críticos, la definición de líneas base, la activación de espacios de coordinación entre unidades y la selección de pilotos estratégicos de rápida ejecución. En investigación, ello comprende el mapeo de cuellos de botella, la reorganización del flujo de grants y contratos, el diseño de la política de overhead y la definición de plataformas habilitantes. En el frente académico, comprende la clarificación de roles entre facultades, departamentos y DUGAD, la selección de carreras piloto para rediseño curricular, el fortalecimiento de la UFBI y la instalación de la articulación operativa entre la EPG y las facultades.</w:t>
      </w:r>
    </w:p>
    <w:p>
      <w:pPr/>
      <w:r>
        <w:t>En ese mismo período deberán quedar listos los marcos institucionales que orientarán la ejecución posterior: lineamientos de uso institucional de inteligencia artificial, criterios para evaluación auténtica, política de investigación formativa, reglas para infraestructura compartida, modelo institucional de prácticas y relación con empresas, y esquema de fortalecimiento de la docencia en servicio. La aprobación temprana de estos marcos permitirá que la implementación avance con mayor consistencia y menor fricción.</w:t>
      </w:r>
    </w:p>
    <w:p>
      <w:pPr>
        <w:pStyle w:val="Heading2"/>
      </w:pPr>
      <w:r>
        <w:t>Implementación en el Vicerrectorado de Investigación</w:t>
      </w:r>
    </w:p>
    <w:p>
      <w:pPr/>
      <w:r>
        <w:t>En el ámbito del Vicerrectorado de Investigación, la prioridad inicial consistirá en reducir la fricción que hoy limita la expansión de la actividad científica. La universidad deberá facilitar la formulación, ejecución y sostenibilidad de proyectos, de modo que la investigación deje de depender excesivamente del esfuerzo individual y pueda operar sobre una base institucional más estable, transparente y eficiente.</w:t>
      </w:r>
    </w:p>
    <w:p>
      <w:pPr/>
      <w:r>
        <w:t>Para ello, se pondrán en marcha cuatro plataformas habilitantes: una oficina de soporte a proyectos dividida en pre-award y post-award; una política transparente de overhead y reinversión; una OTRI/OTT con capacidad real para vincular conocimiento, servicios, transferencia e innovación; y una unidad transversal de datos e inteligencia artificial para investigación. Sobre esa base se fortalecerán las condiciones para el desarrollo del investigador, especialmente del investigador joven, mediante mentoría formal, fondos semilla, soporte especializado y, cuando corresponda, tiempo protegido.</w:t>
      </w:r>
    </w:p>
    <w:p>
      <w:pPr/>
      <w:r>
        <w:t>Una vez instaladas estas bases, el Vicerrectorado de Investigación podrá escalar de manera ordenada hacia una agenda más expansiva: fortalecimiento de nodos por facultad, alianzas estratégicas con instituciones complementarias, investigación clínica y epidemiológica en campos docentes, tesis aplicadas vinculadas con empresas, aprovechamiento de incentivos tributarios para I+D+i, innovación y una agenda país construida con Estado, servicios de salud y redes internacionales.</w:t>
      </w:r>
    </w:p>
    <w:p>
      <w:pPr>
        <w:pStyle w:val="Heading2"/>
      </w:pPr>
      <w:r>
        <w:t>Implementación en el Vicerrectorado Académico</w:t>
      </w:r>
    </w:p>
    <w:p>
      <w:pPr/>
      <w:r>
        <w:t>En el ámbito del Vicerrectorado Académico, la implementación tendrá como finalidad fortalecer la excelencia académica en la experiencia cotidiana del estudiante y del docente. Esto exige ordenar la gobernanza curricular y operativa, asegurar una articulación clara entre facultades, departamentos, DUGAD y EPG, y traducir el modelo educativo institucional en decisiones concretas sobre currículo, docencia, evaluación, prácticas y trayectoria estudiantil.</w:t>
      </w:r>
    </w:p>
    <w:p>
      <w:pPr/>
      <w:r>
        <w:t>La primera fase de ejecución en el frente académico combinará orden y mejora visible. Se iniciará con carreras piloto para mapeo curricular, identificación de redundancias y alineamiento entre resultados de aprendizaje, actividades y evaluación. En paralelo, se fortalecerá la UFBI como plataforma de éxito temprano, se pondrá en marcha una herramienta institucional de feedback docente con propósito formativo, se consolidará la Academia Docente y se avanzará en mejores condiciones para la docencia en servicio, las prácticas, las salidas a campo y el aprendizaje experiencial.</w:t>
      </w:r>
    </w:p>
    <w:p>
      <w:pPr/>
      <w:r>
        <w:t>La articulación entre la Escuela de Posgrado y las facultades será una de las bases del nuevo modelo académico. Las facultades concebirán y desarrollarán la sustancia académica de los programas, mientras la EPG aportará capacidad de gestión, aseguramiento de calidad y visión de crecimiento. Este modelo permitirá expandir diplomados, maestrías y doctorados sin duplicación innecesaria de capacidades, y facilitará la creación de programas interdisciplinarios acordes con la identidad y proyección de la UPCH.</w:t>
      </w:r>
    </w:p>
    <w:p>
      <w:pPr>
        <w:pStyle w:val="Heading2"/>
      </w:pPr>
      <w:r>
        <w:t>Agenda integrada entre el VRI y el VRA</w:t>
      </w:r>
    </w:p>
    <w:p>
      <w:pPr/>
      <w:r>
        <w:t>La agenda integrada entre el Vicerrectorado de Investigación y el Vicerrectorado Académico será determinante para el éxito de la gestión. Existen ámbitos cuya implementación exige conducción compartida: la investigación formativa, el posgrado articulado a líneas de investigación, la política institucional de inteligencia artificial y datos, las prácticas y la relación con empresas, la docencia en servicio, el uso compartido de infraestructura crítica y la formación del docente-investigador joven.</w:t>
      </w:r>
    </w:p>
    <w:p>
      <w:pPr/>
      <w:r>
        <w:t>La articulación efectiva de esta agenda permitirá que posgrado, investigación, currículo, práctica clínica, innovación pedagógica y vinculación externa operen como componentes de una misma estrategia institucional. La integración VRI–VRA aumentará la coherencia interna de la universidad, reducirá la duplicación de esfuerzos y hará posible una ejecución con mayor densidad académica, mejor uso de recursos y mayor capacidad de respuesta al entorno.</w:t>
      </w:r>
    </w:p>
    <w:p>
      <w:pPr>
        <w:pStyle w:val="Heading2"/>
      </w:pPr>
      <w:r>
        <w:t>Escalamiento e institucionalización</w:t>
      </w:r>
    </w:p>
    <w:p>
      <w:pPr/>
      <w:r>
        <w:t>El primer año deberá dejar señales institucionales claras. La comunidad universitaria deberá poder reconocer avances concretos en la reducción de trabas para investigar, en la mejora de la respuesta de DUGAD, en la articulación entre la EPG y las facultades, en la calidad del acompañamiento docente, en el fortalecimiento de la UFBI, en los pilotos de evaluación auténtica y en la mejora de las condiciones para la docencia en servicio, el aprendizaje práctico y la relación con empresas y aliados.</w:t>
      </w:r>
    </w:p>
    <w:p>
      <w:pPr/>
      <w:r>
        <w:t>Los años dos a cuatro corresponderán al escalamiento y a la institucionalización. Durante esta etapa, los pilotos deberán convertirse en sistemas; las decisiones críticas deberán reflejarse en presupuestos, normas y estructuras de apoyo; y las nuevas prácticas deberán quedar suficientemente consolidadas como para sostenerse en el tiempo. El seguimiento se apoyará en un conjunto acotado de indicadores creíbles: tiempos de respuesta, fondos captados, avance curricular, apoyo docente, participación estudiantil en investigación, oportunidades de práctica y articulación efectiva entre facultades y unidades.</w:t>
      </w:r>
    </w:p>
    <w:p>
      <w:pPr>
        <w:pStyle w:val="Heading2"/>
      </w:pPr>
      <w:r>
        <w:t>Resultado esperado de la implementación</w:t>
      </w:r>
    </w:p>
    <w:p>
      <w:pPr/>
      <w:r>
        <w:t>La universidad requiere un modelo de implementación que proteja su identidad, fortalezca sus capacidades y convierta sus planes en resultados. El valor de este documento reside en proponer una arquitectura de ejecución realista para una institución con talento, prestigio, responsabilidades complejas y restricciones concretas, pero también con potencial suficiente para avanzar de manera sostenida.</w:t>
      </w:r>
    </w:p>
    <w:p>
      <w:pPr/>
      <w:r>
        <w:t>La implementación del plan maestro permitirá consolidar una universidad más ordenada, mejor articulada y más capaz de responder a sus funciones académicas, científicas y sociales. Su éxito dependerá de una conducción sostenida, de la coordinación efectiva entre unidades y de la capacidad institucional para transformar prioridades en resultados verificables para la comunidad universitaria y para el país.</w:t>
      </w:r>
    </w:p>
    <w:sectPr w:rsidR="00FC693F" w:rsidRPr="0006063C" w:rsidSect="00034616">
      <w:footerReference w:type="default" r:id="rId9"/>
      <w:pgSz w:w="12240" w:h="15840"/>
      <w:pgMar w:top="1024" w:right="1224" w:bottom="10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