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9" w:lineRule="auto"/>
        <w:jc w:val="center"/>
      </w:pPr>
      <w:r>
        <w:rPr>
          <w:rFonts w:ascii="Aptos" w:hAnsi="Aptos"/>
          <w:b/>
          <w:i w:val="0"/>
          <w:color w:val="163A5C"/>
          <w:sz w:val="36"/>
        </w:rPr>
        <w:t>UPCH 2026–2031</w:t>
      </w:r>
    </w:p>
    <w:p>
      <w:pPr>
        <w:spacing w:after="160" w:before="0" w:line="269" w:lineRule="auto"/>
        <w:jc w:val="center"/>
      </w:pPr>
      <w:r>
        <w:rPr>
          <w:rFonts w:ascii="Aptos" w:hAnsi="Aptos"/>
          <w:b/>
          <w:i w:val="0"/>
          <w:color w:val="2D6A8C"/>
          <w:sz w:val="23"/>
        </w:rPr>
        <w:t>Propuesta de gobierno institucional — resumen ejecutivo para lectura rápida</w:t>
      </w:r>
    </w:p>
    <w:p>
      <w:pPr>
        <w:spacing w:after="200" w:before="0" w:line="269" w:lineRule="auto"/>
        <w:jc w:val="center"/>
      </w:pPr>
      <w:r>
        <w:rPr>
          <w:rFonts w:ascii="Aptos" w:hAnsi="Aptos"/>
          <w:b w:val="0"/>
          <w:i/>
          <w:color w:val="5B6573"/>
          <w:sz w:val="18"/>
        </w:rPr>
        <w:t>Documento principal | Los desarrollos completos se presentan en los anexos técnicos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173F5F"/>
                <w:sz w:val="21"/>
              </w:rPr>
              <w:t>Esta propuesta busca recuperar el gobierno universitario, fortalecer a las facultades, elevar la calidad académica e investigadora y ordenar el crecimiento de la UPCH con reglas claras, transparencia y capacidad real de ejecución.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2D6A8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Cuatro compromisos centrales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1. Gobierno con reglas claras</w:t>
            </w:r>
          </w:p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Transparencia salarial, auditoría integral, decisiones colegiadas y participación real de las facultades.</w:t>
            </w:r>
          </w:p>
        </w:tc>
        <w:tc>
          <w:tcPr>
            <w:tcW w:type="dxa" w:w="5227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2. Estudiante y profesor al centro</w:t>
            </w:r>
          </w:p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Más exigencia con más apoyo: mejor docencia, tutoría, prácticas, simulación y carrera docente.</w:t>
            </w:r>
          </w:p>
        </w:tc>
      </w:tr>
      <w:tr>
        <w:tc>
          <w:tcPr>
            <w:tcW w:type="dxa" w:w="5227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3. Investigación que protege y crece</w:t>
            </w:r>
          </w:p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Apoyo real a investigadores, jóvenes, posgrado, IA responsable y vínculos con empresa, Estado y socios globales.</w:t>
            </w:r>
          </w:p>
        </w:tc>
        <w:tc>
          <w:tcPr>
            <w:tcW w:type="dxa" w:w="5227"/>
            <w:shd w:fill="F4F7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4. Ejecución medible</w:t>
            </w:r>
          </w:p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Metas, responsables, 100 días, primer año y cuatro años; menos promesa abstracta y más implementación verificable.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173F5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Por qué cambiar ahora</w:t>
            </w:r>
          </w:p>
        </w:tc>
      </w:tr>
    </w:tbl>
    <w:p>
      <w:pPr>
        <w:spacing w:after="120" w:before="0" w:line="269" w:lineRule="auto"/>
      </w:pPr>
      <w:r>
        <w:rPr>
          <w:rFonts w:ascii="Aptos" w:hAnsi="Aptos"/>
          <w:b w:val="0"/>
          <w:i w:val="0"/>
          <w:color w:val="2B2F42"/>
          <w:sz w:val="20"/>
        </w:rPr>
        <w:t>La UPCH mantiene activos de enorme valor —prestigio académico, tradición científica, programas emblemáticos, vínculos clínicos y una identidad sólida en salud y ciencias de la vida—, pero enfrenta problemas que ya no pueden ser administrados como si fueran coyunturales: debilitamiento de la demanda, pérdida relativa de posicionamiento, brecha generacional del profesorado, baja capacidad de retención, procesos internos lentos, estructuras aisladas entre facultades y una situación financiera que exige orden, transparencia y nuevas fuentes de sostenibilidad.</w:t>
      </w:r>
    </w:p>
    <w:p>
      <w:pPr>
        <w:spacing w:after="0" w:before="0" w:line="269" w:lineRule="auto"/>
      </w:pPr>
      <w:r>
        <w:rPr>
          <w:rFonts w:ascii="Aptos" w:hAnsi="Aptos"/>
          <w:b w:val="0"/>
          <w:i w:val="0"/>
          <w:color w:val="2B2F42"/>
          <w:sz w:val="20"/>
        </w:rPr>
        <w:t>El modelo económico propuesto no se basa en recortes ciegos ni en depender de una sola fuente de ingreso. Se apoya en cinco palancas: disciplina financiera, diversificación de ingresos, automatización de procesos, mejor retención de estudiantes y reinversión estratégica en las funciones misionales. Esto incluye fortalecer educación continua y posgrado, investigación con overhead transparente, servicios especializados, vínculos con empresas, transferencia tecnológica, filantropía y uso inteligente de la infraestructura universitaria (ver Anexos 1, 2, 3 y 6).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2D6A8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Qué cambia para estudiantes, profesores y facultades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2"/>
              </w:rPr>
              <w:t>Estudiantes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Recuperación del nivel académico con más exigencia y mejor acompañamiento.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UFBI fortalecida, tutoría y nivelación en los primeros ciclos.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Más prácticas, salidas de campo, simulación y mejores condiciones en docencia en servicio.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Trayectorias más claras hacia posgrado, certificaciones progresivas y empleabilidad.</w:t>
            </w:r>
          </w:p>
        </w:tc>
        <w:tc>
          <w:tcPr>
            <w:tcW w:type="dxa" w:w="3485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2"/>
              </w:rPr>
              <w:t>Profesores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Docencia mejor apoyada: formación pedagógica, retroalimentación formativa y herramientas digitales.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Ruta de desarrollo del docente joven, con apoyo para maestría/doctorado y mejor transición generacional.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Más tiempo y soporte para investigar, formular grants y trabajar con estudiantes.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Reglas más claras y menos fricción administrativa.</w:t>
            </w:r>
          </w:p>
        </w:tc>
        <w:tc>
          <w:tcPr>
            <w:tcW w:type="dxa" w:w="3485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2"/>
              </w:rPr>
              <w:t>Facultades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Las facultades recuperan iniciativa académica, capacidad de propuesta y mayor voz en las decisiones.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Cada facultad crece según su propia realidad, no desde un molde único.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La EPG implementa con eficiencia, pero las facultades diseñan y conducen sus programas.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Se promueve crecimiento orgánico e interdisciplinario, no expansión improvisada.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173F5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Gobierno universitario: qué se corrige y qué se propone</w:t>
            </w:r>
          </w:p>
        </w:tc>
      </w:tr>
    </w:tbl>
    <w:p>
      <w:pPr>
        <w:spacing w:after="160" w:before="0" w:line="269" w:lineRule="auto"/>
      </w:pPr>
      <w:r>
        <w:rPr>
          <w:rFonts w:ascii="Aptos" w:hAnsi="Aptos"/>
          <w:b w:val="0"/>
          <w:i w:val="0"/>
          <w:color w:val="2B2F42"/>
          <w:sz w:val="20"/>
        </w:rPr>
        <w:t>La propuesta parte de una premisa sencilla: ninguna mejora académica o científica será sostenible si la universidad no ordena su forma de gobernarse. Por eso se propone fortalecer el carácter colegiado y democrático de las decisiones, transparentar la información crítica y volver a poner a las facultades dentro de la foto institucional. En este marco se plantean medidas concretas: publicidad de las remuneraciones del alto gobierno, regulación objetiva de sus topes, auditoría integral, participación de directores con voz pero sin voto en el Consejo Universitario, y una representación más visible de profesores y estudiantes por facultad (ver Anexo 1).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27"/>
        <w:gridCol w:w="5227"/>
      </w:tblGrid>
      <w:tr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Buen gobierno y transparencia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Consejo Universitario con naturaleza reguladora y mayor legitimidad representativa.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Facultades con participación más visible y efectiva en la conducción institucional.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Auditoría financiera y de gestión con plan de regularización y mejora.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Información institucional accesible, comparable y periódica.</w:t>
            </w:r>
          </w:p>
        </w:tc>
        <w:tc>
          <w:tcPr>
            <w:tcW w:type="dxa" w:w="5227"/>
            <w:tcMar>
              <w:top w:w="70" w:type="dxa"/>
              <w:start w:w="90" w:type="dxa"/>
              <w:bottom w:w="70" w:type="dxa"/>
              <w:end w:w="90" w:type="dxa"/>
            </w:tcMar>
            <w:shd w:fill="F7FAFC"/>
          </w:tcPr>
          <w:p>
            <w:pPr>
              <w:spacing w:after="4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Sostenibilidad financiera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Diversificación de ingresos: educación continua, posgrado, investigación, servicios y alianzas.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Automatización de procesos críticos para reducir tiempos, errores y costos administrativos.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Asignación estratégica de recursos con base en prioridades misionales.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9"/>
              </w:rPr>
              <w:t>Retención estudiantil y calidad académica como variables financieras clave.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2D6A8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Vicerrectorado Académico y Vicerrectorado de Investigación: una sola transformación</w:t>
            </w:r>
          </w:p>
        </w:tc>
      </w:tr>
    </w:tbl>
    <w:p>
      <w:pPr>
        <w:spacing w:after="140" w:before="0" w:line="269" w:lineRule="auto"/>
      </w:pPr>
      <w:r>
        <w:rPr>
          <w:rFonts w:ascii="Aptos" w:hAnsi="Aptos"/>
          <w:b w:val="0"/>
          <w:i w:val="0"/>
          <w:color w:val="2B2F42"/>
          <w:sz w:val="20"/>
        </w:rPr>
        <w:t>El VRA y el VRI tienen responsabilidades distintas, pero el cambio institucional solo será real si trabajan de manera integrada. El VRA lidera la calidad de la experiencia formativa: currículo, docencia, UFBI, EPG, prácticas, simulación, trayectorias de pregrado y posgrado. El VRI lidera la capacidad científica: apoyo a investigadores, grants, overhead, transferencia tecnológica, IA para investigación, alianzas estratégicas y plataformas de investigación. La intersección entre ambos es la zona más decisiva de la propuesta: investigación formativa, posgrado y tesis, IA y datos, prácticas y empresas, docencia en servicio, simulación, infraestructura compartida y desarrollo del docente-investigador joven (ver Anexos 2, 3, 5 y 6).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Lidera VRA</w:t>
            </w:r>
          </w:p>
        </w:tc>
        <w:tc>
          <w:tcPr>
            <w:tcW w:type="dxa" w:w="3485"/>
            <w:shd w:fill="C8E4F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Agenda compartida</w:t>
            </w:r>
          </w:p>
        </w:tc>
        <w:tc>
          <w:tcPr>
            <w:tcW w:type="dxa" w:w="3485"/>
            <w:shd w:fill="DCEFE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69" w:lineRule="auto"/>
              <w:jc w:val="center"/>
            </w:pPr>
            <w:r>
              <w:rPr>
                <w:rFonts w:ascii="Aptos" w:hAnsi="Aptos"/>
                <w:b/>
                <w:i w:val="0"/>
                <w:color w:val="163A5C"/>
                <w:sz w:val="21"/>
              </w:rPr>
              <w:t>Lidera VRI</w:t>
            </w:r>
          </w:p>
        </w:tc>
      </w:tr>
      <w:tr>
        <w:tc>
          <w:tcPr>
            <w:tcW w:type="dxa" w:w="3485"/>
            <w:shd w:fill="EAF3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Modelo educativo, currículo y evaluación por competencias.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UFBI, docencia, prácticas, campo y simulación.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EPG como plataforma de implementación académica.</w:t>
            </w:r>
          </w:p>
        </w:tc>
        <w:tc>
          <w:tcPr>
            <w:tcW w:type="dxa" w:w="3485"/>
            <w:shd w:fill="DCEE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Investigación formativa y tesis alineadas a líneas reales.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IA y datos con política única.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Posgrado, docencia en servicio, empresas e infraestructura compartida.</w:t>
            </w:r>
          </w:p>
        </w:tc>
        <w:tc>
          <w:tcPr>
            <w:tcW w:type="dxa" w:w="3485"/>
            <w:shd w:fill="EAF6EF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Protección del investigador y del profesor joven.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Oficina pre/post-award, overhead transparente.</w:t>
            </w:r>
          </w:p>
          <w:p>
            <w:pPr>
              <w:pStyle w:val="ListBullet"/>
              <w:spacing w:after="40" w:before="0" w:line="269" w:lineRule="auto"/>
            </w:pPr>
            <w:r>
              <w:rPr>
                <w:rFonts w:ascii="Aptos" w:hAnsi="Aptos"/>
                <w:b w:val="0"/>
                <w:i w:val="0"/>
                <w:color w:val="243447"/>
                <w:sz w:val="18"/>
              </w:rPr>
              <w:t>Transferencia tecnológica, alianzas y misión científica interfacultades.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173F5F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Cómo se implementa</w:t>
            </w:r>
          </w:p>
        </w:tc>
      </w:tr>
    </w:tbl>
    <w:p>
      <w:pPr>
        <w:spacing w:after="160" w:before="0" w:line="269" w:lineRule="auto"/>
      </w:pPr>
      <w:r>
        <w:rPr>
          <w:rFonts w:ascii="Aptos" w:hAnsi="Aptos"/>
          <w:b w:val="0"/>
          <w:i w:val="0"/>
          <w:color w:val="2B2F42"/>
          <w:sz w:val="20"/>
        </w:rPr>
        <w:t>La diferencia de esta propuesta no está solo en sus ideas, sino en la forma de ejecutarlas. La implementación se organiza en una secuencia gobernable: primero se instala la capacidad de gestión; luego se lanzan pilotos de alto impacto; después se escalan las medidas que funcionan; y finalmente se institucionalizan mediante normas, presupuestos, tableros y rendición de cuentas. El eje de ejecución no es accesorio: es la condición para que la propuesta no termine como una suma de buenas intenciones (ver Anexo 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2D6A8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Ruta de implementación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85"/>
        <w:gridCol w:w="3485"/>
        <w:gridCol w:w="3485"/>
      </w:tblGrid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EAF3F8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19"/>
              </w:rPr>
              <w:t>Primeros 100 días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Instalar gobierno de implementación, auditoría, lineamientos marco, diagnósticos finos y pilotos iniciales.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Rectorado, VRA, VRI, PMO, Consejo Universitario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EAF3F8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19"/>
              </w:rPr>
              <w:t>Primer año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Mostrar cambios visibles: soporte a grants, DUGAD más ágil, evaluación docente formativa, articulación EPG–facultades, investigación formativa y cartera de empresas.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VRA, VRI, EPG, DUGAD, facultades, administración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EAF3F8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19"/>
              </w:rPr>
              <w:t>Años 2–3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Escalar pilotos, consolidar reglas de transparencia y sostenibilidad, ampliar posgrado, alianzas y proyectos interfacultades.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VRA, VRI, decanatos, unidades técnicas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EAF3F8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163A5C"/>
                <w:sz w:val="19"/>
              </w:rPr>
              <w:t>Año 4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shd w:fill="FFFFFF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Institucionalizar, evaluar, corregir y dejar mecanismos estables para la siguiente gestión.</w:t>
            </w:r>
          </w:p>
        </w:tc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shd w:fill="F7FAFC"/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 w:val="0"/>
                <w:i w:val="0"/>
                <w:color w:val="2F3B45"/>
                <w:sz w:val="19"/>
              </w:rPr>
              <w:t>Rectorado, Consejo Universitario, Secretaría General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54"/>
      </w:tblGrid>
      <w:tr>
        <w:tc>
          <w:tcPr>
            <w:tcW w:type="dxa" w:w="10454"/>
            <w:shd w:fill="2D6A8C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 w:before="0" w:line="269" w:lineRule="auto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Anexos técnicos y material suplementario</w:t>
            </w:r>
          </w:p>
        </w:tc>
      </w:tr>
    </w:tbl>
    <w:p>
      <w:pPr>
        <w:spacing w:after="80" w:before="0" w:line="269" w:lineRule="auto"/>
      </w:pPr>
      <w:r>
        <w:rPr>
          <w:rFonts w:ascii="Aptos" w:hAnsi="Aptos"/>
          <w:b w:val="0"/>
          <w:i w:val="0"/>
          <w:color w:val="2B2F42"/>
          <w:sz w:val="20"/>
        </w:rPr>
        <w:t>El presente documento resume la lógica general de la propuesta. Los desarrollos completos se presentan en los siguientes anexos:</w:t>
      </w:r>
    </w:p>
    <w:p>
      <w:pPr>
        <w:pStyle w:val="ListNumber"/>
        <w:spacing w:after="40" w:before="0" w:line="269" w:lineRule="auto"/>
      </w:pPr>
      <w:r>
        <w:rPr>
          <w:rFonts w:ascii="Aptos" w:hAnsi="Aptos"/>
          <w:b w:val="0"/>
          <w:i w:val="0"/>
          <w:color w:val="243447"/>
          <w:sz w:val="19"/>
        </w:rPr>
        <w:t>Anexo 1. Plan de Desarrollo Institucional UPCH 2026–2031: gobierno, sostenibilidad financiera y calidad.</w:t>
      </w:r>
    </w:p>
    <w:p>
      <w:pPr>
        <w:pStyle w:val="ListNumber"/>
        <w:spacing w:after="40" w:before="0" w:line="269" w:lineRule="auto"/>
      </w:pPr>
      <w:r>
        <w:rPr>
          <w:rFonts w:ascii="Aptos" w:hAnsi="Aptos"/>
          <w:b w:val="0"/>
          <w:i w:val="0"/>
          <w:color w:val="243447"/>
          <w:sz w:val="19"/>
        </w:rPr>
        <w:t>Anexo 2. Plan de Gobierno del Vicerrectorado Académico.</w:t>
      </w:r>
    </w:p>
    <w:p>
      <w:pPr>
        <w:pStyle w:val="ListNumber"/>
        <w:spacing w:after="40" w:before="0" w:line="269" w:lineRule="auto"/>
      </w:pPr>
      <w:r>
        <w:rPr>
          <w:rFonts w:ascii="Aptos" w:hAnsi="Aptos"/>
          <w:b w:val="0"/>
          <w:i w:val="0"/>
          <w:color w:val="243447"/>
          <w:sz w:val="19"/>
        </w:rPr>
        <w:t>Anexo 3. Plan de Gobierno del Vicerrectorado de Investigación.</w:t>
      </w:r>
    </w:p>
    <w:p>
      <w:pPr>
        <w:pStyle w:val="ListNumber"/>
        <w:spacing w:after="40" w:before="0" w:line="269" w:lineRule="auto"/>
      </w:pPr>
      <w:r>
        <w:rPr>
          <w:rFonts w:ascii="Aptos" w:hAnsi="Aptos"/>
          <w:b w:val="0"/>
          <w:i w:val="0"/>
          <w:color w:val="243447"/>
          <w:sz w:val="19"/>
        </w:rPr>
        <w:t>Anexo 4. Síntesis ejecutiva VRI–VRA.</w:t>
      </w:r>
    </w:p>
    <w:p>
      <w:pPr>
        <w:pStyle w:val="ListNumber"/>
        <w:spacing w:after="40" w:before="0" w:line="269" w:lineRule="auto"/>
      </w:pPr>
      <w:r>
        <w:rPr>
          <w:rFonts w:ascii="Aptos" w:hAnsi="Aptos"/>
          <w:b w:val="0"/>
          <w:i w:val="0"/>
          <w:color w:val="243447"/>
          <w:sz w:val="19"/>
        </w:rPr>
        <w:t>Anexo 5. Mapa de integración VRI–VRA.</w:t>
      </w:r>
    </w:p>
    <w:p>
      <w:pPr>
        <w:pStyle w:val="ListNumber"/>
        <w:spacing w:after="40" w:before="0" w:line="269" w:lineRule="auto"/>
      </w:pPr>
      <w:r>
        <w:rPr>
          <w:rFonts w:ascii="Aptos" w:hAnsi="Aptos"/>
          <w:b w:val="0"/>
          <w:i w:val="0"/>
          <w:color w:val="243447"/>
          <w:sz w:val="19"/>
        </w:rPr>
        <w:t>Anexo 6. Plan Maestro de Implementación VRI–VRA.</w:t>
      </w:r>
    </w:p>
    <w:p>
      <w:pPr>
        <w:spacing w:after="0" w:before="80" w:line="269" w:lineRule="auto"/>
      </w:pPr>
      <w:r>
        <w:rPr>
          <w:rFonts w:ascii="Aptos" w:hAnsi="Aptos"/>
          <w:b w:val="0"/>
          <w:i/>
          <w:color w:val="4A5563"/>
          <w:sz w:val="19"/>
        </w:rPr>
        <w:t>Este resumen se ha concebido como una primera lectura para quienes necesitan entender en pocos minutos qué problema se quiere corregir, qué cambia para la comunidad universitaria y por qué esta propuesta es ejecutable. Los anexos ofrecen el desarrollo técnico completo de cada componente.</w:t>
      </w:r>
    </w:p>
    <w:sectPr w:rsidR="00FC693F" w:rsidRPr="0006063C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