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Umowa najmu lokalu — przykład z nagłówkami</w:t>
      </w:r>
    </w:p>
    <w:p>
      <w:r>
        <w:t xml:space="preserve">Dokument testowy dla skrótów sekcji i panelu Struktura.</w:t>
      </w:r>
    </w:p>
    <w:p>
      <w:pPr>
        <w:pStyle w:val="Rozdzial"/>
      </w:pPr>
      <w:r>
        <w:t xml:space="preserve">§1 Strony umowy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Nagwek2"/>
      </w:pPr>
      <w:r>
        <w:t xml:space="preserve">Dane Wynajmującego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Nagwek2"/>
      </w:pPr>
      <w:r>
        <w:t xml:space="preserve">Dane Najemcy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Heading1"/>
      </w:pPr>
      <w:r>
        <w:t xml:space="preserve">§2 Przedmiot najmu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MojNaglowek"/>
      </w:pPr>
      <w:r>
        <w:t xml:space="preserve">§3 Czynsz i opłaty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Heading1"/>
      </w:pPr>
      <w:r>
        <w:t xml:space="preserve">§4 Kaucja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Heading1"/>
      </w:pPr>
      <w:r>
        <w:t xml:space="preserve">§5 Obowiązki stron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Heading1"/>
      </w:pPr>
      <w:r>
        <w:t xml:space="preserve">§6 Wypowiedzenie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pPr>
        <w:pStyle w:val="Heading1"/>
      </w:pPr>
      <w:r>
        <w:t xml:space="preserve">§7 Postanowienia końcowe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p>
      <w:r>
        <w:t xml:space="preserve">Najemca zobowiązuje się używać lokalu zgodnie z jego przeznaczeniem i dbać o jego stan techniczny. Wszelkie zmiany wymagają pisemnej zgody Wynajmującego. Strony ustalają, że korespondencja będzie prowadzona drogą elektroniczną.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Nagwek2">
    <w:name w:val="heading 2"/>
    <w:basedOn w:val="Normal"/>
    <w:rPr>
      <w:b/>
      <w:sz w:val="26"/>
    </w:rPr>
  </w:style>
  <w:style w:type="paragraph" w:customStyle="1" w:styleId="Rozdzial">
    <w:name w:val="Rozdział"/>
    <w:basedOn w:val="Normal"/>
    <w:pPr>
      <w:outlineLvl w:val="0"/>
    </w:pPr>
    <w:rPr>
      <w:b/>
      <w:sz w:val="32"/>
    </w:rPr>
  </w:style>
  <w:style w:type="paragraph" w:customStyle="1" w:styleId="MojNaglowek">
    <w:name w:val="Mój nagłówek"/>
    <w:basedOn w:val="Heading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