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39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9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524" w:lineRule="exact" w:before="652" w:after="0"/>
        <w:ind w:left="432" w:right="432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41"/>
        </w:rPr>
        <w:t xml:space="preserve">TUM School of Computation, Information </w:t>
      </w:r>
      <w:r>
        <w:rPr>
          <w:rFonts w:ascii="URWPalladioL" w:hAnsi="URWPalladioL" w:eastAsia="URWPalladioL"/>
          <w:b/>
          <w:i w:val="0"/>
          <w:color w:val="000000"/>
          <w:sz w:val="41"/>
        </w:rPr>
        <w:t>and Technology</w:t>
      </w:r>
    </w:p>
    <w:p>
      <w:pPr>
        <w:autoSpaceDN w:val="0"/>
        <w:autoSpaceDE w:val="0"/>
        <w:widowControl/>
        <w:spacing w:line="376" w:lineRule="exact" w:before="82" w:after="0"/>
        <w:ind w:left="432" w:right="432" w:firstLine="0"/>
        <w:jc w:val="center"/>
      </w:pPr>
      <w:r>
        <w:rPr>
          <w:w w:val="98.93931027116447"/>
          <w:rFonts w:ascii="URWPalladioL" w:hAnsi="URWPalladioL" w:eastAsia="URWPalladioL"/>
          <w:b w:val="0"/>
          <w:i w:val="0"/>
          <w:color w:val="000000"/>
          <w:sz w:val="29"/>
        </w:rPr>
        <w:t xml:space="preserve">Department of Computer Science (Data Analytics and Machine </w:t>
      </w:r>
      <w:r>
        <w:rPr>
          <w:w w:val="98.93931027116447"/>
          <w:rFonts w:ascii="URWPalladioL" w:hAnsi="URWPalladioL" w:eastAsia="URWPalladioL"/>
          <w:b w:val="0"/>
          <w:i w:val="0"/>
          <w:color w:val="000000"/>
          <w:sz w:val="29"/>
        </w:rPr>
        <w:t>Learning)</w:t>
      </w:r>
    </w:p>
    <w:p>
      <w:pPr>
        <w:autoSpaceDN w:val="0"/>
        <w:autoSpaceDE w:val="0"/>
        <w:widowControl/>
        <w:spacing w:line="240" w:lineRule="exact" w:before="21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4"/>
        </w:rPr>
        <w:t>TECHNISCHE UNIVERSITÄT MÜNCHEN</w:t>
      </w:r>
    </w:p>
    <w:p>
      <w:pPr>
        <w:autoSpaceDN w:val="0"/>
        <w:autoSpaceDE w:val="0"/>
        <w:widowControl/>
        <w:spacing w:line="286" w:lineRule="exact" w:before="954" w:after="0"/>
        <w:ind w:left="0" w:right="0" w:firstLine="0"/>
        <w:jc w:val="center"/>
      </w:pPr>
      <w:r>
        <w:rPr>
          <w:w w:val="98.93931027116447"/>
          <w:rFonts w:ascii="URWPalladioL" w:hAnsi="URWPalladioL" w:eastAsia="URWPalladioL"/>
          <w:b w:val="0"/>
          <w:i w:val="0"/>
          <w:color w:val="000000"/>
          <w:sz w:val="29"/>
        </w:rPr>
        <w:t>Master’s Thesis in Mathematics in Science and Engineering</w:t>
      </w:r>
    </w:p>
    <w:p>
      <w:pPr>
        <w:autoSpaceDN w:val="0"/>
        <w:autoSpaceDE w:val="0"/>
        <w:widowControl/>
        <w:spacing w:line="524" w:lineRule="exact" w:before="600" w:after="0"/>
        <w:ind w:left="432" w:right="432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41"/>
        </w:rPr>
        <w:t xml:space="preserve">Uncertainty Quantification for Machine </w:t>
      </w:r>
      <w:r>
        <w:rPr>
          <w:rFonts w:ascii="URWPalladioL" w:hAnsi="URWPalladioL" w:eastAsia="URWPalladioL"/>
          <w:b/>
          <w:i w:val="0"/>
          <w:color w:val="000000"/>
          <w:sz w:val="41"/>
        </w:rPr>
        <w:t xml:space="preserve">Learning Models in Transportation Policy </w:t>
      </w:r>
      <w:r>
        <w:rPr>
          <w:rFonts w:ascii="URWPalladioL" w:hAnsi="URWPalladioL" w:eastAsia="URWPalladioL"/>
          <w:b/>
          <w:i w:val="0"/>
          <w:color w:val="000000"/>
          <w:sz w:val="41"/>
        </w:rPr>
        <w:t>Analysis</w:t>
      </w:r>
    </w:p>
    <w:p>
      <w:pPr>
        <w:autoSpaceDN w:val="0"/>
        <w:autoSpaceDE w:val="0"/>
        <w:widowControl/>
        <w:spacing w:line="344" w:lineRule="exact" w:before="582" w:after="0"/>
        <w:ind w:left="0" w:right="0" w:firstLine="0"/>
        <w:jc w:val="center"/>
      </w:pPr>
      <w:r>
        <w:rPr>
          <w:w w:val="101.26706291647518"/>
          <w:rFonts w:ascii="URWPalladioL" w:hAnsi="URWPalladioL" w:eastAsia="URWPalladioL"/>
          <w:b w:val="0"/>
          <w:i w:val="0"/>
          <w:color w:val="000000"/>
          <w:sz w:val="34"/>
        </w:rPr>
        <w:t>Mohd Zamin Quadri</w:t>
      </w:r>
    </w:p>
    <w:p>
      <w:pPr>
        <w:sectPr>
          <w:pgSz w:w="11906" w:h="16838"/>
          <w:pgMar w:top="12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3900" cy="393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9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524" w:lineRule="exact" w:before="652" w:after="0"/>
        <w:ind w:left="432" w:right="432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41"/>
        </w:rPr>
        <w:t xml:space="preserve">TUM School of Computation, Information </w:t>
      </w:r>
      <w:r>
        <w:rPr>
          <w:rFonts w:ascii="URWPalladioL" w:hAnsi="URWPalladioL" w:eastAsia="URWPalladioL"/>
          <w:b/>
          <w:i w:val="0"/>
          <w:color w:val="000000"/>
          <w:sz w:val="41"/>
        </w:rPr>
        <w:t>and Technology</w:t>
      </w:r>
    </w:p>
    <w:p>
      <w:pPr>
        <w:autoSpaceDN w:val="0"/>
        <w:autoSpaceDE w:val="0"/>
        <w:widowControl/>
        <w:spacing w:line="376" w:lineRule="exact" w:before="82" w:after="0"/>
        <w:ind w:left="432" w:right="432" w:firstLine="0"/>
        <w:jc w:val="center"/>
      </w:pPr>
      <w:r>
        <w:rPr>
          <w:w w:val="98.93931027116447"/>
          <w:rFonts w:ascii="URWPalladioL" w:hAnsi="URWPalladioL" w:eastAsia="URWPalladioL"/>
          <w:b w:val="0"/>
          <w:i w:val="0"/>
          <w:color w:val="000000"/>
          <w:sz w:val="29"/>
        </w:rPr>
        <w:t xml:space="preserve">Department of Computer Science (Data Analytics and Machine </w:t>
      </w:r>
      <w:r>
        <w:rPr>
          <w:w w:val="98.93931027116447"/>
          <w:rFonts w:ascii="URWPalladioL" w:hAnsi="URWPalladioL" w:eastAsia="URWPalladioL"/>
          <w:b w:val="0"/>
          <w:i w:val="0"/>
          <w:color w:val="000000"/>
          <w:sz w:val="29"/>
        </w:rPr>
        <w:t>Learning)</w:t>
      </w:r>
    </w:p>
    <w:p>
      <w:pPr>
        <w:autoSpaceDN w:val="0"/>
        <w:autoSpaceDE w:val="0"/>
        <w:widowControl/>
        <w:spacing w:line="240" w:lineRule="exact" w:before="21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4"/>
        </w:rPr>
        <w:t>TECHNISCHE UNIVERSITÄT MÜNCHEN</w:t>
      </w:r>
    </w:p>
    <w:p>
      <w:pPr>
        <w:autoSpaceDN w:val="0"/>
        <w:autoSpaceDE w:val="0"/>
        <w:widowControl/>
        <w:spacing w:line="286" w:lineRule="exact" w:before="954" w:after="0"/>
        <w:ind w:left="0" w:right="0" w:firstLine="0"/>
        <w:jc w:val="center"/>
      </w:pPr>
      <w:r>
        <w:rPr>
          <w:w w:val="98.93931027116447"/>
          <w:rFonts w:ascii="URWPalladioL" w:hAnsi="URWPalladioL" w:eastAsia="URWPalladioL"/>
          <w:b w:val="0"/>
          <w:i w:val="0"/>
          <w:color w:val="000000"/>
          <w:sz w:val="29"/>
        </w:rPr>
        <w:t>Master’s Thesis in Mathematics in Science and Engineering</w:t>
      </w:r>
    </w:p>
    <w:p>
      <w:pPr>
        <w:autoSpaceDN w:val="0"/>
        <w:autoSpaceDE w:val="0"/>
        <w:widowControl/>
        <w:spacing w:line="524" w:lineRule="exact" w:before="714" w:after="0"/>
        <w:ind w:left="432" w:right="432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41"/>
        </w:rPr>
        <w:t xml:space="preserve">Uncertainty Quantification for Machine </w:t>
      </w:r>
      <w:r>
        <w:rPr>
          <w:rFonts w:ascii="URWPalladioL" w:hAnsi="URWPalladioL" w:eastAsia="URWPalladioL"/>
          <w:b/>
          <w:i w:val="0"/>
          <w:color w:val="000000"/>
          <w:sz w:val="41"/>
        </w:rPr>
        <w:t xml:space="preserve">Learning Models in Transportation Policy </w:t>
      </w:r>
      <w:r>
        <w:rPr>
          <w:rFonts w:ascii="URWPalladioL" w:hAnsi="URWPalladioL" w:eastAsia="URWPalladioL"/>
          <w:b/>
          <w:i w:val="0"/>
          <w:color w:val="000000"/>
          <w:sz w:val="41"/>
        </w:rPr>
        <w:t>Analysis</w:t>
      </w:r>
    </w:p>
    <w:p>
      <w:pPr>
        <w:autoSpaceDN w:val="0"/>
        <w:autoSpaceDE w:val="0"/>
        <w:widowControl/>
        <w:spacing w:line="522" w:lineRule="exact" w:before="454" w:after="0"/>
        <w:ind w:left="1296" w:right="1296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41"/>
        </w:rPr>
        <w:t xml:space="preserve">Unsicherheitsquantifizierung für </w:t>
      </w:r>
      <w:r>
        <w:rPr>
          <w:rFonts w:ascii="URWPalladioL" w:hAnsi="URWPalladioL" w:eastAsia="URWPalladioL"/>
          <w:b/>
          <w:i w:val="0"/>
          <w:color w:val="000000"/>
          <w:sz w:val="41"/>
        </w:rPr>
        <w:t xml:space="preserve">maschinelle Lernmodelle in der </w:t>
      </w:r>
      <w:r>
        <w:rPr>
          <w:rFonts w:ascii="URWPalladioL" w:hAnsi="URWPalladioL" w:eastAsia="URWPalladioL"/>
          <w:b/>
          <w:i w:val="0"/>
          <w:color w:val="000000"/>
          <w:sz w:val="41"/>
        </w:rPr>
        <w:t>Verkehrspolitikanalyse</w:t>
      </w:r>
    </w:p>
    <w:p>
      <w:pPr>
        <w:autoSpaceDN w:val="0"/>
        <w:tabs>
          <w:tab w:pos="3008" w:val="left"/>
        </w:tabs>
        <w:autoSpaceDE w:val="0"/>
        <w:widowControl/>
        <w:spacing w:line="284" w:lineRule="exact" w:before="670" w:after="0"/>
        <w:ind w:left="1078" w:right="100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Author: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Mohd Zamin Quadri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Examiner: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Prof. Dr. Stephan Günnemann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Supervisor: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Dominik Fuchsgruber, M.Sc., Elena Natterer, M.Sc.</w:t>
      </w:r>
    </w:p>
    <w:p>
      <w:pPr>
        <w:autoSpaceDN w:val="0"/>
        <w:tabs>
          <w:tab w:pos="3008" w:val="left"/>
        </w:tabs>
        <w:autoSpaceDE w:val="0"/>
        <w:widowControl/>
        <w:spacing w:line="218" w:lineRule="exact" w:before="68" w:after="0"/>
        <w:ind w:left="107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Submission Date: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May 15, 2026</w:t>
      </w:r>
    </w:p>
    <w:p>
      <w:pPr>
        <w:sectPr>
          <w:pgSz w:w="11906" w:h="16838"/>
          <w:pgMar w:top="12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56"/>
        <w:ind w:left="0" w:right="0"/>
      </w:pPr>
    </w:p>
    <w:p>
      <w:pPr>
        <w:autoSpaceDN w:val="0"/>
        <w:autoSpaceDE w:val="0"/>
        <w:widowControl/>
        <w:spacing w:line="252" w:lineRule="exact" w:before="0" w:after="916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 confirm that this master’s thesis is my own work and I have documented all sources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and material used.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34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Munich, May 15, 2026</w:t>
      </w:r>
    </w:p>
    <w:p>
      <w:pPr>
        <w:sectPr>
          <w:type w:val="continuous"/>
          <w:pgSz w:w="11906" w:h="16838"/>
          <w:pgMar w:top="1440" w:right="1440" w:bottom="1440" w:left="1440" w:header="720" w:footer="720" w:gutter="0"/>
          <w:cols w:num="2" w:equalWidth="0">
            <w:col w:w="4558" w:space="0"/>
            <w:col w:w="4468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346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Mohd Zamin Quadri</w:t>
      </w:r>
    </w:p>
    <w:p>
      <w:pPr>
        <w:sectPr>
          <w:type w:val="nextColumn"/>
          <w:pgSz w:w="11906" w:h="16838"/>
          <w:pgMar w:top="1440" w:right="1440" w:bottom="1440" w:left="1440" w:header="720" w:footer="720" w:gutter="0"/>
          <w:cols w:num="2" w:equalWidth="0">
            <w:col w:w="4558" w:space="0"/>
            <w:col w:w="446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3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0" w:right="0" w:firstLine="0"/>
        <w:jc w:val="center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Acknowledgments</w:t>
      </w:r>
    </w:p>
    <w:p>
      <w:pPr>
        <w:autoSpaceDN w:val="0"/>
        <w:tabs>
          <w:tab w:pos="564" w:val="left"/>
        </w:tabs>
        <w:autoSpaceDE w:val="0"/>
        <w:widowControl/>
        <w:spacing w:line="284" w:lineRule="exact" w:before="790" w:after="0"/>
        <w:ind w:left="346" w:right="288" w:firstLine="0"/>
        <w:jc w:val="left"/>
      </w:pP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I thank Prof. Dr. Stephan Günnemann for the opportunity to work on this thesis,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my advisors Dominik Fuchsgruber and Elena Natterer for their valuable guidance.</w:t>
      </w:r>
    </w:p>
    <w:p>
      <w:pPr>
        <w:autoSpaceDN w:val="0"/>
        <w:autoSpaceDE w:val="0"/>
        <w:widowControl/>
        <w:spacing w:line="284" w:lineRule="exact" w:before="286" w:after="0"/>
        <w:ind w:left="346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Elena Natterer provided the MATSim simulation pipeline and the PointNetTrans-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fGAT architecture. Dominik Fuchsgruber advised on uncertainty quantification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calibration.</w:t>
      </w:r>
    </w:p>
    <w:p>
      <w:pPr>
        <w:autoSpaceDN w:val="0"/>
        <w:autoSpaceDE w:val="0"/>
        <w:widowControl/>
        <w:spacing w:line="218" w:lineRule="exact" w:before="350" w:after="0"/>
        <w:ind w:left="56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I am grateful to my family for their support during this work.</w:t>
      </w:r>
    </w:p>
    <w:p>
      <w:pPr>
        <w:autoSpaceDN w:val="0"/>
        <w:autoSpaceDE w:val="0"/>
        <w:widowControl/>
        <w:spacing w:line="284" w:lineRule="exact" w:before="284" w:after="0"/>
        <w:ind w:left="346" w:right="346" w:firstLine="218"/>
        <w:jc w:val="both"/>
      </w:pPr>
      <w:r>
        <w:rPr>
          <w:w w:val="98.92539111050692"/>
          <w:rFonts w:ascii="URWPalladioL" w:hAnsi="URWPalladioL" w:eastAsia="URWPalladioL"/>
          <w:b w:val="0"/>
          <w:i w:val="0"/>
          <w:color w:val="000000"/>
          <w:sz w:val="22"/>
        </w:rPr>
        <w:t xml:space="preserve">I used Grammarly and a large-language-model assistant (ChatGPT) for editing. The 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scientific content, methodology, experimental design, code, results, and interpretations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are my own.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Abstract</w:t>
      </w:r>
    </w:p>
    <w:p>
      <w:pPr>
        <w:autoSpaceDN w:val="0"/>
        <w:autoSpaceDE w:val="0"/>
        <w:widowControl/>
        <w:spacing w:line="284" w:lineRule="exact" w:before="442" w:after="0"/>
        <w:ind w:left="344" w:right="288" w:hanging="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Agent-based simulators such as MATSim are the standard tool for evaluating urban </w:t>
      </w:r>
      <w:r>
        <w:rPr>
          <w:w w:val="98.27701395208184"/>
          <w:rFonts w:ascii="URWPalladioL" w:hAnsi="URWPalladioL" w:eastAsia="URWPalladioL"/>
          <w:b w:val="0"/>
          <w:i w:val="0"/>
          <w:color w:val="000000"/>
          <w:sz w:val="22"/>
        </w:rPr>
        <w:t xml:space="preserve">transport policy but take hours per Paris-scale scenario; Graph Neural Network (GNN)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surrogates close that gap to seconds. Accuracy alone is not enough for decision support,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however, because predictions can degrade outside the training distribution without any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external signal. This thesis evaluates uncertainty quantification (UQ) for a PointNet-</w:t>
      </w:r>
      <w:r>
        <w:rPr>
          <w:w w:val="98.37704571810636"/>
          <w:rFonts w:ascii="URWPalladioL" w:hAnsi="URWPalladioL" w:eastAsia="URWPalladioL"/>
          <w:b w:val="0"/>
          <w:i w:val="0"/>
          <w:color w:val="000000"/>
          <w:sz w:val="22"/>
        </w:rPr>
        <w:t>TransfGAT GNN traffic surrogate on a Paris road network, using a fixed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37704571810636"/>
          <w:rFonts w:ascii="URWPalladioL" w:hAnsi="URWPalladioL" w:eastAsia="URWPalladioL"/>
          <w:b w:val="0"/>
          <w:i w:val="0"/>
          <w:color w:val="000000"/>
          <w:sz w:val="22"/>
        </w:rPr>
        <w:t xml:space="preserve">000-scenario 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>subset of the 10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 xml:space="preserve">000-scenario MATSim corpus reused across all eleven trials. The scope 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 xml:space="preserve">is intentionally narrow – one road network, one intervention type (capacity reduction), 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one GNN architecture family, one subset – and the findings are empirical observations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within that scope rather than general principles.</w:t>
      </w:r>
    </w:p>
    <w:p>
      <w:pPr>
        <w:autoSpaceDN w:val="0"/>
        <w:autoSpaceDE w:val="0"/>
        <w:widowControl/>
        <w:spacing w:line="284" w:lineRule="exact" w:before="0" w:after="0"/>
        <w:ind w:left="346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Trial 8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0.5957 on 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500 test nodes) is the primary UQ base. Monte Carlo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Dropout gives Spearman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0.4820 between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and absolute error, but the raw intervals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are uncalibrated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11.66 vs Gaussian 1.96); regression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-scaling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2.887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reduces the Kuleshov ECE by 90.5% and brings 1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coverage to within 0.3 pp of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Gaussian target. Split conformal achieves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90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90.02% and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95.01%; 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>adaptive conformal narrows conditional coverage from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>59.0%, 98.1%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 xml:space="preserve"> to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>83.7%, 96.4%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] 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across uncertainty deciles. Retaining the 50% most confident predictions reduces MAE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by 41.2% to 2.32 veh/h.</w:t>
      </w:r>
    </w:p>
    <w:p>
      <w:pPr>
        <w:autoSpaceDN w:val="0"/>
        <w:autoSpaceDE w:val="0"/>
        <w:widowControl/>
        <w:spacing w:line="284" w:lineRule="exact" w:before="0" w:after="0"/>
        <w:ind w:left="338" w:right="288" w:firstLine="218"/>
        <w:jc w:val="left"/>
      </w:pP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 xml:space="preserve">Three uncertainty-aware training extensions isolate one design choice: Trial 10 (CQR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head, unfrozen backbone) collapses to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0.4057, while Trial 11 (same head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learning rate, backbone frozen) passes all six gates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0.5835 – the contrast 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 xml:space="preserve">supports freezing the MSE-trained backbone within the present setting rather than as a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universal principle. A five-member Deep Ensemble achieves the highest GNN-based,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UQ-capable point accuracy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0.6841,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+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14.8% over T8) at weaker UQ ranking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</w:t>
      </w:r>
      <w:r>
        <w:rPr>
          <w:rFonts w:ascii="PazoMath" w:hAnsi="PazoMath" w:eastAsia="PazoMath"/>
          <w:b w:val="0"/>
          <w:i/>
          <w:color w:val="000000"/>
          <w:sz w:val="22"/>
        </w:rPr>
        <w:t>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0.3997). Non-GNN baselines (XGBoost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0.7414, Random Forest 0.6612)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exceed T8 on point accuracy. The contribution of this thesis is orthogonal to point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accuracy: the per-prediction UQ pipeline evaluated here (MC Dropout, regression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scaling, conformal coverage, frozen-backbone CQR) is not provided by the default tree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baselines; tree-native UQ extensions such as quantile regression forests and NGBoost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are plausible competitors and remain future work.</w:t>
      </w:r>
    </w:p>
    <w:p>
      <w:pPr>
        <w:autoSpaceDN w:val="0"/>
        <w:autoSpaceDE w:val="0"/>
        <w:widowControl/>
        <w:spacing w:line="218" w:lineRule="exact" w:before="136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iv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Zusammenfassung</w:t>
      </w:r>
    </w:p>
    <w:p>
      <w:pPr>
        <w:autoSpaceDN w:val="0"/>
        <w:autoSpaceDE w:val="0"/>
        <w:widowControl/>
        <w:spacing w:line="284" w:lineRule="exact" w:before="442" w:after="0"/>
        <w:ind w:left="334" w:right="288" w:firstLine="2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Agentenbasierte Simulationen wie MATSim sind das Standardwerkzeug für die Be-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wertung städtischer Verkehrspolitik, benötigen jedoch Stunden pro Paris-Szenario;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Graph-Neural-Network-Surrogate (GNN) reduzieren diese Laufzeit auf Sekunden.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Genauigkeit allein genügt jedoch nicht für Entscheidungsunterstützung: Vorhersa-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gen können sich außerhalb der Trainingsverteilung unbemerkt verschlechtern. Diese </w:t>
      </w:r>
      <w:r>
        <w:rPr>
          <w:w w:val="98.32703850486062"/>
          <w:rFonts w:ascii="URWPalladioL" w:hAnsi="URWPalladioL" w:eastAsia="URWPalladioL"/>
          <w:b w:val="0"/>
          <w:i w:val="0"/>
          <w:color w:val="000000"/>
          <w:sz w:val="22"/>
        </w:rPr>
        <w:t>Arbeit untersucht Unsicherheitsquantifizierung (UQ) für ein PointNetTransfGAT-GNN-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Verkehrssurrogat am Pariser Straßennetz auf Basis einer festen Teilmenge von 1 000 aus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10 000 MATSim-Szenarien, die in allen elf Versuchen identisch verwendet wird.</w:t>
      </w:r>
    </w:p>
    <w:p>
      <w:pPr>
        <w:autoSpaceDN w:val="0"/>
        <w:autoSpaceDE w:val="0"/>
        <w:widowControl/>
        <w:spacing w:line="284" w:lineRule="exact" w:before="2" w:after="0"/>
        <w:ind w:left="346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Versuch 8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5957 auf 3 163 500 Testknoten) ist das primäre UQ-Basismodell.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Monte-Carlo-Dropout liefert Spearman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4820 zwischen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und absolutem Feh-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ler, doch die rohen Intervalle sind unkalibriert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66 vs Gauß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96); eine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Regressions-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-Skalierung mit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887 reduziert den Kuleshov-ECE um 90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5 % und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bringt die 1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-Abdeckung innerhalb von 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3 Prozentpunkten an das Gauß-Ziel. Split-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Konformalprädiktion erreicht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90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90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02 % und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95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01 %; adaptive Konfor-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malprädiktion verengt die bedingte Abdeckung von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59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0 %, 98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1 %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auf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83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7 %, 96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4 %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über die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-Dezile. Das Behalten der 50 % zuverlässigsten Vorhersagen reduziert den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MAE um 41,2 % auf 2,32 Fz/h.</w:t>
      </w:r>
    </w:p>
    <w:p>
      <w:pPr>
        <w:autoSpaceDN w:val="0"/>
        <w:autoSpaceDE w:val="0"/>
        <w:widowControl/>
        <w:spacing w:line="284" w:lineRule="exact" w:before="0" w:after="0"/>
        <w:ind w:left="338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Drei unsicherheitsbewusste Trainingsvarianten isolieren einen Designaspekt: Ver-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such 10 (CQR-Kopf, trainierbarer Backbone) bricht auf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4057 ein, während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Versuch 11 (gleicher Kopf und gleiche Lernrate, eingefrorener Backbone) alle sechs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Kriterien bei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5835 besteht – der Vergleich stützt das Einfrieren des MSE-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trainierten Backbones innerhalb des untersuchten Rahmens und nicht als allgemeines </w:t>
      </w:r>
      <w:r>
        <w:rPr>
          <w:w w:val="98.37704571810636"/>
          <w:rFonts w:ascii="URWPalladioL" w:hAnsi="URWPalladioL" w:eastAsia="URWPalladioL"/>
          <w:b w:val="0"/>
          <w:i w:val="0"/>
          <w:color w:val="000000"/>
          <w:sz w:val="22"/>
        </w:rPr>
        <w:t>Prinzip. Ein Deep Ensemble aus fünf Modellen erreicht die höchste GNN-basierte, UQ-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fähige Punktgenauigkeit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6841,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+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14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8 % über T8) bei schwächerem UQ-Ranking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</w:t>
      </w:r>
      <w:r>
        <w:rPr>
          <w:rFonts w:ascii="PazoMath" w:hAnsi="PazoMath" w:eastAsia="PazoMath"/>
          <w:b w:val="0"/>
          <w:i/>
          <w:color w:val="000000"/>
          <w:sz w:val="22"/>
        </w:rPr>
        <w:t>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3997). Nicht-GNN-Vergleichsmodelle (XGBoost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7414, Random Forest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6612) übertreffen T8 in der Punktgenauigkeit. Der Beitrag dieser Arbeit ist orthogonal 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zur Punktgenauigkeit: Die hier evaluierte vorhersagespezifische UQ-Pipeline wird von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den Baum-Vergleichsmodellen in ihrer Standardform nicht bereitgestellt; baumbasier-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te UQ-Erweiterungen wie Quantile Regression Forests und NGBoost sind plausible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Konkurrenten und verbleiben als zukünftige Arbeit.</w:t>
      </w:r>
    </w:p>
    <w:p>
      <w:pPr>
        <w:autoSpaceDN w:val="0"/>
        <w:autoSpaceDE w:val="0"/>
        <w:widowControl/>
        <w:spacing w:line="218" w:lineRule="exact" w:before="136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v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406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816"/>
        </w:trPr>
        <w:tc>
          <w:tcPr>
            <w:tcW w:type="dxa" w:w="795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4" w:right="6048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Acknowledgments </w:t>
            </w:r>
            <w:r>
              <w:br/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Abstract </w:t>
            </w:r>
            <w:r>
              <w:br/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Zusammenfassung </w:t>
            </w:r>
            <w:r>
              <w:br/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1. Introduction</w:t>
            </w:r>
          </w:p>
        </w:tc>
        <w:tc>
          <w:tcPr>
            <w:tcW w:type="dxa" w:w="38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iii</w:t>
            </w:r>
          </w:p>
          <w:p>
            <w:pPr>
              <w:autoSpaceDN w:val="0"/>
              <w:autoSpaceDE w:val="0"/>
              <w:widowControl/>
              <w:spacing w:line="218" w:lineRule="exact" w:before="284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iv</w:t>
            </w:r>
          </w:p>
          <w:p>
            <w:pPr>
              <w:autoSpaceDN w:val="0"/>
              <w:autoSpaceDE w:val="0"/>
              <w:widowControl/>
              <w:spacing w:line="218" w:lineRule="exact" w:before="286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v</w:t>
            </w:r>
          </w:p>
          <w:p>
            <w:pPr>
              <w:autoSpaceDN w:val="0"/>
              <w:autoSpaceDE w:val="0"/>
              <w:widowControl/>
              <w:spacing w:line="286" w:lineRule="exact" w:before="216" w:after="0"/>
              <w:ind w:left="270" w:right="4" w:firstLine="0"/>
              <w:jc w:val="both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1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</w:t>
            </w:r>
          </w:p>
          <w:p>
            <w:pPr>
              <w:autoSpaceDN w:val="0"/>
              <w:autoSpaceDE w:val="0"/>
              <w:widowControl/>
              <w:spacing w:line="284" w:lineRule="exact" w:before="216" w:after="0"/>
              <w:ind w:left="270" w:right="4" w:firstLine="0"/>
              <w:jc w:val="both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5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5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5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6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</w:t>
            </w:r>
          </w:p>
          <w:p>
            <w:pPr>
              <w:autoSpaceDN w:val="0"/>
              <w:autoSpaceDE w:val="0"/>
              <w:widowControl/>
              <w:spacing w:line="286" w:lineRule="exact" w:before="214" w:after="0"/>
              <w:ind w:left="144" w:right="4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9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9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9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10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11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14</w:t>
            </w:r>
          </w:p>
          <w:p>
            <w:pPr>
              <w:autoSpaceDN w:val="0"/>
              <w:autoSpaceDE w:val="0"/>
              <w:widowControl/>
              <w:spacing w:line="284" w:lineRule="exact" w:before="216" w:after="0"/>
              <w:ind w:left="162" w:right="4" w:firstLine="0"/>
              <w:jc w:val="both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15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15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16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16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18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18</w:t>
            </w:r>
          </w:p>
          <w:p>
            <w:pPr>
              <w:autoSpaceDN w:val="0"/>
              <w:autoSpaceDE w:val="0"/>
              <w:widowControl/>
              <w:spacing w:line="286" w:lineRule="exact" w:before="216" w:after="0"/>
              <w:ind w:left="162" w:right="4" w:firstLine="0"/>
              <w:jc w:val="both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19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19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20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21</w:t>
            </w:r>
          </w:p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1.1.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Contributions . . . . . . . . . .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1.2.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Thesis Structure . . . . . . . . .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795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4" w:after="0"/>
              <w:ind w:left="4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2. Background and Related Work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2.1.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Agent-Based Transport Models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2.2.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Graph Neural Networks . . . .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2.3.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Uncertainty Quantification in Deep Learning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2.4.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Surrogates and UQ in Adjacent Domains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795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4" w:after="0"/>
              <w:ind w:left="4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3. Methodology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3.1.</w:t>
            </w:r>
          </w:p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Provenance and Reused Components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3.2.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Problem Formulation . . . . . .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3.3.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Model Architecture . . . . . . .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3.4.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Uncertainty Quantification Methods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3.5.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Evaluation Metrics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795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0" w:after="0"/>
              <w:ind w:left="4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4. Experimental Setup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4.1.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Dataset and Splits . . . . . . . .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4.2.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Training Protocol . . . . . . . .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4.3.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Post-Hoc UQ and Ensemble Experimental Design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4.4.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Uncertainty-Aware Training Extensions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4.5.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Computational Resources . . .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795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6" w:after="0"/>
              <w:ind w:left="4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5. Results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5.1.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Base Trial Performance (T1–T8)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5.2.</w:t>
            </w:r>
          </w:p>
        </w:tc>
        <w:tc>
          <w:tcPr>
            <w:tcW w:type="dxa" w:w="7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MC Dropout Uncertainty (T8) . . . . . . . .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940"/>
        </w:trPr>
        <w:tc>
          <w:tcPr>
            <w:tcW w:type="dxa" w:w="73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5.3.</w:t>
            </w:r>
          </w:p>
        </w:tc>
        <w:tc>
          <w:tcPr>
            <w:tcW w:type="dxa" w:w="7220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Calibration and Conformal Prediction (T8) . . . . . . . . . . . . . . . . .</w:t>
            </w:r>
          </w:p>
        </w:tc>
        <w:tc>
          <w:tcPr>
            <w:tcW w:type="dxa" w:w="1805"/>
            <w:vMerge/>
            <w:tcBorders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6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vi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56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722"/>
        </w:trPr>
        <w:tc>
          <w:tcPr>
            <w:tcW w:type="dxa" w:w="73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7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5.4.</w:t>
            </w:r>
          </w:p>
        </w:tc>
        <w:tc>
          <w:tcPr>
            <w:tcW w:type="dxa" w:w="314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Post-Hoc Regression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-Scaling</w:t>
            </w:r>
          </w:p>
        </w:tc>
        <w:tc>
          <w:tcPr>
            <w:tcW w:type="dxa" w:w="4080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7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 . . . . .</w:t>
            </w:r>
          </w:p>
        </w:tc>
        <w:tc>
          <w:tcPr>
            <w:tcW w:type="dxa" w:w="38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04" w:after="0"/>
              <w:ind w:left="162" w:right="4" w:firstLine="0"/>
              <w:jc w:val="both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22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24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25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26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26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28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30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31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32</w:t>
            </w:r>
          </w:p>
          <w:p>
            <w:pPr>
              <w:autoSpaceDN w:val="0"/>
              <w:autoSpaceDE w:val="0"/>
              <w:widowControl/>
              <w:spacing w:line="284" w:lineRule="exact" w:before="216" w:after="0"/>
              <w:ind w:left="162" w:right="4" w:firstLine="0"/>
              <w:jc w:val="both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34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34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34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34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35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36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36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37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38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38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40</w:t>
            </w:r>
          </w:p>
          <w:p>
            <w:pPr>
              <w:autoSpaceDN w:val="0"/>
              <w:autoSpaceDE w:val="0"/>
              <w:widowControl/>
              <w:spacing w:line="218" w:lineRule="exact" w:before="28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41</w:t>
            </w:r>
          </w:p>
          <w:p>
            <w:pPr>
              <w:autoSpaceDN w:val="0"/>
              <w:autoSpaceDE w:val="0"/>
              <w:widowControl/>
              <w:spacing w:line="218" w:lineRule="exact" w:before="286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43</w:t>
            </w:r>
          </w:p>
          <w:p>
            <w:pPr>
              <w:autoSpaceDN w:val="0"/>
              <w:autoSpaceDE w:val="0"/>
              <w:widowControl/>
              <w:spacing w:line="218" w:lineRule="exact" w:before="284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46</w:t>
            </w:r>
          </w:p>
          <w:p>
            <w:pPr>
              <w:autoSpaceDN w:val="0"/>
              <w:autoSpaceDE w:val="0"/>
              <w:widowControl/>
              <w:spacing w:line="218" w:lineRule="exact" w:before="284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48</w:t>
            </w:r>
          </w:p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5.5.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Proper Scoring Rules, Selective Prediction, Error Detection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5.6.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Ensemble Experiments . . . . . . . . . . . . 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5.7.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Trial 9: Heteroscedastic, Frozen Backbone . 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5.8.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Trial 10: CQR with Unfrozen Backbone (Negative)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5.9.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Trial 11: CQR with Frozen Backbone (Positive)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95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4" w:after="0"/>
              <w:ind w:left="3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5.10. Stratified UQ by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|</w:t>
            </w:r>
            <w:r>
              <w:rPr>
                <w:rFonts w:ascii="PazoMath" w:hAnsi="PazoMath" w:eastAsia="PazoMath"/>
                <w:b w:val="0"/>
                <w:i w:val="0"/>
                <w:color w:val="000000"/>
                <w:sz w:val="22"/>
              </w:rPr>
              <w:t>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v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|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Quartile . . . . . . . . 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28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3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5.11. Non-GNN Baselines</w:t>
            </w:r>
          </w:p>
        </w:tc>
        <w:tc>
          <w:tcPr>
            <w:tcW w:type="dxa" w:w="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800"/>
        </w:trPr>
        <w:tc>
          <w:tcPr>
            <w:tcW w:type="dxa" w:w="795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384" w:lineRule="exact" w:before="0" w:after="0"/>
              <w:ind w:left="4" w:right="144" w:firstLine="0"/>
              <w:jc w:val="left"/>
            </w:pPr>
            <w:r>
              <w:tab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5.12. An Illustrative Decision Framework . . . . . . . . . . . . . . . . . . . . . 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6. Discussion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6.1.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Freezing the Backbone: An Empirical Observation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6.2.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The Layered Calibration Hierarchy . . . . . 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6.3.</w:t>
            </w:r>
          </w:p>
        </w:tc>
        <w:tc>
          <w:tcPr>
            <w:tcW w:type="dxa" w:w="4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9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Stratified UQ: Why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ρ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Drops on Large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|</w:t>
            </w:r>
            <w:r>
              <w:rPr>
                <w:rFonts w:ascii="PazoMath" w:hAnsi="PazoMath" w:eastAsia="PazoMath"/>
                <w:b w:val="0"/>
                <w:i w:val="0"/>
                <w:color w:val="000000"/>
                <w:sz w:val="22"/>
              </w:rPr>
              <w:t>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v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|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6.4.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The Exchangeability Assumption . . . . . . 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6.5.</w:t>
            </w:r>
          </w:p>
        </w:tc>
        <w:tc>
          <w:tcPr>
            <w:tcW w:type="dxa" w:w="4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9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The PIT Diagnostic and CRPS/MAE Ratio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6.6.</w:t>
            </w:r>
          </w:p>
        </w:tc>
        <w:tc>
          <w:tcPr>
            <w:tcW w:type="dxa" w:w="3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9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Answers to the Research Questions</w:t>
            </w:r>
          </w:p>
        </w:tc>
        <w:tc>
          <w:tcPr>
            <w:tcW w:type="dxa" w:w="3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6.7.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Primary Findings . . . . . . . . . . . . . . . 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6.8.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What the Existing Trials Do and Do Not Prove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6.9.</w:t>
            </w:r>
          </w:p>
        </w:tc>
        <w:tc>
          <w:tcPr>
            <w:tcW w:type="dxa" w:w="3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Limitations and Future Directions</w:t>
            </w:r>
          </w:p>
        </w:tc>
        <w:tc>
          <w:tcPr>
            <w:tcW w:type="dxa" w:w="3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3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28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3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6.10. Threats to Validity</w:t>
            </w:r>
          </w:p>
        </w:tc>
        <w:tc>
          <w:tcPr>
            <w:tcW w:type="dxa" w:w="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 . . . . . . . . . . . .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760"/>
        </w:trPr>
        <w:tc>
          <w:tcPr>
            <w:tcW w:type="dxa" w:w="7958"/>
            <w:gridSpan w:val="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0" w:after="0"/>
              <w:ind w:left="4" w:right="5472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7. Conclusion </w:t>
            </w:r>
            <w:r>
              <w:br/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A. Verified Master Table </w:t>
            </w:r>
            <w:r>
              <w:br/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Abbreviations </w:t>
            </w:r>
            <w:r>
              <w:br/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Bibliography</w:t>
            </w:r>
          </w:p>
        </w:tc>
        <w:tc>
          <w:tcPr>
            <w:tcW w:type="dxa" w:w="128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vii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446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List of Figures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96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1.1.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Paris road network as a directed line graph used by the GNN surrogate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rPr>
          <w:trHeight w:hRule="exact" w:val="4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3.1.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PointNetTransfGAT data flow . . . . . . . . . . . . . . . . . . . . . . . . .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8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12</w:t>
            </w:r>
          </w:p>
        </w:tc>
      </w:tr>
      <w:tr>
        <w:trPr>
          <w:trHeight w:hRule="exact" w:val="4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5.1.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Conditional coverage by uncertainty decile . . . . . . . . . . . . . . . . .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23</w:t>
            </w:r>
          </w:p>
        </w:tc>
      </w:tr>
      <w:tr>
        <w:trPr>
          <w:trHeight w:hRule="exact" w:val="26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5.2.</w:t>
            </w:r>
          </w:p>
        </w:tc>
        <w:tc>
          <w:tcPr>
            <w:tcW w:type="dxa" w:w="3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Regression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-scaling ECE optimisation</w:t>
            </w:r>
          </w:p>
        </w:tc>
        <w:tc>
          <w:tcPr>
            <w:tcW w:type="dxa" w:w="3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24</w:t>
            </w:r>
          </w:p>
        </w:tc>
      </w:tr>
      <w:tr>
        <w:trPr>
          <w:trHeight w:hRule="exact" w:val="3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5.3.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Selective prediction curve. Annotations mark 50% and 90% retention. .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25</w:t>
            </w:r>
          </w:p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5.4.</w:t>
            </w:r>
          </w:p>
        </w:tc>
        <w:tc>
          <w:tcPr>
            <w:tcW w:type="dxa" w:w="5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Deep Ensemble: mean exceeds every individual member.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26</w:t>
            </w:r>
          </w:p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5.5.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Master summary of the GNN-based evaluated models . . . . . . . . . .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27</w:t>
            </w:r>
          </w:p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5.6.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CQR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progression</w:t>
            </w:r>
          </w:p>
        </w:tc>
        <w:tc>
          <w:tcPr>
            <w:tcW w:type="dxa" w:w="5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 . . . . . . . . . . .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29</w:t>
            </w:r>
          </w:p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5.7.</w:t>
            </w:r>
          </w:p>
        </w:tc>
        <w:tc>
          <w:tcPr>
            <w:tcW w:type="dxa" w:w="5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Stratified UQ: MAE rises and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ρ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falls as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|</w:t>
            </w:r>
            <w:r>
              <w:rPr>
                <w:rFonts w:ascii="PazoMath" w:hAnsi="PazoMath" w:eastAsia="PazoMath"/>
                <w:b w:val="0"/>
                <w:i w:val="0"/>
                <w:color w:val="000000"/>
                <w:sz w:val="22"/>
              </w:rPr>
              <w:t>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v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|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grows.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30</w:t>
            </w:r>
          </w:p>
        </w:tc>
      </w:tr>
      <w:tr>
        <w:trPr>
          <w:trHeight w:hRule="exact" w:val="6880"/>
        </w:trPr>
        <w:tc>
          <w:tcPr>
            <w:tcW w:type="dxa" w:w="73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5.8.</w:t>
            </w:r>
          </w:p>
        </w:tc>
        <w:tc>
          <w:tcPr>
            <w:tcW w:type="dxa" w:w="7220"/>
            <w:gridSpan w:val="5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Illustrative three-tier decision framework . . . . . . . . . . . . . . . . . .</w:t>
            </w:r>
          </w:p>
        </w:tc>
        <w:tc>
          <w:tcPr>
            <w:tcW w:type="dxa" w:w="3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218" w:lineRule="exact" w:before="6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viii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446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List of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6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3.1.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Raw-unit statistics for the five input features . . . . . . . . . . . . . . . .</w:t>
            </w:r>
          </w:p>
        </w:tc>
        <w:tc>
          <w:tcPr>
            <w:tcW w:type="dxa" w:w="38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44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10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11</w:t>
            </w:r>
          </w:p>
          <w:p>
            <w:pPr>
              <w:autoSpaceDN w:val="0"/>
              <w:autoSpaceDE w:val="0"/>
              <w:widowControl/>
              <w:spacing w:line="284" w:lineRule="exact" w:before="200" w:after="0"/>
              <w:ind w:left="162" w:right="4" w:firstLine="0"/>
              <w:jc w:val="both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15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16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17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18</w:t>
            </w:r>
          </w:p>
          <w:p>
            <w:pPr>
              <w:autoSpaceDN w:val="0"/>
              <w:autoSpaceDE w:val="0"/>
              <w:widowControl/>
              <w:spacing w:line="284" w:lineRule="exact" w:before="200" w:after="0"/>
              <w:ind w:left="162" w:right="4" w:firstLine="0"/>
              <w:jc w:val="both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20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21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22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23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27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28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28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29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31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32</w:t>
            </w:r>
          </w:p>
          <w:p>
            <w:pPr>
              <w:autoSpaceDN w:val="0"/>
              <w:autoSpaceDE w:val="0"/>
              <w:widowControl/>
              <w:spacing w:line="284" w:lineRule="exact" w:before="200" w:after="0"/>
              <w:ind w:left="144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35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39</w:t>
            </w:r>
          </w:p>
          <w:p>
            <w:pPr>
              <w:autoSpaceDN w:val="0"/>
              <w:autoSpaceDE w:val="0"/>
              <w:widowControl/>
              <w:spacing w:line="284" w:lineRule="exact" w:before="200" w:after="0"/>
              <w:ind w:left="162" w:right="4" w:firstLine="0"/>
              <w:jc w:val="both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43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44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44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45</w:t>
            </w:r>
          </w:p>
        </w:tc>
      </w:tr>
      <w:tr>
        <w:trPr>
          <w:trHeight w:hRule="exact" w:val="4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3.2.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PointNetTransfGAT layer-by-layer architecture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4.1.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Paris MATSim dataset statistics . . . . . . . .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4.2.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Training trials and hyperparameters . . . . .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4.3.</w:t>
            </w:r>
          </w:p>
        </w:tc>
        <w:tc>
          <w:tcPr>
            <w:tcW w:type="dxa" w:w="4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Post-hoc and ensemble experimental design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4.4.</w:t>
            </w:r>
          </w:p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UAT design summary</w:t>
            </w:r>
          </w:p>
        </w:tc>
        <w:tc>
          <w:tcPr>
            <w:tcW w:type="dxa" w:w="4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5.1.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Test-set performance across the eight base trials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5.2.</w:t>
            </w:r>
          </w:p>
        </w:tc>
        <w:tc>
          <w:tcPr>
            <w:tcW w:type="dxa" w:w="4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9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Compact comparison: T1, T8, Deep Ensemble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5.3.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T8 MC Dropout calibration audit . . . . . . .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5.4.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T8 regression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-scaling diagnostics . . . . . .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5.5.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Trial 9 gate check . . . . . . . . . . . . . . . .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5.6.</w:t>
            </w:r>
          </w:p>
        </w:tc>
        <w:tc>
          <w:tcPr>
            <w:tcW w:type="dxa" w:w="4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9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Trial 9 aleatoric vs epistemic decomposition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5.7.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Trial 10 gate check</w:t>
            </w:r>
          </w:p>
        </w:tc>
        <w:tc>
          <w:tcPr>
            <w:tcW w:type="dxa" w:w="5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5.8.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Trial 11 gate check</w:t>
            </w:r>
          </w:p>
        </w:tc>
        <w:tc>
          <w:tcPr>
            <w:tcW w:type="dxa" w:w="5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 . . . . . .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5.9.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Non-GNN baselines vs T8 . . . . . . . . . . .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795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3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5.10. RF + split conformal vs T8 + split conformal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4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6.1.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Layered calibration hierarchy . . . . . . . . .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6.2.</w:t>
            </w:r>
          </w:p>
        </w:tc>
        <w:tc>
          <w:tcPr>
            <w:tcW w:type="dxa" w:w="5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Ablation summary: what the trials do and do not prove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4000"/>
        </w:trPr>
        <w:tc>
          <w:tcPr>
            <w:tcW w:type="dxa" w:w="7958"/>
            <w:gridSpan w:val="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78" w:after="0"/>
              <w:ind w:left="332" w:right="154" w:firstLine="0"/>
              <w:jc w:val="both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A.1. Verified point-prediction metrics, UQ-capable models . . . . . . . . . . .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A.2. Verified T8 MC Dropout UQ metrics . . . . . . . . . . . . . . . . . . . . .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A.3. Verified conformal prediction results . . . . . . . . . . . . . . . . . . . . .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A.4. Verified proper scoring rule diagnostics . . . . . . . . . . . . . . . . . . .</w:t>
            </w:r>
          </w:p>
        </w:tc>
        <w:tc>
          <w:tcPr>
            <w:tcW w:type="dxa" w:w="1289"/>
            <w:vMerge/>
            <w:tcBorders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6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ix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2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1. Introduction</w:t>
      </w:r>
    </w:p>
    <w:p>
      <w:pPr>
        <w:autoSpaceDN w:val="0"/>
        <w:autoSpaceDE w:val="0"/>
        <w:widowControl/>
        <w:spacing w:line="284" w:lineRule="exact" w:before="414" w:after="0"/>
        <w:ind w:left="340" w:right="288" w:firstLine="6"/>
        <w:jc w:val="left"/>
      </w:pPr>
      <w:r>
        <w:rPr>
          <w:w w:val="98.37704571810636"/>
          <w:rFonts w:ascii="URWPalladioL" w:hAnsi="URWPalladioL" w:eastAsia="URWPalladioL"/>
          <w:b w:val="0"/>
          <w:i w:val="0"/>
          <w:color w:val="000000"/>
          <w:sz w:val="22"/>
        </w:rPr>
        <w:t xml:space="preserve">Urban traffic is hard to describe analytically. Millions of daily trips produce congestion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patterns that emerge from the interaction of many individual choices, and a policy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intervention – closing an arterial, reducing road capacity, opening a new metro line –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reshapes those patterns through the responses of individual travellers. Agent-based 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 xml:space="preserve">simulators such as MATSim handle this kind of question by modelling each traveller’s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daily activity, mode and route choices, then iterating until the system converges to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an approximate user equilibrium [1–3]. The price of that fidelity is computational: a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single Paris-scale scenario takes more than eight hours on modern hardware [4]. For a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planner who wants to compare a dozen variations of a road-pricing scheme, that cost is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prohibitive.</w:t>
      </w:r>
    </w:p>
    <w:p>
      <w:pPr>
        <w:autoSpaceDN w:val="0"/>
        <w:autoSpaceDE w:val="0"/>
        <w:widowControl/>
        <w:spacing w:line="284" w:lineRule="exact" w:before="2" w:after="0"/>
        <w:ind w:left="346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Machine-learning surrogates promise to compress the loop from hours to seconds.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Natterer, Rao, Tejada Lapuerta, et al. [4] showed that Graph Neural Networks (GNNs)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are particularly well suited to this task: they exploit the topology of the road network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natively while learning per-segment volume responses to capacity changes. Their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PointNetTransfGAT architecture is the model this thesis builds on.</w:t>
      </w:r>
    </w:p>
    <w:p>
      <w:pPr>
        <w:autoSpaceDN w:val="0"/>
        <w:autoSpaceDE w:val="0"/>
        <w:widowControl/>
        <w:spacing w:line="284" w:lineRule="exact" w:before="0" w:after="0"/>
        <w:ind w:left="340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Accuracy alone is not enough for decision support. A model trained on a limited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set of scenarios will eventually face inputs unlike anything it has seen, and at that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point its predictions can deteriorate without any external indication that something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has changed. Without uncertainty quantification (UQ), planners cannot separate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reliable predictions from the unreliable ones, and a confident-but-wrong output can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drive a poor infrastructure decision. This thesis addresses that gap by evaluating Monte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Carlo Dropout, deep ensembles, conformal prediction, post-hoc regression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-scaling,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and several uncertainty-aware training variants on a GNN surrogate for policy-induced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changes in traffic volume. The empirical work is deliberately constrained to one road 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>network (Paris), one intervention type (capacity reduction), one GNN architecture fam-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>ily (PointNetTransfGAT), and one fixed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000-scenario subset; Section 6.10 enumerates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threats to validity that bound the resulting claims.</w:t>
      </w:r>
    </w:p>
    <w:p>
      <w:pPr>
        <w:autoSpaceDN w:val="0"/>
        <w:tabs>
          <w:tab w:pos="2612" w:val="left"/>
        </w:tabs>
        <w:autoSpaceDE w:val="0"/>
        <w:widowControl/>
        <w:spacing w:line="220" w:lineRule="exact" w:before="384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Research questions.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investigation is organised around five research questions.</w:t>
      </w:r>
    </w:p>
    <w:p>
      <w:pPr>
        <w:autoSpaceDN w:val="0"/>
        <w:autoSpaceDE w:val="0"/>
        <w:widowControl/>
        <w:spacing w:line="220" w:lineRule="exact" w:before="244" w:after="0"/>
        <w:ind w:left="0" w:right="0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22"/>
        </w:rPr>
        <w:t>RQ1.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 xml:space="preserve"> How effectively does MC Dropout rank uncertainty for a GNN traffic surrogate?</w:t>
      </w:r>
    </w:p>
    <w:p>
      <w:pPr>
        <w:autoSpaceDN w:val="0"/>
        <w:autoSpaceDE w:val="0"/>
        <w:widowControl/>
        <w:spacing w:line="222" w:lineRule="exact" w:before="224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>RQ2.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How does MC Dropout compare with ensemble-based UQ?</w:t>
      </w:r>
    </w:p>
    <w:p>
      <w:pPr>
        <w:autoSpaceDN w:val="0"/>
        <w:autoSpaceDE w:val="0"/>
        <w:widowControl/>
        <w:spacing w:line="218" w:lineRule="exact" w:before="73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3136900</wp:posOffset>
            </wp:positionV>
            <wp:extent cx="5029200" cy="2286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1. Introduction</w:t>
      </w:r>
    </w:p>
    <w:p>
      <w:pPr>
        <w:autoSpaceDN w:val="0"/>
        <w:autoSpaceDE w:val="0"/>
        <w:widowControl/>
        <w:spacing w:line="220" w:lineRule="exact" w:before="532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>RQ3.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Does combining MC Dropout with seed-ensemble variance add benefit?</w:t>
      </w:r>
    </w:p>
    <w:p>
      <w:pPr>
        <w:autoSpaceDN w:val="0"/>
        <w:tabs>
          <w:tab w:pos="958" w:val="left"/>
        </w:tabs>
        <w:autoSpaceDE w:val="0"/>
        <w:widowControl/>
        <w:spacing w:line="284" w:lineRule="exact" w:before="176" w:after="0"/>
        <w:ind w:left="346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>RQ4.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Can post-hoc calibration and conformal methods deliver reliable intervals without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retraining the backbone?</w:t>
      </w:r>
    </w:p>
    <w:p>
      <w:pPr>
        <w:autoSpaceDN w:val="0"/>
        <w:tabs>
          <w:tab w:pos="958" w:val="left"/>
        </w:tabs>
        <w:autoSpaceDE w:val="0"/>
        <w:widowControl/>
        <w:spacing w:line="286" w:lineRule="exact" w:before="174" w:after="0"/>
        <w:ind w:left="346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>RQ5.</w:t>
      </w:r>
      <w:r>
        <w:rPr>
          <w:w w:val="98.92539111050692"/>
          <w:rFonts w:ascii="URWPalladioL" w:hAnsi="URWPalladioL" w:eastAsia="URWPalladioL"/>
          <w:b w:val="0"/>
          <w:i w:val="0"/>
          <w:color w:val="000000"/>
          <w:sz w:val="22"/>
        </w:rPr>
        <w:t xml:space="preserve"> Can uncertainty-aware training extensions improve native UQ while preserving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accuracy?</w:t>
      </w:r>
    </w:p>
    <w:p>
      <w:pPr>
        <w:autoSpaceDN w:val="0"/>
        <w:autoSpaceDE w:val="0"/>
        <w:widowControl/>
        <w:spacing w:line="216" w:lineRule="exact" w:before="296" w:after="246"/>
        <w:ind w:left="564" w:right="0" w:firstLine="0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Each is answered, with supporting evidence and the relevant limitation, in Section 6.6.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62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18" w:after="0"/>
              <w:ind w:left="0" w:right="26" w:firstLine="0"/>
              <w:jc w:val="right"/>
            </w:pPr>
            <w:r>
              <w:rPr>
                <w:w w:val="102.55359649658202"/>
                <w:rFonts w:ascii="DejaVu Serif" w:hAnsi="DejaVu Serif" w:eastAsia="DejaVu Serif"/>
                <w:b w:val="0"/>
                <w:i w:val="0"/>
                <w:color w:val="FFFFFF"/>
                <w:sz w:val="10"/>
              </w:rPr>
              <w:t>A</w:t>
            </w:r>
          </w:p>
        </w:tc>
        <w:tc>
          <w:tcPr>
            <w:tcW w:type="dxa" w:w="1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53968693659856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(a) Original road network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18" w:after="0"/>
              <w:ind w:left="72" w:right="0" w:firstLine="0"/>
              <w:jc w:val="left"/>
            </w:pPr>
            <w:r>
              <w:rPr>
                <w:w w:val="102.55359649658202"/>
                <w:rFonts w:ascii="DejaVu Serif" w:hAnsi="DejaVu Serif" w:eastAsia="DejaVu Serif"/>
                <w:b w:val="0"/>
                <w:i w:val="0"/>
                <w:color w:val="FFFFFF"/>
                <w:sz w:val="10"/>
              </w:rPr>
              <w:t>C</w:t>
            </w:r>
          </w:p>
        </w:tc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86" w:right="0" w:firstLine="0"/>
              <w:jc w:val="left"/>
            </w:pPr>
            <w:r>
              <w:rPr>
                <w:w w:val="103.53968693659856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(b) Line graph representation</w:t>
            </w:r>
          </w:p>
        </w:tc>
      </w:tr>
      <w:tr>
        <w:trPr>
          <w:trHeight w:hRule="exact" w:val="560"/>
        </w:trPr>
        <w:tc>
          <w:tcPr>
            <w:tcW w:type="dxa" w:w="1289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6" w:after="0"/>
              <w:ind w:left="0" w:right="180" w:firstLine="0"/>
              <w:jc w:val="right"/>
            </w:pPr>
            <w:r>
              <w:rPr>
                <w:w w:val="102.55359649658202"/>
                <w:rFonts w:ascii="DejaVu Serif" w:hAnsi="DejaVu Serif" w:eastAsia="DejaVu Serif"/>
                <w:b w:val="0"/>
                <w:i w:val="0"/>
                <w:color w:val="5B9BD5"/>
                <w:sz w:val="10"/>
              </w:rPr>
              <w:t>r1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8" w:after="0"/>
              <w:ind w:left="0" w:right="0" w:firstLine="0"/>
              <w:jc w:val="center"/>
            </w:pPr>
            <w:r>
              <w:rPr>
                <w:w w:val="102.55359649658202"/>
                <w:rFonts w:ascii="DejaVu Serif" w:hAnsi="DejaVu Serif" w:eastAsia="DejaVu Serif"/>
                <w:b w:val="0"/>
                <w:i w:val="0"/>
                <w:color w:val="FFFFFF"/>
                <w:sz w:val="10"/>
              </w:rPr>
              <w:t>B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6" w:after="0"/>
              <w:ind w:left="0" w:right="314" w:firstLine="0"/>
              <w:jc w:val="right"/>
            </w:pPr>
            <w:r>
              <w:rPr>
                <w:w w:val="102.55359649658202"/>
                <w:rFonts w:ascii="DejaVu Serif" w:hAnsi="DejaVu Serif" w:eastAsia="DejaVu Serif"/>
                <w:b w:val="0"/>
                <w:i w:val="0"/>
                <w:color w:val="5B9BD5"/>
                <w:sz w:val="10"/>
              </w:rPr>
              <w:t>r2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76" w:after="0"/>
              <w:ind w:left="0" w:right="260" w:firstLine="0"/>
              <w:jc w:val="right"/>
            </w:pPr>
            <w:r>
              <w:rPr>
                <w:w w:val="102.55359649658202"/>
                <w:rFonts w:ascii="DejaVu Serif" w:hAnsi="DejaVu Serif" w:eastAsia="DejaVu Serif"/>
                <w:b/>
                <w:i w:val="0"/>
                <w:color w:val="FFFFFF"/>
                <w:sz w:val="10"/>
              </w:rPr>
              <w:t>r1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76" w:after="0"/>
              <w:ind w:left="0" w:right="1352" w:firstLine="0"/>
              <w:jc w:val="right"/>
            </w:pPr>
            <w:r>
              <w:rPr>
                <w:w w:val="102.55359649658202"/>
                <w:rFonts w:ascii="DejaVu Serif" w:hAnsi="DejaVu Serif" w:eastAsia="DejaVu Serif"/>
                <w:b/>
                <w:i w:val="0"/>
                <w:color w:val="FFFFFF"/>
                <w:sz w:val="10"/>
              </w:rPr>
              <w:t>r2</w:t>
            </w:r>
          </w:p>
        </w:tc>
      </w:tr>
      <w:tr>
        <w:trPr>
          <w:trHeight w:hRule="exact" w:val="448"/>
        </w:trPr>
        <w:tc>
          <w:tcPr>
            <w:tcW w:type="dxa" w:w="1289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6" w:after="0"/>
              <w:ind w:left="52" w:right="0" w:firstLine="0"/>
              <w:jc w:val="left"/>
            </w:pPr>
            <w:r>
              <w:rPr>
                <w:w w:val="102.55359649658202"/>
                <w:rFonts w:ascii="DejaVu Serif" w:hAnsi="DejaVu Serif" w:eastAsia="DejaVu Serif"/>
                <w:b w:val="0"/>
                <w:i w:val="0"/>
                <w:color w:val="5B9BD5"/>
                <w:sz w:val="10"/>
              </w:rPr>
              <w:t>r3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8" w:after="0"/>
              <w:ind w:left="0" w:right="706" w:firstLine="0"/>
              <w:jc w:val="right"/>
            </w:pPr>
            <w:r>
              <w:rPr>
                <w:w w:val="102.55359649658202"/>
                <w:rFonts w:ascii="DejaVu Serif" w:hAnsi="DejaVu Serif" w:eastAsia="DejaVu Serif"/>
                <w:b w:val="0"/>
                <w:i w:val="0"/>
                <w:color w:val="5B9BD5"/>
                <w:sz w:val="10"/>
              </w:rPr>
              <w:t>r4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8" w:after="0"/>
              <w:ind w:left="96" w:right="0" w:firstLine="0"/>
              <w:jc w:val="left"/>
            </w:pPr>
            <w:r>
              <w:rPr>
                <w:w w:val="102.55359649658202"/>
                <w:rFonts w:ascii="DejaVu Serif" w:hAnsi="DejaVu Serif" w:eastAsia="DejaVu Serif"/>
                <w:b w:val="0"/>
                <w:i w:val="0"/>
                <w:color w:val="5B9BD5"/>
                <w:sz w:val="10"/>
              </w:rPr>
              <w:t>r5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18" w:after="0"/>
              <w:ind w:left="0" w:right="0" w:firstLine="0"/>
              <w:jc w:val="center"/>
            </w:pPr>
            <w:r>
              <w:rPr>
                <w:w w:val="102.55359649658202"/>
                <w:rFonts w:ascii="DejaVu Serif" w:hAnsi="DejaVu Serif" w:eastAsia="DejaVu Serif"/>
                <w:b/>
                <w:i w:val="0"/>
                <w:color w:val="FFFFFF"/>
                <w:sz w:val="10"/>
              </w:rPr>
              <w:t>r3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270" w:right="0" w:firstLine="0"/>
              <w:jc w:val="left"/>
            </w:pPr>
            <w:r>
              <w:rPr>
                <w:w w:val="102.55359649658202"/>
                <w:rFonts w:ascii="DejaVu Serif" w:hAnsi="DejaVu Serif" w:eastAsia="DejaVu Serif"/>
                <w:b/>
                <w:i w:val="0"/>
                <w:color w:val="FFFFFF"/>
                <w:sz w:val="10"/>
              </w:rPr>
              <w:t>r4</w:t>
            </w:r>
          </w:p>
        </w:tc>
      </w:tr>
    </w:tbl>
    <w:p>
      <w:pPr>
        <w:autoSpaceDN w:val="0"/>
        <w:autoSpaceDE w:val="0"/>
        <w:widowControl/>
        <w:spacing w:line="242" w:lineRule="auto" w:before="2" w:after="0"/>
        <w:ind w:left="0" w:right="1754" w:firstLine="0"/>
        <w:jc w:val="right"/>
      </w:pPr>
      <w:r>
        <w:rPr>
          <w:w w:val="102.55359649658202"/>
          <w:rFonts w:ascii="DejaVu Serif" w:hAnsi="DejaVu Serif" w:eastAsia="DejaVu Serif"/>
          <w:b/>
          <w:i w:val="0"/>
          <w:color w:val="FFFFFF"/>
          <w:sz w:val="10"/>
        </w:rPr>
        <w:t>r5</w:t>
      </w:r>
    </w:p>
    <w:p>
      <w:pPr>
        <w:autoSpaceDN w:val="0"/>
        <w:autoSpaceDE w:val="0"/>
        <w:widowControl/>
        <w:spacing w:line="242" w:lineRule="auto" w:before="150" w:after="2"/>
        <w:ind w:left="0" w:right="6324" w:firstLine="0"/>
        <w:jc w:val="right"/>
      </w:pPr>
      <w:r>
        <w:rPr>
          <w:w w:val="102.55359649658202"/>
          <w:rFonts w:ascii="DejaVu Serif" w:hAnsi="DejaVu Serif" w:eastAsia="DejaVu Serif"/>
          <w:b w:val="0"/>
          <w:i w:val="0"/>
          <w:color w:val="5B9BD5"/>
          <w:sz w:val="10"/>
        </w:rPr>
        <w:t>r6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2256"/>
        <w:gridCol w:w="2256"/>
        <w:gridCol w:w="2256"/>
        <w:gridCol w:w="2256"/>
      </w:tblGrid>
      <w:tr>
        <w:trPr>
          <w:trHeight w:hRule="exact" w:val="13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480" w:firstLine="0"/>
              <w:jc w:val="right"/>
            </w:pPr>
            <w:r>
              <w:rPr>
                <w:w w:val="102.55359649658202"/>
                <w:rFonts w:ascii="DejaVu Serif" w:hAnsi="DejaVu Serif" w:eastAsia="DejaVu Serif"/>
                <w:b w:val="0"/>
                <w:i w:val="0"/>
                <w:color w:val="FFFFFF"/>
                <w:sz w:val="10"/>
              </w:rPr>
              <w:t>D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56" w:firstLine="0"/>
              <w:jc w:val="right"/>
            </w:pPr>
            <w:r>
              <w:rPr>
                <w:w w:val="102.55359649658202"/>
                <w:rFonts w:ascii="DejaVu Serif" w:hAnsi="DejaVu Serif" w:eastAsia="DejaVu Serif"/>
                <w:b w:val="0"/>
                <w:i w:val="0"/>
                <w:color w:val="FFFFFF"/>
                <w:sz w:val="10"/>
              </w:rPr>
              <w:t>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182" w:right="0" w:firstLine="0"/>
              <w:jc w:val="left"/>
            </w:pPr>
            <w:r>
              <w:rPr>
                <w:w w:val="102.55359649658202"/>
                <w:rFonts w:ascii="DejaVu Serif" w:hAnsi="DejaVu Serif" w:eastAsia="DejaVu Serif"/>
                <w:b w:val="0"/>
                <w:i w:val="0"/>
                <w:color w:val="5B9BD5"/>
                <w:sz w:val="10"/>
              </w:rPr>
              <w:t>r7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1518" w:firstLine="0"/>
              <w:jc w:val="right"/>
            </w:pPr>
            <w:r>
              <w:rPr>
                <w:w w:val="102.55359649658202"/>
                <w:rFonts w:ascii="DejaVu Serif" w:hAnsi="DejaVu Serif" w:eastAsia="DejaVu Serif"/>
                <w:b/>
                <w:i w:val="0"/>
                <w:color w:val="FFFFFF"/>
                <w:sz w:val="10"/>
              </w:rPr>
              <w:t>r6</w:t>
            </w:r>
          </w:p>
        </w:tc>
      </w:tr>
    </w:tbl>
    <w:p>
      <w:pPr>
        <w:autoSpaceDN w:val="0"/>
        <w:tabs>
          <w:tab w:pos="6754" w:val="left"/>
        </w:tabs>
        <w:autoSpaceDE w:val="0"/>
        <w:widowControl/>
        <w:spacing w:line="254" w:lineRule="auto" w:before="0" w:after="0"/>
        <w:ind w:left="3876" w:right="2016" w:firstLine="0"/>
        <w:jc w:val="left"/>
      </w:pPr>
      <w:r>
        <w:rPr>
          <w:w w:val="102.55359649658202"/>
          <w:rFonts w:ascii="DejaVu Serif" w:hAnsi="DejaVu Serif" w:eastAsia="DejaVu Serif"/>
          <w:b/>
          <w:i w:val="0"/>
          <w:color w:val="FFFFFF"/>
          <w:sz w:val="10"/>
        </w:rPr>
        <w:t xml:space="preserve">r7 </w:t>
      </w:r>
      <w:r>
        <w:br/>
      </w:r>
      <w:r>
        <w:rPr>
          <w:w w:val="102.55359649658202"/>
          <w:rFonts w:ascii="DejaVu Serif" w:hAnsi="DejaVu Serif" w:eastAsia="DejaVu Serif"/>
          <w:b w:val="0"/>
          <w:i w:val="0"/>
          <w:color w:val="FFFFFF"/>
          <w:sz w:val="10"/>
        </w:rPr>
        <w:t>F</w:t>
      </w:r>
    </w:p>
    <w:p>
      <w:pPr>
        <w:autoSpaceDN w:val="0"/>
        <w:autoSpaceDE w:val="0"/>
        <w:widowControl/>
        <w:spacing w:line="242" w:lineRule="auto" w:before="117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404040"/>
          <w:sz w:val="11"/>
        </w:rPr>
        <w:t>Each node carries 5 features:  volume, capacity, capacity reduction, free-flow speed, length    (orange in panel b = policy-affected segment)</w:t>
      </w:r>
    </w:p>
    <w:p>
      <w:pPr>
        <w:autoSpaceDN w:val="0"/>
        <w:autoSpaceDE w:val="0"/>
        <w:widowControl/>
        <w:spacing w:line="284" w:lineRule="exact" w:before="328" w:after="0"/>
        <w:ind w:left="1482" w:right="288" w:hanging="113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Figure 1.1.: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The Paris road network represented as a directed line graph. Each road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segment is a node, and edges connect adjacent segments. Each node carries </w:t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>five input features describing the segment’s traffic state and physical prop-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>erties. The full Paris network contains 31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 xml:space="preserve">635 nodes; with 100 graphs in the </w:t>
      </w:r>
      <w:r>
        <w:rPr>
          <w:w w:val="98.37704571810636"/>
          <w:rFonts w:ascii="URWPalladioL" w:hAnsi="URWPalladioL" w:eastAsia="URWPalladioL"/>
          <w:b w:val="0"/>
          <w:i w:val="0"/>
          <w:color w:val="000000"/>
          <w:sz w:val="22"/>
        </w:rPr>
        <w:t>test set, this gives 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37704571810636"/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37704571810636"/>
          <w:rFonts w:ascii="URWPalladioL" w:hAnsi="URWPalladioL" w:eastAsia="URWPalladioL"/>
          <w:b w:val="0"/>
          <w:i w:val="0"/>
          <w:color w:val="000000"/>
          <w:sz w:val="22"/>
        </w:rPr>
        <w:t xml:space="preserve">500 individual node-level test predictions. Adapted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from Natterer, Rao, Tejada Lapuerta, et al. [4].</w:t>
      </w:r>
    </w:p>
    <w:p>
      <w:pPr>
        <w:autoSpaceDN w:val="0"/>
        <w:autoSpaceDE w:val="0"/>
        <w:widowControl/>
        <w:spacing w:line="288" w:lineRule="exact" w:before="722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1.1. Contributions</w:t>
      </w:r>
    </w:p>
    <w:p>
      <w:pPr>
        <w:autoSpaceDN w:val="0"/>
        <w:autoSpaceDE w:val="0"/>
        <w:widowControl/>
        <w:spacing w:line="284" w:lineRule="exact" w:before="220" w:after="0"/>
        <w:ind w:left="892" w:right="288" w:hanging="27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A systematic UQ evaluation for a GNN traffic surrogate.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Six methods (MC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Dropout, seed-ensemble variance, multi-model ensembles, deep ensembles, het-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eroscedastic regression, CQR) compared on a Paris road-network dataset with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3,163,500 node-level test predictions across 100 scenarios.</w:t>
      </w:r>
    </w:p>
    <w:p>
      <w:pPr>
        <w:autoSpaceDN w:val="0"/>
        <w:autoSpaceDE w:val="0"/>
        <w:widowControl/>
        <w:spacing w:line="300" w:lineRule="exact" w:before="162" w:after="0"/>
        <w:ind w:left="884" w:right="288" w:hanging="26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An empirical characterisation of MC Dropout for GNN traffic surrogates.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For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Trial 8, the pooled (node-level) Spearman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0.4820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30 samples; the mean</w:t>
      </w:r>
    </w:p>
    <w:p>
      <w:pPr>
        <w:autoSpaceDN w:val="0"/>
        <w:autoSpaceDE w:val="0"/>
        <w:widowControl/>
        <w:spacing w:line="218" w:lineRule="exact" w:before="71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1. Introduction</w:t>
      </w:r>
    </w:p>
    <w:p>
      <w:pPr>
        <w:autoSpaceDN w:val="0"/>
        <w:autoSpaceDE w:val="0"/>
        <w:widowControl/>
        <w:spacing w:line="276" w:lineRule="exact" w:before="496" w:after="0"/>
        <w:ind w:left="892" w:right="346" w:hanging="8"/>
        <w:jc w:val="both"/>
      </w:pP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>per-graph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 xml:space="preserve"> is 0.464 with bootstrap 95% CI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>0.460, 0.469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>. A formal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 xml:space="preserve">-convergence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study confirms that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has converged by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30 (the gain from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30 to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50 is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only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+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1.03%).</w:t>
      </w:r>
    </w:p>
    <w:p>
      <w:pPr>
        <w:autoSpaceDN w:val="0"/>
        <w:autoSpaceDE w:val="0"/>
        <w:widowControl/>
        <w:spacing w:line="284" w:lineRule="exact" w:before="156" w:after="0"/>
        <w:ind w:left="892" w:right="288" w:hanging="27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3.</w:t>
      </w:r>
      <w:r>
        <w:rPr>
          <w:w w:val="98.62667430530895"/>
          <w:rFonts w:ascii="URWPalladioL" w:hAnsi="URWPalladioL" w:eastAsia="URWPalladioL"/>
          <w:b/>
          <w:i w:val="0"/>
          <w:color w:val="000000"/>
          <w:sz w:val="22"/>
        </w:rPr>
        <w:t xml:space="preserve"> Practical limits of single-architecture ensembles.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 Five seeded MC Dropout runs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raise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to 0.4908; seed ensemble variance gives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0.4370. A weighted multi-</w:t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>model ensemble of five trials reaches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 xml:space="preserve"> 0.4333 and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 xml:space="preserve"> 0.5656, below the best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single model.</w:t>
      </w:r>
    </w:p>
    <w:p>
      <w:pPr>
        <w:autoSpaceDN w:val="0"/>
        <w:autoSpaceDE w:val="0"/>
        <w:widowControl/>
        <w:spacing w:line="278" w:lineRule="exact" w:before="184" w:after="0"/>
        <w:ind w:left="892" w:right="288" w:hanging="27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A layered post-hoc calibration framework.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Split conformal achieves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90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90.02% and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95.01%. Regression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-scaling with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2.887 reduces ECE 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>from 0.356 to 0.034 (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−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>90.5%) and brings 1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 coverage from 32.7% to 68.0%. Adap-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tive conformal narrows conditional coverage from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59.0%, 98.1%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to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83.7%, 96.4%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84" w:lineRule="exact" w:before="156" w:after="0"/>
        <w:ind w:left="884" w:right="342" w:hanging="26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5.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Selective prediction and error detection.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Retaining the most confident 50% of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predictions reduces MAE by 41.2% to 2.32 veh/h; AUROC for top-10% error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detection reaches 0.7548.</w:t>
      </w:r>
    </w:p>
    <w:p>
      <w:pPr>
        <w:autoSpaceDN w:val="0"/>
        <w:autoSpaceDE w:val="0"/>
        <w:widowControl/>
        <w:spacing w:line="284" w:lineRule="exact" w:before="158" w:after="0"/>
        <w:ind w:left="892" w:right="288" w:hanging="27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6.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An empirical observation about freezing the backbone.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When the same MSE-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trained backbone is reused with three different uncertainty-aware heads,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result depends on whether the backbone is frozen. Trial 9 (heteroscedastic head,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frozen backbone) is partial-positive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2.84 and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0.4991; Trial 10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(CQR, backbone unfrozen) is a negative result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0.4057 with three of six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gates failing; Trial 11, which uses the same CQR head as Trial 10 but freezes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backbone, passes all six gates with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0.5835,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90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89.82%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94.91%. The T10/T11 pair shares head, loss, data, calibration protocol,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and learning rate (5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×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10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); their single design difference is the backbone-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trainability flag. The observation is reported within the scope of this thesis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and is not claimed as a general principle.</w:t>
      </w:r>
    </w:p>
    <w:p>
      <w:pPr>
        <w:autoSpaceDN w:val="0"/>
        <w:autoSpaceDE w:val="0"/>
        <w:widowControl/>
        <w:spacing w:line="284" w:lineRule="exact" w:before="156" w:after="0"/>
        <w:ind w:left="884" w:right="288" w:hanging="26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7.</w:t>
      </w:r>
      <w:r>
        <w:rPr>
          <w:w w:val="98.1768868186257"/>
          <w:rFonts w:ascii="URWPalladioL" w:hAnsi="URWPalladioL" w:eastAsia="URWPalladioL"/>
          <w:b/>
          <w:i w:val="0"/>
          <w:color w:val="000000"/>
          <w:sz w:val="22"/>
        </w:rPr>
        <w:t xml:space="preserve"> A Deep Ensemble baseline.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Five independently seeded models reach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0.6841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+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14.8% over T8) but a weaker UQ ranking (</w:t>
      </w:r>
      <w:r>
        <w:rPr>
          <w:rFonts w:ascii="PazoMath" w:hAnsi="PazoMath" w:eastAsia="PazoMath"/>
          <w:b w:val="0"/>
          <w:i/>
          <w:color w:val="000000"/>
          <w:sz w:val="22"/>
        </w:rPr>
        <w:t>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0.3997,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15.18).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Deep Ensemble is the strongest GNN-based point predictor evaluated, while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MC Dropout produces the stronger uncertainty ranking; this complementarity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is discussed in Chapter 6. XGBoost on the same five node features (Section 5.11)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exceeds the Deep Ensemble on point accuracy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0.7414.</w:t>
      </w:r>
    </w:p>
    <w:p>
      <w:pPr>
        <w:autoSpaceDN w:val="0"/>
        <w:autoSpaceDE w:val="0"/>
        <w:widowControl/>
        <w:spacing w:line="288" w:lineRule="exact" w:before="452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1.2. Thesis Structure</w:t>
      </w:r>
    </w:p>
    <w:p>
      <w:pPr>
        <w:autoSpaceDN w:val="0"/>
        <w:autoSpaceDE w:val="0"/>
        <w:widowControl/>
        <w:spacing w:line="286" w:lineRule="exact" w:before="216" w:after="0"/>
        <w:ind w:left="288" w:right="288" w:firstLine="0"/>
        <w:jc w:val="center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The five research questions stated above guide the chapter sequence. Chapter 2 surveys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theoretical foundations. Chapter 3 presents the architecture and the UQ methods</w:t>
      </w:r>
    </w:p>
    <w:p>
      <w:pPr>
        <w:autoSpaceDN w:val="0"/>
        <w:autoSpaceDE w:val="0"/>
        <w:widowControl/>
        <w:spacing w:line="218" w:lineRule="exact" w:before="73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1. Introduction</w:t>
      </w:r>
    </w:p>
    <w:p>
      <w:pPr>
        <w:autoSpaceDN w:val="0"/>
        <w:autoSpaceDE w:val="0"/>
        <w:widowControl/>
        <w:spacing w:line="284" w:lineRule="exact" w:before="468" w:after="0"/>
        <w:ind w:left="346" w:right="288" w:firstLine="0"/>
        <w:jc w:val="left"/>
      </w:pP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 xml:space="preserve">used in the thesis. Chapter 4 covers the dataset and the experimental design. Chapter 5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reports the empirical findings and closes with an illustrative decision framework. 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Chapter 6 answers the research questions, summarises the primary findings, discusses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freezing-backbone observation, and lists the limitations, threats to validity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future work. Chapter 7 offers closing remarks, and Appendix A collects the verified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master tables.</w:t>
      </w:r>
    </w:p>
    <w:p>
      <w:pPr>
        <w:autoSpaceDN w:val="0"/>
        <w:autoSpaceDE w:val="0"/>
        <w:widowControl/>
        <w:spacing w:line="218" w:lineRule="exact" w:before="10148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2. Background and Related Work</w:t>
      </w:r>
    </w:p>
    <w:p>
      <w:pPr>
        <w:autoSpaceDN w:val="0"/>
        <w:autoSpaceDE w:val="0"/>
        <w:widowControl/>
        <w:spacing w:line="288" w:lineRule="exact" w:before="546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2.1. Agent-Based Transport Models</w:t>
      </w:r>
    </w:p>
    <w:p>
      <w:pPr>
        <w:autoSpaceDN w:val="0"/>
        <w:autoSpaceDE w:val="0"/>
        <w:widowControl/>
        <w:spacing w:line="284" w:lineRule="exact" w:before="220" w:after="0"/>
        <w:ind w:left="338" w:right="346" w:firstLine="8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Rather than aggregating behaviour into mean-field equations, agent-based models 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 xml:space="preserve">(ABMs) assign individual decision logic to each entity in the system, with macroscopic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patterns produced by the cumulative interactions of those entities [2, 3]. In transport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applications, agents stand for individual travellers who decide on activities, departure </w:t>
      </w:r>
      <w:r>
        <w:rPr>
          <w:w w:val="98.32703850486062"/>
          <w:rFonts w:ascii="URWPalladioL" w:hAnsi="URWPalladioL" w:eastAsia="URWPalladioL"/>
          <w:b w:val="0"/>
          <w:i w:val="0"/>
          <w:color w:val="000000"/>
          <w:sz w:val="22"/>
        </w:rPr>
        <w:t xml:space="preserve">times, modes, and routes; macroscopic patterns then emerge from the interactions on a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shared infrastructure.</w:t>
      </w:r>
    </w:p>
    <w:p>
      <w:pPr>
        <w:autoSpaceDN w:val="0"/>
        <w:autoSpaceDE w:val="0"/>
        <w:widowControl/>
        <w:spacing w:line="284" w:lineRule="exact" w:before="0" w:after="0"/>
        <w:ind w:left="340" w:right="346" w:firstLine="218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Multi-Agent Transport Simulation (MATSim) [1] is the open-source platform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used here. Within MATSim, each synthetic traveller is initialised with a daily plan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covering activities, modes, and routes; a queue-based mesoscopic loader executes those 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 xml:space="preserve">plans on the network, and a co-evolutionary replanning loop iterates until a Nash-style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equilibrium is reached. Simulating the Paris metropolitan region requires more than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eight hours per scenario on modern hardware [4], the cost that motivates surrogate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modelling.</w:t>
      </w:r>
    </w:p>
    <w:p>
      <w:pPr>
        <w:autoSpaceDN w:val="0"/>
        <w:autoSpaceDE w:val="0"/>
        <w:widowControl/>
        <w:spacing w:line="286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2.2. Graph Neural Networks</w:t>
      </w:r>
    </w:p>
    <w:p>
      <w:pPr>
        <w:autoSpaceDN w:val="0"/>
        <w:tabs>
          <w:tab w:pos="5884" w:val="left"/>
          <w:tab w:pos="6204" w:val="left"/>
        </w:tabs>
        <w:autoSpaceDE w:val="0"/>
        <w:widowControl/>
        <w:spacing w:line="292" w:lineRule="exact" w:before="212" w:after="174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Graph Neural Networks (GNNs) extend deep learning to graph-structured data [5–8]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and follow the message-passing paradigm of Gilmer et al. [9]. A graph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G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 (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V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X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)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has node features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X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; the architectures used in this thesis do not consume edge-level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features. Each node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v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has an incoming neighbourhood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N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 =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{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u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: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u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v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∈E}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messages are aggregated over that set. Starting from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h</w:t>
      </w:r>
      <w:r>
        <w:rPr>
          <w:w w:val="97.70470787497128"/>
          <w:rFonts w:ascii="CMR10" w:hAnsi="CMR10" w:eastAsia="CMR10"/>
          <w:b w:val="0"/>
          <w:i w:val="0"/>
          <w:color w:val="000000"/>
          <w:sz w:val="17"/>
        </w:rPr>
        <w:t>(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0</w:t>
      </w:r>
      <w:r>
        <w:rPr>
          <w:w w:val="97.70470787497128"/>
          <w:rFonts w:ascii="CMR10" w:hAnsi="CMR10" w:eastAsia="CMR10"/>
          <w:b w:val="0"/>
          <w:i w:val="0"/>
          <w:color w:val="000000"/>
          <w:sz w:val="17"/>
        </w:rPr>
        <w:t xml:space="preserve">) 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v </w:t>
      </w:r>
      <w:r>
        <w:tab/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x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v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a message-passing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network applies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rounds of aggregation and update: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8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36" w:after="0"/>
              <w:ind w:left="0" w:right="36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m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k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 xml:space="preserve">)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v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A</w:t>
            </w:r>
            <w:r>
              <w:rPr>
                <w:rFonts w:ascii="PazoMath" w:hAnsi="PazoMath" w:eastAsia="PazoMath"/>
                <w:b w:val="0"/>
                <w:i w:val="0"/>
                <w:color w:val="000000"/>
                <w:sz w:val="22"/>
              </w:rPr>
              <w:t>ggregate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k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)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n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h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k</w:t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 xml:space="preserve">)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u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u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∈N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v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)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o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0" w:after="0"/>
              <w:ind w:left="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0" w:after="0"/>
              <w:ind w:left="0" w:right="15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(2.1)</w:t>
            </w:r>
          </w:p>
        </w:tc>
      </w:tr>
      <w:tr>
        <w:trPr>
          <w:trHeight w:hRule="exact" w:val="54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40" w:after="0"/>
              <w:ind w:left="0" w:right="36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h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k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 xml:space="preserve">)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v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88" w:after="0"/>
              <w:ind w:left="0" w:right="0" w:firstLine="0"/>
              <w:jc w:val="center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U</w:t>
            </w:r>
            <w:r>
              <w:rPr>
                <w:rFonts w:ascii="PazoMath" w:hAnsi="PazoMath" w:eastAsia="PazoMath"/>
                <w:b w:val="0"/>
                <w:i w:val="0"/>
                <w:color w:val="000000"/>
                <w:sz w:val="22"/>
              </w:rPr>
              <w:t>pdate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k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)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38" w:after="0"/>
              <w:ind w:left="92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h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k</w:t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 xml:space="preserve">)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v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 m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k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 xml:space="preserve">)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v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0" w:after="0"/>
              <w:ind w:left="19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0" w:after="0"/>
              <w:ind w:left="0" w:right="15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(2.2)</w:t>
            </w:r>
          </w:p>
        </w:tc>
      </w:tr>
    </w:tbl>
    <w:p>
      <w:pPr>
        <w:autoSpaceDN w:val="0"/>
        <w:autoSpaceDE w:val="0"/>
        <w:widowControl/>
        <w:spacing w:line="284" w:lineRule="exact" w:before="178" w:after="0"/>
        <w:ind w:left="338" w:right="288" w:hanging="2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where the aggregation function is permutation-invariant. Graph Attention Networks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(GATs [10]) replace fixed aggregation weights with learned attention coefficients, weight-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ing neighbour contributions by relevance.</w:t>
      </w:r>
    </w:p>
    <w:p>
      <w:pPr>
        <w:autoSpaceDN w:val="0"/>
        <w:autoSpaceDE w:val="0"/>
        <w:widowControl/>
        <w:spacing w:line="218" w:lineRule="exact" w:before="74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5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56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2. Background and Related 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4513"/>
        <w:gridCol w:w="4513"/>
      </w:tblGrid>
      <w:tr>
        <w:trPr>
          <w:trHeight w:hRule="exact" w:val="726"/>
        </w:trPr>
        <w:tc>
          <w:tcPr>
            <w:tcW w:type="dxa" w:w="655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8" w:after="0"/>
              <w:ind w:left="4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Traffic prediction with GNNs and the line-graph representation.</w:t>
            </w:r>
          </w:p>
        </w:tc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70" w:after="0"/>
              <w:ind w:left="15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Most prior GNN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work on traffic targets a temporal task: given a window of past observations, predict 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the next time steps; intersections are graph nodes and road links are edges. This thesis 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 xml:space="preserve">takes the alternative line-graph view, in which each road segment becomes a node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edges encode segment adjacency. The line graph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L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G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is a classical graph-theoretic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object; the practical motivation for using it here is that the prediction target, the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change in volume induced by a policy intervention, is naturally per-segment. Following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Natterer et al. [4], each node carries the policy-relevant features (volume, capacity, 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>capacity reduction, free-flow speed, length) and the model produces a per-segment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 xml:space="preserve">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Geometric coordinates of each segment are preserved as auxiliary node features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consumed by the PointNetConv layers [11] of the architecture described in Chapter 3.</w:t>
      </w:r>
    </w:p>
    <w:p>
      <w:pPr>
        <w:autoSpaceDN w:val="0"/>
        <w:autoSpaceDE w:val="0"/>
        <w:widowControl/>
        <w:spacing w:line="286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2.3. Uncertainty Quantification in Deep Learning</w:t>
      </w:r>
    </w:p>
    <w:p>
      <w:pPr>
        <w:autoSpaceDN w:val="0"/>
        <w:autoSpaceDE w:val="0"/>
        <w:widowControl/>
        <w:spacing w:line="284" w:lineRule="exact" w:before="220" w:after="0"/>
        <w:ind w:left="340" w:right="288" w:firstLine="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Uncertainty quantification (UQ) lets a model express how confident it is in its out-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puts [12, 13]. Two kinds are distinguished:</w:t>
      </w:r>
      <w:r>
        <w:rPr>
          <w:w w:val="98.1768868186257"/>
          <w:rFonts w:ascii="URWPalladioL" w:hAnsi="URWPalladioL" w:eastAsia="URWPalladioL"/>
          <w:b w:val="0"/>
          <w:i/>
          <w:color w:val="000000"/>
          <w:sz w:val="22"/>
        </w:rPr>
        <w:t xml:space="preserve"> aleatoric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uncertainty reflects intrinsic stochas-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ticity of the data-generating process and cannot be eliminated by collecting more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data;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epistemic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uncertainty stems from gaps in training coverage and shrinks as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dataset grows or the model capacity is better matched to the task. Bayesian neural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networks [14] formalise epistemic uncertainty by a posterior over weights, but exact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inference is intractable for non-trivial networks.</w:t>
      </w:r>
    </w:p>
    <w:p>
      <w:pPr>
        <w:autoSpaceDN w:val="0"/>
        <w:autoSpaceDE w:val="0"/>
        <w:widowControl/>
        <w:spacing w:line="240" w:lineRule="exact" w:before="388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4"/>
        </w:rPr>
        <w:t>2.3.1. Monte Carlo Dropout and Deep Ensembles</w:t>
      </w:r>
    </w:p>
    <w:p>
      <w:pPr>
        <w:autoSpaceDN w:val="0"/>
        <w:autoSpaceDE w:val="0"/>
        <w:widowControl/>
        <w:spacing w:line="284" w:lineRule="exact" w:before="152" w:after="174"/>
        <w:ind w:left="340" w:right="288" w:firstLine="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Gal and Ghahramani [15] showed that a network trained with dropout can be inter-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preted as a variational approximation to a Bayesian neural network. Keeping dropout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active at inference time and averaging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stochastic forward passes,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68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12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s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 ˆ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w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2"/>
              </w:rPr>
              <w:t>s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x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134" w:right="0" w:firstLine="0"/>
              <w:jc w:val="left"/>
            </w:pPr>
            <w:r>
              <w:rPr>
                <w:rFonts w:ascii="PazoMathBlackboardBold" w:hAnsi="PazoMathBlackboardBold" w:eastAsia="PazoMathBlackboardBold"/>
                <w:b/>
                <w:i w:val="0"/>
                <w:color w:val="000000"/>
                <w:sz w:val="22"/>
              </w:rPr>
              <w:t>E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[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]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≈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S</w:t>
            </w:r>
            <w:r>
              <w:rPr>
                <w:w w:val="98.53355038550592"/>
                <w:rFonts w:ascii="PazoMath" w:hAnsi="PazoMath" w:eastAsia="PazoMath"/>
                <w:b w:val="0"/>
                <w:i w:val="0"/>
                <w:color w:val="000000"/>
                <w:sz w:val="31"/>
              </w:rPr>
              <w:t>∑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04" w:after="0"/>
              <w:ind w:left="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1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Var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[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]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≈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S</w:t>
            </w:r>
            <w:r>
              <w:rPr>
                <w:w w:val="98.53355038550592"/>
                <w:rFonts w:ascii="PazoMath" w:hAnsi="PazoMath" w:eastAsia="PazoMath"/>
                <w:b w:val="0"/>
                <w:i w:val="0"/>
                <w:color w:val="000000"/>
                <w:sz w:val="31"/>
              </w:rPr>
              <w:t>∑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s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60" w:after="0"/>
              <w:ind w:left="20" w:right="0" w:firstLine="0"/>
              <w:jc w:val="left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(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s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−</w:t>
            </w:r>
            <w:r>
              <w:rPr>
                <w:rFonts w:ascii="PazoMathBlackboardBold" w:hAnsi="PazoMathBlackboardBold" w:eastAsia="PazoMathBlackboardBold"/>
                <w:b/>
                <w:i w:val="0"/>
                <w:color w:val="000000"/>
                <w:sz w:val="22"/>
              </w:rPr>
              <w:t>E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[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])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8" w:after="0"/>
              <w:ind w:left="0" w:right="15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(2.3)</w:t>
            </w:r>
          </w:p>
        </w:tc>
      </w:tr>
    </w:tbl>
    <w:p>
      <w:pPr>
        <w:autoSpaceDN w:val="0"/>
        <w:autoSpaceDE w:val="0"/>
        <w:widowControl/>
        <w:spacing w:line="284" w:lineRule="exact" w:before="96" w:after="0"/>
        <w:ind w:left="346" w:right="338" w:hanging="6"/>
        <w:jc w:val="both"/>
      </w:pP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yields samples from the approximate predictive distribution. MC Dropout requires no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architectural change at training time and can be applied post-hoc to any existing model </w:t>
      </w:r>
      <w:r>
        <w:rPr>
          <w:w w:val="98.92539111050692"/>
          <w:rFonts w:ascii="URWPalladioL" w:hAnsi="URWPalladioL" w:eastAsia="URWPalladioL"/>
          <w:b w:val="0"/>
          <w:i w:val="0"/>
          <w:color w:val="000000"/>
          <w:sz w:val="22"/>
        </w:rPr>
        <w:t xml:space="preserve">that already includes dropout layers. Its variational posterior, however, is typically too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concentrated, so the raw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from MC Dropout is not a calibrated standard deviation in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absolute terms [16], a property quantified empirically in Chapter 5 via the scaling factor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Deep ensembles [17] replace stochastic dropout sampling with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M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independently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trained networks; the ensemble mean is the prediction and the inter-member variance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is the uncertainty, at the cost of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M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×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training and inference compute.</w:t>
      </w:r>
    </w:p>
    <w:p>
      <w:pPr>
        <w:autoSpaceDN w:val="0"/>
        <w:autoSpaceDE w:val="0"/>
        <w:widowControl/>
        <w:spacing w:line="218" w:lineRule="exact" w:before="90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6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2. Background and Related Work</w:t>
      </w:r>
    </w:p>
    <w:p>
      <w:pPr>
        <w:autoSpaceDN w:val="0"/>
        <w:autoSpaceDE w:val="0"/>
        <w:widowControl/>
        <w:spacing w:line="240" w:lineRule="exact" w:before="516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4"/>
        </w:rPr>
        <w:t>2.3.2. Conformal Prediction</w:t>
      </w:r>
    </w:p>
    <w:p>
      <w:pPr>
        <w:autoSpaceDN w:val="0"/>
        <w:autoSpaceDE w:val="0"/>
        <w:widowControl/>
        <w:spacing w:line="288" w:lineRule="exact" w:before="146" w:after="0"/>
        <w:ind w:left="346" w:right="340" w:firstLine="0"/>
        <w:jc w:val="both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Conformal prediction [18, 19] is a distribution-free framework for finite-sample marginal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coverage, requiring only the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exchangeability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of the data. Given a model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f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a calibration 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>set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D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cal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{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x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y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}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n 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7.70470787497128"/>
          <w:rFonts w:ascii="CMR10" w:hAnsi="CMR10" w:eastAsia="CMR10"/>
          <w:b w:val="0"/>
          <w:i w:val="0"/>
          <w:color w:val="000000"/>
          <w:sz w:val="17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1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>, and target level 1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PazoMath" w:hAnsi="PazoMath" w:eastAsia="PazoMath"/>
          <w:b w:val="0"/>
          <w:i/>
          <w:color w:val="000000"/>
          <w:sz w:val="22"/>
        </w:rPr>
        <w:t>α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 xml:space="preserve">, split conformal computes nonconformity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scores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f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x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 sets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q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Quantile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s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. . 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;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⌈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n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+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)(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PazoMath" w:hAnsi="PazoMath" w:eastAsia="PazoMath"/>
          <w:b w:val="0"/>
          <w:i/>
          <w:color w:val="000000"/>
          <w:sz w:val="22"/>
        </w:rPr>
        <w:t>α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⌉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/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n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and returns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intervals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C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x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new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 = [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f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x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new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q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f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x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new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 +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q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with Pr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new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∈C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≥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PazoMath" w:hAnsi="PazoMath" w:eastAsia="PazoMath"/>
          <w:b w:val="0"/>
          <w:i/>
          <w:color w:val="000000"/>
          <w:sz w:val="22"/>
        </w:rPr>
        <w:t>α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564" w:val="left"/>
          <w:tab w:pos="1360" w:val="left"/>
          <w:tab w:pos="1876" w:val="left"/>
        </w:tabs>
        <w:autoSpaceDE w:val="0"/>
        <w:widowControl/>
        <w:spacing w:line="284" w:lineRule="exact" w:before="22" w:after="0"/>
        <w:ind w:left="336" w:right="288" w:firstLine="0"/>
        <w:jc w:val="left"/>
      </w:pP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When an auxiliary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(e.g. from MC Dropout) is available, the score can be nor-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malised,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adapt 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i </w:t>
      </w:r>
      <w:r>
        <w:tab/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f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x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/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+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ε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for a small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ε</w:t>
      </w:r>
      <w:r>
        <w:rPr>
          <w:w w:val="98.846087248429"/>
          <w:rFonts w:ascii="CMMI10" w:hAnsi="CMMI10" w:eastAsia="CMMI10"/>
          <w:b w:val="0"/>
          <w:i/>
          <w:color w:val="000000"/>
          <w:sz w:val="23"/>
        </w:rPr>
        <w:t xml:space="preserve"> &gt;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0, producing input-adaptive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widths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q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adapt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+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q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adapt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[20] while preserving the marginal guarantee. Bar-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ber et al. [21] prove that distribution-free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conditional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coverage is impossible without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further assumptions; standard conformal can therefore over-cover low-uncertainty 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>inputs and under-cover high-uncertainty ones, a pattern observed empirically in Chap-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ter 5, while adaptive conformal partly mitigates this in practice.</w:t>
      </w:r>
    </w:p>
    <w:p>
      <w:pPr>
        <w:autoSpaceDN w:val="0"/>
        <w:autoSpaceDE w:val="0"/>
        <w:widowControl/>
        <w:spacing w:line="240" w:lineRule="exact" w:before="390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4"/>
        </w:rPr>
        <w:t>2.3.3. Heteroscedastic Regression and the NLL–MSE Trade-off</w:t>
      </w:r>
    </w:p>
    <w:p>
      <w:pPr>
        <w:autoSpaceDN w:val="0"/>
        <w:autoSpaceDE w:val="0"/>
        <w:widowControl/>
        <w:spacing w:line="266" w:lineRule="exact" w:before="186" w:after="162"/>
        <w:ind w:left="346" w:right="288" w:hanging="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A heteroscedastic head outputs a mean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 a log-variance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log ˆ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per node, trained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by minimising the Gaussian negative log-likelihood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00"/>
        </w:trPr>
        <w:tc>
          <w:tcPr>
            <w:tcW w:type="dxa" w:w="1160"/>
            <w:vMerge w:val="restart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188" w:right="0" w:firstLine="0"/>
              <w:jc w:val="left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L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262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918"/>
            <w:vMerge w:val="restart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72" w:after="0"/>
              <w:ind w:left="0" w:right="0" w:firstLine="0"/>
              <w:jc w:val="center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µ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046"/>
            <w:vMerge w:val="restart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254" w:lineRule="exact" w:before="96" w:after="0"/>
              <w:ind w:left="64" w:right="0" w:firstLine="0"/>
              <w:jc w:val="left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60"/>
            <w:vMerge w:val="restart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4" w:after="0"/>
              <w:ind w:left="0" w:right="160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158"/>
        </w:trPr>
        <w:tc>
          <w:tcPr>
            <w:tcW w:type="dxa" w:w="1505"/>
            <w:vMerge/>
            <w:tcBorders>
              <w:bottom w:sz="3.48799991607666" w:val="single" w:color="#000000"/>
            </w:tcBorders>
          </w:tcPr>
          <w:p/>
        </w:tc>
        <w:tc>
          <w:tcPr>
            <w:tcW w:type="dxa" w:w="47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5"/>
            <w:vMerge/>
            <w:tcBorders>
              <w:bottom w:sz="3.48799991607666" w:val="single" w:color="#000000"/>
            </w:tcBorders>
          </w:tcPr>
          <w:p/>
        </w:tc>
        <w:tc>
          <w:tcPr>
            <w:tcW w:type="dxa" w:w="1505"/>
            <w:vMerge/>
            <w:tcBorders>
              <w:bottom w:sz="3.48799991607666" w:val="single" w:color="#000000"/>
            </w:tcBorders>
          </w:tcPr>
          <w:p/>
        </w:tc>
        <w:tc>
          <w:tcPr>
            <w:tcW w:type="dxa" w:w="1505"/>
            <w:vMerge/>
            <w:tcBorders>
              <w:bottom w:sz="3.48799991607666" w:val="single" w:color="#000000"/>
            </w:tcBorders>
          </w:tcPr>
          <w:p/>
        </w:tc>
        <w:tc>
          <w:tcPr>
            <w:tcW w:type="dxa" w:w="1505"/>
            <w:vMerge/>
            <w:tcBorders>
              <w:bottom w:sz="3.48799991607666" w:val="single" w:color="#000000"/>
            </w:tcBorders>
          </w:tcPr>
          <w:p/>
        </w:tc>
      </w:tr>
      <w:tr>
        <w:trPr>
          <w:trHeight w:hRule="exact" w:val="142"/>
        </w:trPr>
        <w:tc>
          <w:tcPr>
            <w:tcW w:type="dxa" w:w="1160"/>
            <w:vMerge w:val="restart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580"/>
              <w:gridCol w:w="580"/>
            </w:tblGrid>
            <w:tr>
              <w:trPr>
                <w:trHeight w:hRule="exact" w:val="346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URWPalladioL" w:hAnsi="URWPalladioL" w:eastAsia="URWPalladioL"/>
                      <w:b w:val="0"/>
                      <w:i w:val="0"/>
                      <w:color w:val="000000"/>
                      <w:sz w:val="16"/>
                    </w:rPr>
                    <w:t>NLL</w:t>
                  </w:r>
                  <w:r>
                    <w:rPr>
                      <w:w w:val="98.846087248429"/>
                      <w:rFonts w:ascii="CMR10" w:hAnsi="CMR10" w:eastAsia="CMR10"/>
                      <w:b w:val="0"/>
                      <w:i w:val="0"/>
                      <w:color w:val="000000"/>
                      <w:sz w:val="23"/>
                    </w:rPr>
                    <w:t xml:space="preserve"> 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88" w:after="0"/>
                    <w:ind w:left="0" w:right="4" w:firstLine="0"/>
                    <w:jc w:val="right"/>
                  </w:pPr>
                  <w:r>
                    <w:rPr>
                      <w:rFonts w:ascii="URWPalladioL" w:hAnsi="URWPalladioL" w:eastAsia="URWPalladioL"/>
                      <w:b w:val="0"/>
                      <w:i/>
                      <w:color w:val="000000"/>
                      <w:sz w:val="22"/>
                    </w:rPr>
                    <w:t>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vMerge w:val="restart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2ˆ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046"/>
            <w:vMerge w:val="restart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13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log ˆ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</w:p>
        </w:tc>
        <w:tc>
          <w:tcPr>
            <w:tcW w:type="dxa" w:w="260"/>
            <w:vMerge w:val="restart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4980"/>
            <w:vMerge w:val="restart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(Gaussian normalising constant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log 2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π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omitted)</w:t>
            </w:r>
          </w:p>
        </w:tc>
      </w:tr>
      <w:tr>
        <w:trPr>
          <w:trHeight w:hRule="exact" w:val="112"/>
        </w:trPr>
        <w:tc>
          <w:tcPr>
            <w:tcW w:type="dxa" w:w="1505"/>
            <w:vMerge/>
            <w:tcBorders>
              <w:top w:sz="3.48799991607666" w:val="single" w:color="#000000"/>
            </w:tcBorders>
          </w:tcPr>
          <w:p/>
        </w:tc>
        <w:tc>
          <w:tcPr>
            <w:tcW w:type="dxa" w:w="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" w:after="0"/>
              <w:ind w:left="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05"/>
            <w:vMerge/>
            <w:tcBorders>
              <w:top w:sz="3.48799991607666" w:val="single" w:color="#000000"/>
            </w:tcBorders>
          </w:tcPr>
          <w:p/>
        </w:tc>
        <w:tc>
          <w:tcPr>
            <w:tcW w:type="dxa" w:w="1505"/>
            <w:vMerge/>
            <w:tcBorders>
              <w:top w:sz="3.48799991607666" w:val="single" w:color="#000000"/>
            </w:tcBorders>
          </w:tcPr>
          <w:p/>
        </w:tc>
        <w:tc>
          <w:tcPr>
            <w:tcW w:type="dxa" w:w="1505"/>
            <w:vMerge/>
            <w:tcBorders>
              <w:top w:sz="3.48799991607666" w:val="single" w:color="#000000"/>
            </w:tcBorders>
          </w:tcPr>
          <w:p/>
        </w:tc>
        <w:tc>
          <w:tcPr>
            <w:tcW w:type="dxa" w:w="1505"/>
            <w:vMerge/>
            <w:tcBorders>
              <w:top w:sz="3.48799991607666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1505"/>
            <w:vMerge/>
            <w:tcBorders>
              <w:top w:sz="3.48799991607666" w:val="single" w:color="#000000"/>
            </w:tcBorders>
          </w:tcPr>
          <w:p/>
        </w:tc>
        <w:tc>
          <w:tcPr>
            <w:tcW w:type="dxa" w:w="1505"/>
            <w:vMerge/>
            <w:tcBorders/>
          </w:tcPr>
          <w:p/>
        </w:tc>
        <w:tc>
          <w:tcPr>
            <w:tcW w:type="dxa" w:w="1505"/>
            <w:vMerge/>
            <w:tcBorders>
              <w:top w:sz="3.48799991607666" w:val="single" w:color="#000000"/>
            </w:tcBorders>
          </w:tcPr>
          <w:p/>
        </w:tc>
        <w:tc>
          <w:tcPr>
            <w:tcW w:type="dxa" w:w="1505"/>
            <w:vMerge/>
            <w:tcBorders>
              <w:top w:sz="3.48799991607666" w:val="single" w:color="#000000"/>
            </w:tcBorders>
          </w:tcPr>
          <w:p/>
        </w:tc>
        <w:tc>
          <w:tcPr>
            <w:tcW w:type="dxa" w:w="1505"/>
            <w:vMerge/>
            <w:tcBorders>
              <w:top w:sz="3.48799991607666" w:val="single" w:color="#000000"/>
            </w:tcBorders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0" w:right="29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(2.4)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342" w:right="288" w:hanging="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The loss can be reduced either by improving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or by inflating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on hard examples.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Seitzer, Tavakoli, Antic, and Martius [22] analyse the joint optimisation of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(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observe a degenerate regime in which the gradient pathway through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dominates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whenever the mean head has insufficient capacity, leaving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under-fit and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inflated 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hard examples. A regulariser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λ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∑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log ˆ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2 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is commonly added to keep optimisation </w:t>
      </w:r>
      <w:r>
        <w:rPr>
          <w:w w:val="98.92539111050692"/>
          <w:rFonts w:ascii="URWPalladioL" w:hAnsi="URWPalladioL" w:eastAsia="URWPalladioL"/>
          <w:b w:val="0"/>
          <w:i w:val="0"/>
          <w:color w:val="000000"/>
          <w:sz w:val="22"/>
        </w:rPr>
        <w:t>stable [22]. This trade-off is the central reason why Trial 9 in this thesis trades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92539111050692"/>
          <w:rFonts w:ascii="URWPalladioL" w:hAnsi="URWPalladioL" w:eastAsia="URWPalladioL"/>
          <w:b w:val="0"/>
          <w:i w:val="0"/>
          <w:color w:val="000000"/>
          <w:sz w:val="22"/>
        </w:rPr>
        <w:t xml:space="preserve">for a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roughly four-fold improvement in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(from 11.66 to 2.84).</w:t>
      </w:r>
    </w:p>
    <w:p>
      <w:pPr>
        <w:autoSpaceDN w:val="0"/>
        <w:autoSpaceDE w:val="0"/>
        <w:widowControl/>
        <w:spacing w:line="240" w:lineRule="exact" w:before="356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4"/>
        </w:rPr>
        <w:t>2.3.4. Conformalized Quantile Regression</w:t>
      </w:r>
    </w:p>
    <w:p>
      <w:pPr>
        <w:autoSpaceDN w:val="0"/>
        <w:autoSpaceDE w:val="0"/>
        <w:widowControl/>
        <w:spacing w:line="284" w:lineRule="exact" w:before="150" w:after="162"/>
        <w:ind w:left="346" w:right="348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Conformalized Quantile Regression (CQR) [20] obtains prediction intervals that are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both adaptive and conformally calibrated. A model is trained to predict the lower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upper quantiles 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q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lo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and 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q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hi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via the joint pinball loss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06"/>
        </w:trPr>
        <w:tc>
          <w:tcPr>
            <w:tcW w:type="dxa" w:w="157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84" w:after="0"/>
              <w:ind w:left="1436" w:right="0" w:hanging="994"/>
              <w:jc w:val="left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pinball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1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h</w:t>
            </w:r>
          </w:p>
        </w:tc>
        <w:tc>
          <w:tcPr>
            <w:tcW w:type="dxa" w:w="26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02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ρ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6"/>
              </w:rPr>
              <w:t>τ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2"/>
              </w:rPr>
              <w:t>lo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q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lo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) +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ρ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6"/>
              </w:rPr>
              <w:t>τ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2"/>
              </w:rPr>
              <w:t>hi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q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hi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)</w:t>
            </w:r>
          </w:p>
        </w:tc>
        <w:tc>
          <w:tcPr>
            <w:tcW w:type="dxa" w:w="1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i</w:t>
            </w:r>
          </w:p>
        </w:tc>
        <w:tc>
          <w:tcPr>
            <w:tcW w:type="dxa" w:w="2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27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32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ρ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6"/>
              </w:rPr>
              <w:t>τ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u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) =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u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(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τ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−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1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[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u</w:t>
            </w:r>
            <w:r>
              <w:rPr>
                <w:w w:val="98.846087248429"/>
                <w:rFonts w:ascii="CMMI10" w:hAnsi="CMMI10" w:eastAsia="CMMI10"/>
                <w:b w:val="0"/>
                <w:i/>
                <w:color w:val="000000"/>
                <w:sz w:val="23"/>
              </w:rPr>
              <w:t xml:space="preserve"> &lt;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0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])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62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(2.5)</w:t>
            </w:r>
          </w:p>
        </w:tc>
      </w:tr>
      <w:tr>
        <w:trPr>
          <w:trHeight w:hRule="exact" w:val="300"/>
        </w:trPr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 w:firstLine="0"/>
              <w:jc w:val="center"/>
            </w:pPr>
            <w:r>
              <w:rPr>
                <w:w w:val="98.53355038550592"/>
                <w:rFonts w:ascii="PazoMath" w:hAnsi="PazoMath" w:eastAsia="PazoMath"/>
                <w:b w:val="0"/>
                <w:i w:val="0"/>
                <w:color w:val="000000"/>
                <w:sz w:val="31"/>
              </w:rPr>
              <w:t>∑</w:t>
            </w:r>
          </w:p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200"/>
        </w:trPr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28"/>
            <w:vMerge/>
            <w:tcBorders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6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7</w:t>
      </w:r>
    </w:p>
    <w:p>
      <w:pPr>
        <w:sectPr>
          <w:pgSz w:w="11906" w:h="16838"/>
          <w:pgMar w:top="870" w:right="1438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2. Background and Related Work</w:t>
      </w:r>
    </w:p>
    <w:p>
      <w:pPr>
        <w:autoSpaceDN w:val="0"/>
        <w:autoSpaceDE w:val="0"/>
        <w:widowControl/>
        <w:spacing w:line="284" w:lineRule="exact" w:before="468" w:after="0"/>
        <w:ind w:left="346" w:right="288" w:hanging="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A single conformal correction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Q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is then computed on a held-out set, and intervals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become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q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lo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Q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 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q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hi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+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Q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38" w:lineRule="exact" w:before="390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4"/>
        </w:rPr>
        <w:t>2.3.5. Selective Prediction and Evaluation Metrics</w:t>
      </w:r>
    </w:p>
    <w:p>
      <w:pPr>
        <w:autoSpaceDN w:val="0"/>
        <w:autoSpaceDE w:val="0"/>
        <w:widowControl/>
        <w:spacing w:line="284" w:lineRule="exact" w:before="152" w:after="0"/>
        <w:ind w:left="346" w:right="346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Selective prediction [23], originally formulated for classification but easily extended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to regression, ranks predictions by an uncertainty score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 retains only the most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confident fraction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τ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characterising how much an uncertainty signal can sharpen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accuracy when an abstention budget is available.</w:t>
      </w:r>
    </w:p>
    <w:p>
      <w:pPr>
        <w:autoSpaceDN w:val="0"/>
        <w:autoSpaceDE w:val="0"/>
        <w:widowControl/>
        <w:spacing w:line="284" w:lineRule="exact" w:before="2" w:after="68"/>
        <w:ind w:left="340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Several complementary metrics evaluate uncertainty quality. The Spearman rank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correlation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between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measures whether large uncertainty tracks large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error and is invariant to monotone rescaling. The Expected Calibration Error [24, 25]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summarises how observed coverage deviates from nominal across the full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0, 1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range.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The Continuous Ranked Probability Score (CRPS) [26] is a proper scoring rule that for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 Gaussian predictive distribution admits the closed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rPr>
          <w:trHeight w:hRule="exact" w:val="59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8" w:after="0"/>
              <w:ind w:left="0" w:right="4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CRPS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10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N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(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µ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y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60" w:after="0"/>
              <w:ind w:left="0" w:right="0" w:firstLine="0"/>
              <w:jc w:val="center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σ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h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z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PazoMath" w:hAnsi="PazoMath" w:eastAsia="PazoMath"/>
                <w:b w:val="0"/>
                <w:i w:val="0"/>
                <w:color w:val="000000"/>
                <w:sz w:val="22"/>
              </w:rPr>
              <w:t>Φ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z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)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60" w:after="0"/>
              <w:ind w:left="0" w:right="0" w:firstLine="0"/>
              <w:jc w:val="center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2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φ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z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)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−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</w:t>
            </w:r>
            <w:r>
              <w:br/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√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6"/>
              </w:rPr>
              <w:t>π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i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8" w:after="0"/>
              <w:ind w:left="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34" w:after="0"/>
              <w:ind w:left="13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z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 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−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µ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8" w:after="0"/>
              <w:ind w:left="0" w:right="15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(2.6)</w:t>
            </w:r>
          </w:p>
        </w:tc>
      </w:tr>
      <w:tr>
        <w:trPr>
          <w:trHeight w:hRule="exact" w:val="486"/>
        </w:trPr>
        <w:tc>
          <w:tcPr>
            <w:tcW w:type="dxa" w:w="69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186" w:right="0" w:firstLine="0"/>
              <w:jc w:val="left"/>
            </w:pP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giving the theoretical Gaussian-calibrated optimum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CRPS/MAE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/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2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√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0" w:after="0"/>
              <w:ind w:left="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≈</w:t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0.707. The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346" w:right="338" w:firstLine="0"/>
        <w:jc w:val="both"/>
      </w:pPr>
      <w:r>
        <w:rPr>
          <w:w w:val="98.9750862121582"/>
          <w:rFonts w:ascii="URWPalladioL" w:hAnsi="URWPalladioL" w:eastAsia="URWPalladioL"/>
          <w:b w:val="0"/>
          <w:i w:val="0"/>
          <w:color w:val="000000"/>
          <w:sz w:val="22"/>
        </w:rPr>
        <w:t>Probability Integral Transform [27] is uniform on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w w:val="98.9750862121582"/>
          <w:rFonts w:ascii="URWPalladioL" w:hAnsi="URWPalladioL" w:eastAsia="URWPalladioL"/>
          <w:b w:val="0"/>
          <w:i w:val="0"/>
          <w:color w:val="000000"/>
          <w:sz w:val="22"/>
        </w:rPr>
        <w:t>0, 1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w w:val="98.9750862121582"/>
          <w:rFonts w:ascii="URWPalladioL" w:hAnsi="URWPalladioL" w:eastAsia="URWPalladioL"/>
          <w:b w:val="0"/>
          <w:i w:val="0"/>
          <w:color w:val="000000"/>
          <w:sz w:val="22"/>
        </w:rPr>
        <w:t xml:space="preserve"> for a calibrated forecaster, with </w:t>
      </w:r>
      <w:r>
        <w:rPr>
          <w:w w:val="98.32703850486062"/>
          <w:rFonts w:ascii="URWPalladioL" w:hAnsi="URWPalladioL" w:eastAsia="URWPalladioL"/>
          <w:b w:val="0"/>
          <w:i w:val="0"/>
          <w:color w:val="000000"/>
          <w:sz w:val="22"/>
        </w:rPr>
        <w:t xml:space="preserve">departures from uniformity flagged by the Kolmogorov–Smirnov statistic. The Winkler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interval score [28] rewards narrow intervals and penalises non-coverage, enabling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direct comparison of Gaussian, conformal, and adaptive conformal intervals. For binary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error-detection, AUROC measures whether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separates large-error from small-error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nodes; AUPRC is more informative under class imbalance, with the random baseline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equal to the positive-class prevalence [29, 30].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2.4. Surrogates and UQ in Adjacent Domains</w:t>
      </w:r>
    </w:p>
    <w:p>
      <w:pPr>
        <w:autoSpaceDN w:val="0"/>
        <w:autoSpaceDE w:val="0"/>
        <w:widowControl/>
        <w:spacing w:line="286" w:lineRule="exact" w:before="218" w:after="0"/>
        <w:ind w:left="340" w:right="288" w:firstLine="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GNN-based transport surrogates leverage the network topology that controls flow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propagation [4]; PointNetTransfGAT (PointNet + transformer + graph attention) [4]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is the architecture this thesis builds on. Existing UQ work on traffic targets temporal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forecasting rather than the cross-sectional policy-impact setting studied here,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UQ for GNNs has been studied primarily for classification: Fuchsgruber et al. [31]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propose single-pass epistemic uncertainty via Graph Energy-Based Models, and [32]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explore uncertainty-guided active learning on graphs. Within conformal prediction,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Romano et al. [20] introduce CQR (basis for Trials 10/11), Barber et al. [21] establish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impossibility of distribution-free conditional coverage, and the regression-calibration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literature [24, 25, 33] provides the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-scaling step used in this thesis.</w:t>
      </w:r>
    </w:p>
    <w:p>
      <w:pPr>
        <w:autoSpaceDN w:val="0"/>
        <w:autoSpaceDE w:val="0"/>
        <w:widowControl/>
        <w:spacing w:line="218" w:lineRule="exact" w:before="71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8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3. Methodology</w:t>
      </w:r>
    </w:p>
    <w:p>
      <w:pPr>
        <w:autoSpaceDN w:val="0"/>
        <w:autoSpaceDE w:val="0"/>
        <w:widowControl/>
        <w:spacing w:line="286" w:lineRule="exact" w:before="536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3.1. Provenance and Reused Components</w:t>
      </w:r>
    </w:p>
    <w:p>
      <w:pPr>
        <w:autoSpaceDN w:val="0"/>
        <w:autoSpaceDE w:val="0"/>
        <w:widowControl/>
        <w:spacing w:line="284" w:lineRule="exact" w:before="220" w:after="0"/>
        <w:ind w:left="346" w:right="288" w:hanging="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This thesis builds on infrastructure provided by Natterer et al. [4] and adds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uncertainty-quantification layer on top. To keep the contribution transparent:</w:t>
      </w:r>
    </w:p>
    <w:p>
      <w:pPr>
        <w:autoSpaceDN w:val="0"/>
        <w:tabs>
          <w:tab w:pos="4412" w:val="left"/>
        </w:tabs>
        <w:autoSpaceDE w:val="0"/>
        <w:widowControl/>
        <w:spacing w:line="284" w:lineRule="exact" w:before="328" w:after="0"/>
        <w:ind w:left="340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Reused (provided by Natterer et al.).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MATSim simulation pipeline that gen-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erated the 10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000 Paris policy scenarios; the PointNetTransfGAT architecture tem-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plate (PointNetConv + TransformerConv + GATConv layers on the directed line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graph); the five-feature node representation (</w:t>
      </w:r>
      <w:r>
        <w:rPr>
          <w:rFonts w:ascii="F409" w:hAnsi="F409" w:eastAsia="F409"/>
          <w:b w:val="0"/>
          <w:i w:val="0"/>
          <w:color w:val="000000"/>
          <w:sz w:val="22"/>
        </w:rPr>
        <w:t>VOL_BASE_CASE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CAPACITY_BASE_CASE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</w:t>
      </w:r>
      <w:r>
        <w:rPr>
          <w:rFonts w:ascii="F409" w:hAnsi="F409" w:eastAsia="F409"/>
          <w:b w:val="0"/>
          <w:i w:val="0"/>
          <w:color w:val="000000"/>
          <w:sz w:val="22"/>
        </w:rPr>
        <w:t>CAPACITY_REDUCTION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FREESPEED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LENGTH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); and the dataset preprocessing convention.</w:t>
      </w:r>
    </w:p>
    <w:p>
      <w:pPr>
        <w:autoSpaceDN w:val="0"/>
        <w:tabs>
          <w:tab w:pos="4760" w:val="left"/>
        </w:tabs>
        <w:autoSpaceDE w:val="0"/>
        <w:widowControl/>
        <w:spacing w:line="284" w:lineRule="exact" w:before="324" w:after="0"/>
        <w:ind w:left="338" w:right="288" w:firstLine="0"/>
        <w:jc w:val="left"/>
      </w:pPr>
      <w:r>
        <w:rPr>
          <w:w w:val="98.1768868186257"/>
          <w:rFonts w:ascii="URWPalladioL" w:hAnsi="URWPalladioL" w:eastAsia="URWPalladioL"/>
          <w:b/>
          <w:i w:val="0"/>
          <w:color w:val="000000"/>
          <w:sz w:val="22"/>
        </w:rPr>
        <w:t xml:space="preserve">Implemented and evaluated in this thesis. </w:t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All 11 trials T1–T11 (trained from scratch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>on the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000-scenario subset) and the five-seed Deep Ensemble; the full UQ evaluation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framework (MC Dropout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30,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-convergence study, calibration audit via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p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regression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-scaling, split and adaptive conformal prediction, selective prediction,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AUROC for top-error detection, CRPS / PIT / Winkler scoring); the three uncertainty-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aware training extensions T9 (heteroscedastic head) and T10/T11 (CQR heads) including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frozen-vs-unfrozen-backbone comparison; the three non-GNN baselines (Random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Forest, XGBoost, MLP) evaluated on the same scenario-level held-out test set; all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experimental analyses, figures, tables and the resulting discussion.</w:t>
      </w:r>
    </w:p>
    <w:p>
      <w:pPr>
        <w:autoSpaceDN w:val="0"/>
        <w:autoSpaceDE w:val="0"/>
        <w:widowControl/>
        <w:spacing w:line="286" w:lineRule="exact" w:before="460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3.2. Problem Formulation</w:t>
      </w:r>
    </w:p>
    <w:p>
      <w:pPr>
        <w:autoSpaceDN w:val="0"/>
        <w:autoSpaceDE w:val="0"/>
        <w:widowControl/>
        <w:spacing w:line="284" w:lineRule="exact" w:before="220" w:after="32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task is node-level regression on a directed line graph. Given a road network 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G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E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with nodes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∈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representing road segments and edges encoding adjacency,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goal is to predict the change in traffic volume at each segment after a policy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65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18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intervention,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212" w:after="0"/>
              <w:ind w:left="0" w:right="12" w:firstLine="0"/>
              <w:jc w:val="right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2"/>
              </w:rPr>
              <w:t>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v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v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policy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24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−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v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baseline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18" w:after="0"/>
              <w:ind w:left="2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18" w:after="0"/>
              <w:ind w:left="0" w:right="15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(3.1)</w:t>
            </w:r>
          </w:p>
        </w:tc>
      </w:tr>
    </w:tbl>
    <w:p>
      <w:pPr>
        <w:autoSpaceDN w:val="0"/>
        <w:autoSpaceDE w:val="0"/>
        <w:widowControl/>
        <w:spacing w:line="284" w:lineRule="exact" w:before="2" w:after="0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Targets are positive, negative, or zero; most road segments are unaffected by a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typical capacity reduction. Each node carries five scalar features,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VOL_BASE_CASE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</w:t>
      </w:r>
      <w:r>
        <w:rPr>
          <w:rFonts w:ascii="F409" w:hAnsi="F409" w:eastAsia="F409"/>
          <w:b w:val="0"/>
          <w:i w:val="0"/>
          <w:color w:val="000000"/>
          <w:sz w:val="22"/>
        </w:rPr>
        <w:t>CAPACITY_BASE_CASE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CAPACITY_REDUCTION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(negative values denoting reductions),</w:t>
      </w:r>
    </w:p>
    <w:p>
      <w:pPr>
        <w:autoSpaceDN w:val="0"/>
        <w:autoSpaceDE w:val="0"/>
        <w:widowControl/>
        <w:spacing w:line="218" w:lineRule="exact" w:before="73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9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3. Methodology</w:t>
      </w:r>
    </w:p>
    <w:p>
      <w:pPr>
        <w:autoSpaceDN w:val="0"/>
        <w:autoSpaceDE w:val="0"/>
        <w:widowControl/>
        <w:spacing w:line="284" w:lineRule="exact" w:before="468" w:after="0"/>
        <w:ind w:left="346" w:right="288" w:firstLine="0"/>
        <w:jc w:val="left"/>
      </w:pPr>
      <w:r>
        <w:rPr>
          <w:rFonts w:ascii="F409" w:hAnsi="F409" w:eastAsia="F409"/>
          <w:b w:val="0"/>
          <w:i w:val="0"/>
          <w:color w:val="000000"/>
          <w:sz w:val="22"/>
        </w:rPr>
        <w:t>FREESPEED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LENGTH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together with the 2D start and end coordinates of the road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segment, which are consumed by the PointNetConv layers below. Although both </w:t>
      </w:r>
      <w:r>
        <w:rPr>
          <w:rFonts w:ascii="F409" w:hAnsi="F409" w:eastAsia="F409"/>
          <w:b w:val="0"/>
          <w:i w:val="0"/>
          <w:color w:val="000000"/>
          <w:sz w:val="22"/>
        </w:rPr>
        <w:t>CAPACITY_REDUCTION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(Table 3.1) and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contain a similar zero mass (88.7%), this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should not be read as implying that only directly modified segments can change.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Unmodified links can still experience volume changes through traffic rerouting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spillover effects in MATSim equilibrium [4]; the observed alignment of the two zero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shares is an empirical property of this dataset and preprocessing, not a structural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guarantee, and should be interpreted cautiously when reasoning about which segments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are predictable.</w:t>
      </w:r>
    </w:p>
    <w:p>
      <w:pPr>
        <w:autoSpaceDN w:val="0"/>
        <w:autoSpaceDE w:val="0"/>
        <w:widowControl/>
        <w:spacing w:line="284" w:lineRule="exact" w:before="416" w:after="44"/>
        <w:ind w:left="1360" w:right="338" w:hanging="102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3.1.: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Raw-unit statistics for the five input features. Mean and std are from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T8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StandardScaler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fitted on the training partition (used for normalisation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throughout the thesis); the median is from the 100-graph test set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n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500 nodes). Following Natterer et al. [4], the HIGHWAY road-type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feature is excluded so the models remain comparable to their baseline; any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predictive signal from HIGHWAY is therefore dropped.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98"/>
        </w:trPr>
        <w:tc>
          <w:tcPr>
            <w:tcW w:type="dxa" w:w="227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Feature</w:t>
            </w:r>
          </w:p>
        </w:tc>
        <w:tc>
          <w:tcPr>
            <w:tcW w:type="dxa" w:w="80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Mean</w:t>
            </w:r>
          </w:p>
        </w:tc>
        <w:tc>
          <w:tcPr>
            <w:tcW w:type="dxa" w:w="7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10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Std</w:t>
            </w:r>
          </w:p>
        </w:tc>
        <w:tc>
          <w:tcPr>
            <w:tcW w:type="dxa" w:w="100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Median</w:t>
            </w:r>
          </w:p>
        </w:tc>
        <w:tc>
          <w:tcPr>
            <w:tcW w:type="dxa" w:w="3298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Notes</w:t>
            </w:r>
          </w:p>
        </w:tc>
      </w:tr>
      <w:tr>
        <w:trPr>
          <w:trHeight w:hRule="exact" w:val="322"/>
        </w:trPr>
        <w:tc>
          <w:tcPr>
            <w:tcW w:type="dxa" w:w="227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128" w:right="0" w:firstLine="0"/>
              <w:jc w:val="left"/>
            </w:pPr>
            <w:r>
              <w:rPr>
                <w:rFonts w:ascii="F409" w:hAnsi="F409" w:eastAsia="F409"/>
                <w:b w:val="0"/>
                <w:i w:val="0"/>
                <w:color w:val="000000"/>
                <w:sz w:val="22"/>
              </w:rPr>
              <w:t>VOL_BASE_CASE</w:t>
            </w:r>
          </w:p>
        </w:tc>
        <w:tc>
          <w:tcPr>
            <w:tcW w:type="dxa" w:w="80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1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50.9</w:t>
            </w:r>
          </w:p>
        </w:tc>
        <w:tc>
          <w:tcPr>
            <w:tcW w:type="dxa" w:w="7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135.8</w:t>
            </w:r>
          </w:p>
        </w:tc>
        <w:tc>
          <w:tcPr>
            <w:tcW w:type="dxa" w:w="100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12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10.9</w:t>
            </w:r>
          </w:p>
        </w:tc>
        <w:tc>
          <w:tcPr>
            <w:tcW w:type="dxa" w:w="3298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vehicles per hour, right-skewed</w:t>
            </w:r>
          </w:p>
        </w:tc>
      </w:tr>
      <w:tr>
        <w:trPr>
          <w:trHeight w:hRule="exact" w:val="28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F409" w:hAnsi="F409" w:eastAsia="F409"/>
                <w:b w:val="0"/>
                <w:i w:val="0"/>
                <w:color w:val="000000"/>
                <w:sz w:val="22"/>
              </w:rPr>
              <w:t>CAPACITY_BASE_CASE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1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1029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1264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12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480</w:t>
            </w:r>
          </w:p>
        </w:tc>
        <w:tc>
          <w:tcPr>
            <w:tcW w:type="dxa" w:w="3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1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vehicles per hour</w:t>
            </w:r>
          </w:p>
        </w:tc>
      </w:tr>
      <w:tr>
        <w:trPr>
          <w:trHeight w:hRule="exact" w:val="28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F409" w:hAnsi="F409" w:eastAsia="F409"/>
                <w:b w:val="0"/>
                <w:i w:val="0"/>
                <w:color w:val="000000"/>
                <w:sz w:val="22"/>
              </w:rPr>
              <w:t>CAPACITY_REDUCTION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92.4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332.2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2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3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11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vehicles per hour, 88.7% zeros</w:t>
            </w:r>
          </w:p>
        </w:tc>
      </w:tr>
      <w:tr>
        <w:trPr>
          <w:trHeight w:hRule="exact" w:val="28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128" w:right="0" w:firstLine="0"/>
              <w:jc w:val="left"/>
            </w:pPr>
            <w:r>
              <w:rPr>
                <w:rFonts w:ascii="F409" w:hAnsi="F409" w:eastAsia="F409"/>
                <w:b w:val="0"/>
                <w:i w:val="0"/>
                <w:color w:val="000000"/>
                <w:sz w:val="22"/>
              </w:rPr>
              <w:t>FREESPEED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8.15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0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2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8.33</w:t>
            </w:r>
          </w:p>
        </w:tc>
        <w:tc>
          <w:tcPr>
            <w:tcW w:type="dxa" w:w="3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11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m/s, 6 discrete urban bands</w:t>
            </w:r>
          </w:p>
        </w:tc>
      </w:tr>
      <w:tr>
        <w:trPr>
          <w:trHeight w:hRule="exact" w:val="372"/>
        </w:trPr>
        <w:tc>
          <w:tcPr>
            <w:tcW w:type="dxa" w:w="2272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128" w:right="0" w:firstLine="0"/>
              <w:jc w:val="left"/>
            </w:pPr>
            <w:r>
              <w:rPr>
                <w:rFonts w:ascii="F409" w:hAnsi="F409" w:eastAsia="F409"/>
                <w:b w:val="0"/>
                <w:i w:val="0"/>
                <w:color w:val="000000"/>
                <w:sz w:val="22"/>
              </w:rPr>
              <w:t>LENGTH</w:t>
            </w:r>
          </w:p>
        </w:tc>
        <w:tc>
          <w:tcPr>
            <w:tcW w:type="dxa" w:w="80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0" w:right="11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91.6</w:t>
            </w:r>
          </w:p>
        </w:tc>
        <w:tc>
          <w:tcPr>
            <w:tcW w:type="dxa" w:w="72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109.9</w:t>
            </w:r>
          </w:p>
        </w:tc>
        <w:tc>
          <w:tcPr>
            <w:tcW w:type="dxa" w:w="100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0" w:right="12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58.4</w:t>
            </w:r>
          </w:p>
        </w:tc>
        <w:tc>
          <w:tcPr>
            <w:tcW w:type="dxa" w:w="3298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12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metres, range 4.2 to 2569</w:t>
            </w:r>
          </w:p>
        </w:tc>
      </w:tr>
    </w:tbl>
    <w:p>
      <w:pPr>
        <w:autoSpaceDN w:val="0"/>
        <w:autoSpaceDE w:val="0"/>
        <w:widowControl/>
        <w:spacing w:line="286" w:lineRule="exact" w:before="706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3.3. Model Architecture</w:t>
      </w:r>
    </w:p>
    <w:p>
      <w:pPr>
        <w:autoSpaceDN w:val="0"/>
        <w:autoSpaceDE w:val="0"/>
        <w:widowControl/>
        <w:spacing w:line="284" w:lineRule="exact" w:before="218" w:after="0"/>
        <w:ind w:left="336" w:right="288" w:firstLine="4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The surrogate uses the PointNetTransfGAT architecture introduced by Natterer et al. [4],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which combines PointNet [11], transformer attention [34], and graph attention layers [10]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>into a single end-to-end model. Trial 1 uses a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Linear(64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→</w:t>
      </w:r>
      <w:r>
        <w:rPr>
          <w:rFonts w:ascii="F409" w:hAnsi="F409" w:eastAsia="F409"/>
          <w:b w:val="0"/>
          <w:i w:val="0"/>
          <w:color w:val="000000"/>
          <w:sz w:val="22"/>
        </w:rPr>
        <w:t>1)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 final layer; Trials 2–8 use </w:t>
      </w:r>
      <w:r>
        <w:rPr>
          <w:rFonts w:ascii="F409" w:hAnsi="F409" w:eastAsia="F409"/>
          <w:b w:val="0"/>
          <w:i w:val="0"/>
          <w:color w:val="000000"/>
          <w:sz w:val="22"/>
        </w:rPr>
        <w:t>GATConv(64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→</w:t>
      </w:r>
      <w:r>
        <w:rPr>
          <w:rFonts w:ascii="F409" w:hAnsi="F409" w:eastAsia="F409"/>
          <w:b w:val="0"/>
          <w:i w:val="0"/>
          <w:color w:val="000000"/>
          <w:sz w:val="22"/>
        </w:rPr>
        <w:t>1)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adding a final round of attention-weighted neighbour aggregation.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Because Trial 1 was trained without dropout, MC Dropout is undefined for it (every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stochastic forward pass produces an identical output).</w:t>
      </w:r>
    </w:p>
    <w:p>
      <w:pPr>
        <w:autoSpaceDN w:val="0"/>
        <w:autoSpaceDE w:val="0"/>
        <w:widowControl/>
        <w:spacing w:line="298" w:lineRule="exact" w:before="0" w:after="0"/>
        <w:ind w:left="346" w:right="346" w:firstLine="218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first two layers are PointNetConv layers and consume per-node start and end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coordinates. The input data tensor also stores a midpoint coordinate, which is left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in place to keep the preprocessing pipeline of Natterer et al. [4] identical, but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architecture used here does not consume it. For each pair of neighbours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j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the local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MLP receives the relative displacement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pos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j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>pos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concatenated with the node feature</w:t>
      </w:r>
    </w:p>
    <w:p>
      <w:pPr>
        <w:autoSpaceDN w:val="0"/>
        <w:autoSpaceDE w:val="0"/>
        <w:widowControl/>
        <w:spacing w:line="218" w:lineRule="exact" w:before="77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10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3. Methodology</w:t>
      </w:r>
    </w:p>
    <w:p>
      <w:pPr>
        <w:autoSpaceDN w:val="0"/>
        <w:autoSpaceDE w:val="0"/>
        <w:widowControl/>
        <w:spacing w:line="284" w:lineRule="exact" w:before="468" w:after="0"/>
        <w:ind w:left="338" w:right="288" w:firstLine="0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vector; the first layer uses start-point geometry, and the second uses end-point geometry.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This pair of layers encodes both the graph topology and the 2D spatial proximity of 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 xml:space="preserve">the segments. Two TransformerConv layers with four attention heads each follow, then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 GATConv produces the 64-dimensional embedding fed into the final output layer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(Table 3.2).</w:t>
      </w:r>
    </w:p>
    <w:p>
      <w:pPr>
        <w:autoSpaceDN w:val="0"/>
        <w:autoSpaceDE w:val="0"/>
        <w:widowControl/>
        <w:spacing w:line="284" w:lineRule="exact" w:before="402" w:after="44"/>
        <w:ind w:left="1366" w:right="346" w:hanging="102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3.2.: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PointNetTransfGAT architecture. The input consists of node features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x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∈</w:t>
      </w:r>
      <w:r>
        <w:rPr>
          <w:rFonts w:ascii="PazoMathBlackboardBold" w:hAnsi="PazoMathBlackboardBold" w:eastAsia="PazoMathBlackboardBold"/>
          <w:b/>
          <w:i w:val="0"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N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×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5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and positional coordinates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pos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∈</w:t>
      </w:r>
      <w:r>
        <w:rPr>
          <w:rFonts w:ascii="PazoMathBlackboardBold" w:hAnsi="PazoMathBlackboardBold" w:eastAsia="PazoMathBlackboardBold"/>
          <w:b/>
          <w:i w:val="0"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N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×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3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×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The three coordinate slots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in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pos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correspond to the segment start, end, and midpoint, but the layers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below only consume the start and end coordinates.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98"/>
        </w:trPr>
        <w:tc>
          <w:tcPr>
            <w:tcW w:type="dxa" w:w="786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Stage</w:t>
            </w:r>
          </w:p>
        </w:tc>
        <w:tc>
          <w:tcPr>
            <w:tcW w:type="dxa" w:w="198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Layer</w:t>
            </w:r>
          </w:p>
        </w:tc>
        <w:tc>
          <w:tcPr>
            <w:tcW w:type="dxa" w:w="308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286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Operation</w:t>
            </w:r>
          </w:p>
        </w:tc>
        <w:tc>
          <w:tcPr>
            <w:tcW w:type="dxa" w:w="5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In</w:t>
            </w:r>
          </w:p>
        </w:tc>
        <w:tc>
          <w:tcPr>
            <w:tcW w:type="dxa" w:w="67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Out</w:t>
            </w:r>
          </w:p>
        </w:tc>
      </w:tr>
      <w:tr>
        <w:trPr>
          <w:trHeight w:hRule="exact" w:val="348"/>
        </w:trPr>
        <w:tc>
          <w:tcPr>
            <w:tcW w:type="dxa" w:w="786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9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PointNetConv-1</w:t>
            </w:r>
          </w:p>
        </w:tc>
        <w:tc>
          <w:tcPr>
            <w:tcW w:type="dxa" w:w="30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28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Local MLP 7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256; global</w:t>
            </w:r>
          </w:p>
        </w:tc>
        <w:tc>
          <w:tcPr>
            <w:tcW w:type="dxa" w:w="5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67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512</w:t>
            </w:r>
          </w:p>
        </w:tc>
      </w:tr>
    </w:tbl>
    <w:p>
      <w:pPr>
        <w:autoSpaceDN w:val="0"/>
        <w:autoSpaceDE w:val="0"/>
        <w:widowControl/>
        <w:spacing w:line="244" w:lineRule="exact" w:before="12" w:after="22"/>
        <w:ind w:left="0" w:right="329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256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512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512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8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2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PointNetConv-2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28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Local MLP 514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→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256;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512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14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128</w:t>
            </w:r>
          </w:p>
        </w:tc>
      </w:tr>
    </w:tbl>
    <w:p>
      <w:pPr>
        <w:autoSpaceDN w:val="0"/>
        <w:autoSpaceDE w:val="0"/>
        <w:widowControl/>
        <w:spacing w:line="242" w:lineRule="exact" w:before="20" w:after="32"/>
        <w:ind w:left="0" w:right="263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global 256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512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2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24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TransformerConv-1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 heads, 64 dims/head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128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14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256</w:t>
            </w:r>
          </w:p>
        </w:tc>
      </w:tr>
      <w:tr>
        <w:trPr>
          <w:trHeight w:hRule="exact" w:val="3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2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24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TransformerConv-2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 heads, 128 dims/head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256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14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512</w:t>
            </w:r>
          </w:p>
        </w:tc>
      </w:tr>
      <w:tr>
        <w:trPr>
          <w:trHeight w:hRule="exact" w:val="28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2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24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GATConv (mid)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 head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512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20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64</w:t>
            </w:r>
          </w:p>
        </w:tc>
      </w:tr>
      <w:tr>
        <w:trPr>
          <w:trHeight w:hRule="exact" w:val="29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2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24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GATConv / Linear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0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 head (T2–T8) or pointwise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64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25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18" w:lineRule="exact" w:before="32" w:after="0"/>
        <w:ind w:left="0" w:right="460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(T1)</w:t>
      </w:r>
    </w:p>
    <w:p>
      <w:pPr>
        <w:autoSpaceDN w:val="0"/>
        <w:autoSpaceDE w:val="0"/>
        <w:widowControl/>
        <w:spacing w:line="284" w:lineRule="exact" w:before="332" w:after="0"/>
        <w:ind w:left="340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Dropout is applied within both PointNetConv MLPs and between the Transformer-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Conv layers, gated by the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use_dropout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flag. For the uncertainty-aware extensions in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Chapter 4, the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416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768-parameter T8 backbone is frozen (</w:t>
      </w:r>
      <w:r>
        <w:rPr>
          <w:rFonts w:ascii="F409" w:hAnsi="F409" w:eastAsia="F409"/>
          <w:b w:val="0"/>
          <w:i w:val="0"/>
          <w:color w:val="000000"/>
          <w:sz w:val="22"/>
        </w:rPr>
        <w:t>requires_grad=False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)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only a small new output head (134 parameters in both T9 and T11) is optimised,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motivated by the NLL–MSE trade-off (Section 2.3.3). Two subtleties of "frozen" de-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serve mention: T9 freezes the backbone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weights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but keeps backbone dropout active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during head training and inference, so the backbone supplies epistemic uncertainty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via stochastic forward passes through the head; T11 freezes the weights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and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forces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backbone dropout off (single deterministic forward pass), since CQR does not require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MC samples.</w:t>
      </w:r>
    </w:p>
    <w:p>
      <w:pPr>
        <w:autoSpaceDN w:val="0"/>
        <w:autoSpaceDE w:val="0"/>
        <w:widowControl/>
        <w:spacing w:line="286" w:lineRule="exact" w:before="466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3.4. Uncertainty Quantification Methods</w:t>
      </w:r>
    </w:p>
    <w:p>
      <w:pPr>
        <w:autoSpaceDN w:val="0"/>
        <w:autoSpaceDE w:val="0"/>
        <w:widowControl/>
        <w:spacing w:line="284" w:lineRule="exact" w:before="220" w:after="0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This thesis compares six UQ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families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– MC Dropout, seed-ensemble variance, multi-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model ensembles, Deep Ensembles, heteroscedastic regression (Trial 9), and CQR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(Trials 10–11) – and three post-hoc calibration and deployment tools that compose</w:t>
      </w:r>
    </w:p>
    <w:p>
      <w:pPr>
        <w:autoSpaceDN w:val="0"/>
        <w:autoSpaceDE w:val="0"/>
        <w:widowControl/>
        <w:spacing w:line="218" w:lineRule="exact" w:before="838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11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3. Methodology</w:t>
      </w:r>
    </w:p>
    <w:p>
      <w:pPr>
        <w:autoSpaceDN w:val="0"/>
        <w:autoSpaceDE w:val="0"/>
        <w:widowControl/>
        <w:spacing w:line="278" w:lineRule="exact" w:before="492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on top of the families: split and adaptive conformal prediction, regression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-scaling,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and selective prediction. The mathematical formulations and references appear in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Sections 2.3.1–2.3.5 of Chapter 2; this section specifies the procedural choices made in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this thesis.</w:t>
      </w:r>
    </w:p>
    <w:p>
      <w:pPr>
        <w:autoSpaceDN w:val="0"/>
        <w:tabs>
          <w:tab w:pos="2030" w:val="left"/>
        </w:tabs>
        <w:autoSpaceDE w:val="0"/>
        <w:widowControl/>
        <w:spacing w:line="290" w:lineRule="exact" w:before="310" w:after="0"/>
        <w:ind w:left="340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MC Dropout.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trained model is evaluated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30 times with dropout active;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per-node sample mean and standard deviation across passes form the prediction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and uncertainty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A formal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-convergence study (Section 5.2) confirms that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has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converged by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30, with the relative gain from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30 to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50 at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+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1.03%.</w:t>
      </w:r>
    </w:p>
    <w:p>
      <w:pPr>
        <w:autoSpaceDN w:val="0"/>
        <w:tabs>
          <w:tab w:pos="572" w:val="left"/>
          <w:tab w:pos="682" w:val="left"/>
          <w:tab w:pos="8270" w:val="left"/>
        </w:tabs>
        <w:autoSpaceDE w:val="0"/>
        <w:widowControl/>
        <w:spacing w:line="302" w:lineRule="exact" w:before="314" w:after="0"/>
        <w:ind w:left="336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Deep ensembles, single-architecture ensembles, and combined uncertainty.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Five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>PointNetTransfGAT models are trained from scratch with seeds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{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>42, 137, 256, 389, 512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}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(Trial D); inference is deterministic and the inter-member spread is the uncertainty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estimate. Two single-architecture variants are also evaluated: Experiment A averages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MC Dropout over five inference seeds of the same T8 model; Experiment B is an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weighted multi-model ensemble of T2/T5/T6/T7/T8. When MC Dropout and ensemble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variance are both available, the two can be combined in quadrature,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combined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 </w:t>
      </w:r>
      <w:r>
        <w:rPr>
          <w:rFonts w:ascii="CMEX10" w:hAnsi="CMEX10" w:eastAsia="CMEX10"/>
          <w:b w:val="0"/>
          <w:i w:val="0"/>
          <w:color w:val="000000"/>
          <w:sz w:val="22"/>
        </w:rPr>
        <w:t>q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2 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MC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+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2ens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6162" w:val="left"/>
        </w:tabs>
        <w:autoSpaceDE w:val="0"/>
        <w:widowControl/>
        <w:spacing w:line="284" w:lineRule="exact" w:before="302" w:after="0"/>
        <w:ind w:left="346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Split conformal prediction (with an adaptive variant).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100-graph T8 test set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is partitioned into 50 calibration and 50 evaluation graphs (1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581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750 nodes each); the 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>nonconformity score is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 xml:space="preserve"> (or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/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 xml:space="preserve"> for the adaptive variant), the quantile uses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the standard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⌈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n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+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1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)(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1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PazoMath" w:hAnsi="PazoMath" w:eastAsia="PazoMath"/>
          <w:b w:val="0"/>
          <w:i/>
          <w:color w:val="000000"/>
          <w:sz w:val="22"/>
        </w:rPr>
        <w:t>α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⌉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/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n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correction (Section 2.3.2), and intervals are constructed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at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{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50, 70, 80, 90, 95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}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% coverage.</w:t>
      </w:r>
    </w:p>
    <w:p>
      <w:pPr>
        <w:autoSpaceDN w:val="0"/>
        <w:tabs>
          <w:tab w:pos="3556" w:val="left"/>
        </w:tabs>
        <w:autoSpaceDE w:val="0"/>
        <w:widowControl/>
        <w:spacing w:line="284" w:lineRule="exact" w:before="328" w:after="0"/>
        <w:ind w:left="336" w:right="288" w:firstLine="0"/>
        <w:jc w:val="left"/>
      </w:pPr>
      <w:r>
        <w:rPr>
          <w:w w:val="98.52689396251331"/>
          <w:rFonts w:ascii="URWPalladioL" w:hAnsi="URWPalladioL" w:eastAsia="URWPalladioL"/>
          <w:b/>
          <w:i w:val="0"/>
          <w:color w:val="000000"/>
          <w:sz w:val="22"/>
        </w:rPr>
        <w:t>Post-hoc regression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w w:val="98.52689396251331"/>
          <w:rFonts w:ascii="URWPalladioL" w:hAnsi="URWPalladioL" w:eastAsia="URWPalladioL"/>
          <w:b/>
          <w:i w:val="0"/>
          <w:color w:val="000000"/>
          <w:sz w:val="22"/>
        </w:rPr>
        <w:t xml:space="preserve">-scaling. </w:t>
      </w:r>
      <w:r>
        <w:tab/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>A single scalar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8.846087248429"/>
          <w:rFonts w:ascii="CMMI10" w:hAnsi="CMMI10" w:eastAsia="CMMI10"/>
          <w:b w:val="0"/>
          <w:i/>
          <w:color w:val="000000"/>
          <w:sz w:val="23"/>
        </w:rPr>
        <w:t xml:space="preserve"> &gt;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 xml:space="preserve"> 0 rescales the predictive standard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deviation,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scaled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·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raw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 with the point prediction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left unchanged. This is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regression analogue of, not an instance of, classification temperature scaling [25]: that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procedure rescales softmax logits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z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7→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z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/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T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) to correct over-confident probabilities,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whereas the regression variant rescales the predictive standard deviation (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7→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T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) to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correct under-dispersed intervals – same one-parameter, held-out, post-hoc structure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operating on a different output channel. The rescaling is empirically warranted 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present continuous-valued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task because the raw MC Dropout posterior is too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concentrated [16]: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1 the nominal 1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Gaussian interval covers only 32.7% of nodes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against the 68.27% Gaussian target (Section 5.4), which is exactly the failure mode a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single scalar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8.846087248429"/>
          <w:rFonts w:ascii="CMMI10" w:hAnsi="CMMI10" w:eastAsia="CMMI10"/>
          <w:b w:val="0"/>
          <w:i/>
          <w:color w:val="000000"/>
          <w:sz w:val="23"/>
        </w:rPr>
        <w:t xml:space="preserve"> &gt;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 is designed to correct. Within this regression analogue, Kuleshov,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Fenner and Ermon [24] establish the regression-calibration framework (extending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Platt-style classification calibration [25] to regression by recalibrating the predictive</w:t>
      </w:r>
    </w:p>
    <w:p>
      <w:pPr>
        <w:autoSpaceDN w:val="0"/>
        <w:autoSpaceDE w:val="0"/>
        <w:widowControl/>
        <w:spacing w:line="218" w:lineRule="exact" w:before="758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13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3. Methodology</w:t>
      </w:r>
    </w:p>
    <w:p>
      <w:pPr>
        <w:autoSpaceDN w:val="0"/>
        <w:autoSpaceDE w:val="0"/>
        <w:widowControl/>
        <w:spacing w:line="284" w:lineRule="exact" w:before="468" w:after="0"/>
        <w:ind w:left="336" w:right="288" w:firstLine="0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distribution on a held-out set), Laves et al. [33, 35] specialise it to MC Dropout regression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as a single-scalar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-scaling, and Levi et al. [36] apply the same procedure to general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regression heads. Under a Gaussian assumption on the recalibrated residuals, the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maximum-likelihood estimator has the closed form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7.70470787497128"/>
          <w:rFonts w:ascii="CMMI10" w:hAnsi="CMMI10" w:eastAsia="CMMI10"/>
          <w:b w:val="0"/>
          <w:i/>
          <w:color w:val="000000"/>
          <w:sz w:val="17"/>
        </w:rPr>
        <w:t>⋆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2 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NLL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N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1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∑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/ˆ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2 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; on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present data this Gaussian-NLL estimator returns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7.70470787497128"/>
          <w:rFonts w:ascii="CMMI10" w:hAnsi="CMMI10" w:eastAsia="CMMI10"/>
          <w:b w:val="0"/>
          <w:i/>
          <w:color w:val="000000"/>
          <w:sz w:val="17"/>
        </w:rPr>
        <w:t>⋆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NLL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≈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6.35 (Section 5.4), reflecting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the heavy-tailed component of the absolute-residual distribution rather than a calibrated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bulk fit. We therefore fit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by minimising the Kuleshov ECE [24] on a 30% random </w:t>
      </w:r>
      <w:r>
        <w:rPr>
          <w:w w:val="98.32703850486062"/>
          <w:rFonts w:ascii="URWPalladioL" w:hAnsi="URWPalladioL" w:eastAsia="URWPalladioL"/>
          <w:b w:val="0"/>
          <w:i w:val="0"/>
          <w:color w:val="000000"/>
          <w:sz w:val="22"/>
        </w:rPr>
        <w:t>node-level subset of the test set (seed 42, 949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32703850486062"/>
          <w:rFonts w:ascii="URWPalladioL" w:hAnsi="URWPalladioL" w:eastAsia="URWPalladioL"/>
          <w:b w:val="0"/>
          <w:i w:val="0"/>
          <w:color w:val="000000"/>
          <w:sz w:val="22"/>
        </w:rPr>
        <w:t xml:space="preserve">050 nodes) and evaluate on the remaining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70%. The ECE objective targets bulk-of-distribution coverage at 1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rather than tail-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weighted likelihood and is more robust to the heavy-tailed residuals observed here;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optimal value is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7.70470787497128"/>
          <w:rFonts w:ascii="CMMI10" w:hAnsi="CMMI10" w:eastAsia="CMMI10"/>
          <w:b w:val="0"/>
          <w:i/>
          <w:color w:val="000000"/>
          <w:sz w:val="17"/>
        </w:rPr>
        <w:t>⋆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2.887, which reduces ECE from 0.356 to 0.034 and brings 1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coverage from 32.7% to 68.0% (Gaussian target 68.27%, Section 5.4).</w:t>
      </w:r>
    </w:p>
    <w:p>
      <w:pPr>
        <w:autoSpaceDN w:val="0"/>
        <w:tabs>
          <w:tab w:pos="2680" w:val="left"/>
        </w:tabs>
        <w:autoSpaceDE w:val="0"/>
        <w:widowControl/>
        <w:spacing w:line="286" w:lineRule="exact" w:before="328" w:after="0"/>
        <w:ind w:left="346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Selective prediction.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Predictions are sorted by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ascending and the most confident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fraction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τ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is retained; MAE is reported on the retained subset. This characterises how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much accuracy can be sharpened when an abstention budget is available.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3.5. Evaluation Metrics</w:t>
      </w:r>
    </w:p>
    <w:p>
      <w:pPr>
        <w:autoSpaceDN w:val="0"/>
        <w:autoSpaceDE w:val="0"/>
        <w:widowControl/>
        <w:spacing w:line="294" w:lineRule="exact" w:before="210" w:after="124"/>
        <w:ind w:left="346" w:right="318" w:hanging="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evaluation follows the metrics defined in Chapter 2. Point-prediction quality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is measured by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MAE, and RMSE. Uncertainty ranking quality is measured by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Spearman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between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Calibration is reported via the Kuleshov ECE [24],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conformal coverage probability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1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PazoMath" w:hAnsi="PazoMath" w:eastAsia="PazoMath"/>
          <w:b w:val="0"/>
          <w:i/>
          <w:color w:val="000000"/>
          <w:sz w:val="16"/>
        </w:rPr>
        <w:t>α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 and the empirical scaling factor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2256"/>
        <w:gridCol w:w="2256"/>
        <w:gridCol w:w="2256"/>
        <w:gridCol w:w="2256"/>
      </w:tblGrid>
      <w:tr>
        <w:trPr>
          <w:trHeight w:hRule="exact" w:val="4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8" w:after="0"/>
              <w:ind w:left="0" w:right="54" w:firstLine="0"/>
              <w:jc w:val="righ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p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Quantile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34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{|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|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/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(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+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ε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)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}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n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i</w:t>
            </w:r>
            <w:r>
              <w:rPr>
                <w:w w:val="97.70470787497128"/>
                <w:rFonts w:ascii="CMR10" w:hAnsi="CMR10" w:eastAsia="CMR10"/>
                <w:b w:val="0"/>
                <w:i w:val="0"/>
                <w:color w:val="000000"/>
                <w:sz w:val="17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p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7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0" w:right="15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(3.2)</w:t>
            </w:r>
          </w:p>
        </w:tc>
      </w:tr>
    </w:tbl>
    <w:p>
      <w:pPr>
        <w:autoSpaceDN w:val="0"/>
        <w:autoSpaceDE w:val="0"/>
        <w:widowControl/>
        <w:spacing w:line="280" w:lineRule="exact" w:before="130" w:after="0"/>
        <w:ind w:left="336" w:right="346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where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ε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10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8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is a small numerical stability constant that avoids division by zero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when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is close to zero. For a perfectly calibrated Gaussian,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0.95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1.96. Proper scoring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rules, CRPS (Equation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(2.6)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), the PIT, and the Winkler interval score, including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PIT KS statistic, are reported on the full 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500-node test set. Error detection is 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 xml:space="preserve">reported via AUROC at the top-10% and top-20% error thresholds, with AUPRC as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imbalance-aware companion.</w:t>
      </w:r>
    </w:p>
    <w:p>
      <w:pPr>
        <w:autoSpaceDN w:val="0"/>
        <w:autoSpaceDE w:val="0"/>
        <w:widowControl/>
        <w:spacing w:line="218" w:lineRule="exact" w:before="271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14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4. Experimental Setup</w:t>
      </w:r>
    </w:p>
    <w:p>
      <w:pPr>
        <w:autoSpaceDN w:val="0"/>
        <w:autoSpaceDE w:val="0"/>
        <w:widowControl/>
        <w:spacing w:line="288" w:lineRule="exact" w:before="546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4.1. Dataset and Splits</w:t>
      </w:r>
    </w:p>
    <w:p>
      <w:pPr>
        <w:autoSpaceDN w:val="0"/>
        <w:autoSpaceDE w:val="0"/>
        <w:widowControl/>
        <w:spacing w:line="284" w:lineRule="exact" w:before="220" w:after="0"/>
        <w:ind w:left="344" w:right="338" w:hanging="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dataset is a MATSim simulation of the Paris metropolitan area provided by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Natterer et al. [4]. Each scenario corresponds to a distinct policy intervention: a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random subset of road segments is selected and assigned a capacity reduction in 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{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10%, 20%,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. . 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, 100%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}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MATSim is then run from the same baseline plans, and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per-segment difference in hourly volume is recorded as the supervised target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v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(Table 4.1).</w:t>
      </w:r>
    </w:p>
    <w:p>
      <w:pPr>
        <w:autoSpaceDN w:val="0"/>
        <w:autoSpaceDE w:val="0"/>
        <w:widowControl/>
        <w:spacing w:line="218" w:lineRule="exact" w:before="468" w:after="44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4.1.: Paris MATSim dataset. All experiments use the 1,000-scenario subset.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2.0" w:type="dxa"/>
      </w:tblPr>
      <w:tblGrid>
        <w:gridCol w:w="4513"/>
        <w:gridCol w:w="4513"/>
      </w:tblGrid>
      <w:tr>
        <w:trPr>
          <w:trHeight w:hRule="exact" w:val="396"/>
        </w:trPr>
        <w:tc>
          <w:tcPr>
            <w:tcW w:type="dxa" w:w="4428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Property</w:t>
            </w:r>
          </w:p>
        </w:tc>
        <w:tc>
          <w:tcPr>
            <w:tcW w:type="dxa" w:w="113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12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Value</w:t>
            </w:r>
          </w:p>
        </w:tc>
      </w:tr>
      <w:tr>
        <w:trPr>
          <w:trHeight w:hRule="exact" w:val="1820"/>
        </w:trPr>
        <w:tc>
          <w:tcPr>
            <w:tcW w:type="dxa" w:w="4428"/>
            <w:tcBorders>
              <w:top w:sz="4.335999965667725" w:val="single" w:color="#000000"/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38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Road segments per graph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Available scenarios (full)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Scenarios used (10% subset)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Test scenarios (T1–T6 split 80/15/5)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Test scenarios (T7–T11, DE; split 80/10/10)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Test predictions, T7–T11, DE</w:t>
            </w:r>
          </w:p>
        </w:tc>
        <w:tc>
          <w:tcPr>
            <w:tcW w:type="dxa" w:w="1132"/>
            <w:tcBorders>
              <w:top w:sz="4.335999965667725" w:val="single" w:color="#000000"/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38" w:after="0"/>
              <w:ind w:left="0" w:right="12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31,635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10,000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1,000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50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100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3,163,500</w:t>
            </w:r>
          </w:p>
        </w:tc>
      </w:tr>
    </w:tbl>
    <w:p>
      <w:pPr>
        <w:autoSpaceDN w:val="0"/>
        <w:autoSpaceDE w:val="0"/>
        <w:widowControl/>
        <w:spacing w:line="284" w:lineRule="exact" w:before="252" w:after="0"/>
        <w:ind w:left="346" w:right="340" w:firstLine="218"/>
        <w:jc w:val="both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Trials T1–T6 use an 80/15/5 split (800/150/50 scenarios); Trials T7–T11 and the Deep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Ensemble use 80/10/10 (800/100/100), with the larger 100-graph test set enabling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high-resolution UQ analyses in Chapter 5. The split is at the scenario level (each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scenario appears in exactly one split) with split seed 42, ensuring identical scenario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assignment across all trials that share a split configuration.</w:t>
      </w:r>
    </w:p>
    <w:p>
      <w:pPr>
        <w:autoSpaceDN w:val="0"/>
        <w:tabs>
          <w:tab w:pos="3272" w:val="left"/>
        </w:tabs>
        <w:autoSpaceDE w:val="0"/>
        <w:widowControl/>
        <w:spacing w:line="284" w:lineRule="exact" w:before="332" w:after="0"/>
        <w:ind w:left="346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A note on the 10% subset.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full Natterer corpus is around 200 batch files of 50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graphs each (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≈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000 scenarios); we load the first 20 batches, which gives the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000-</w:t>
      </w:r>
      <w:r>
        <w:rPr>
          <w:w w:val="98.32703850486062"/>
          <w:rFonts w:ascii="URWPalladioL" w:hAnsi="URWPalladioL" w:eastAsia="URWPalladioL"/>
          <w:b w:val="0"/>
          <w:i w:val="0"/>
          <w:color w:val="000000"/>
          <w:sz w:val="22"/>
        </w:rPr>
        <w:t xml:space="preserve">scenario subset reused across all eleven trials so that method-to-method differences are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evaluated on identical data. The 100-graph evaluation set (3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500 node-level predic-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tions per trial) is large enough for stable per-graph statistics: per-graph Spearman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has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std 0.023, with a bootstrap 95% CI of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±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0.005 on the mean. Possible subset-selection bias</w:t>
      </w:r>
    </w:p>
    <w:p>
      <w:pPr>
        <w:autoSpaceDN w:val="0"/>
        <w:autoSpaceDE w:val="0"/>
        <w:widowControl/>
        <w:spacing w:line="218" w:lineRule="exact" w:before="90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15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4. Experimental Setup</w:t>
      </w:r>
    </w:p>
    <w:p>
      <w:pPr>
        <w:autoSpaceDN w:val="0"/>
        <w:autoSpaceDE w:val="0"/>
        <w:widowControl/>
        <w:spacing w:line="284" w:lineRule="exact" w:before="468" w:after="0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from the contiguous batch ordering, and the question of whether the findings survive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at the full 10,000-scenario scale, are discussed under threats to validity in Section 6.10.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4.2. Training Protocol</w:t>
      </w:r>
    </w:p>
    <w:p>
      <w:pPr>
        <w:autoSpaceDN w:val="0"/>
        <w:autoSpaceDE w:val="0"/>
        <w:widowControl/>
        <w:spacing w:line="284" w:lineRule="exact" w:before="220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Eight base trials of the PointNetTransfGAT architecture are evaluated. Trial 1 uses a </w:t>
      </w:r>
      <w:r>
        <w:rPr>
          <w:rFonts w:ascii="F409" w:hAnsi="F409" w:eastAsia="F409"/>
          <w:b w:val="0"/>
          <w:i w:val="0"/>
          <w:color w:val="000000"/>
          <w:sz w:val="22"/>
        </w:rPr>
        <w:t>Linear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final layer; T2–T8 use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GATConv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Hyperparameters are listed in Table 4.2.</w:t>
      </w:r>
    </w:p>
    <w:p>
      <w:pPr>
        <w:autoSpaceDN w:val="0"/>
        <w:autoSpaceDE w:val="0"/>
        <w:widowControl/>
        <w:spacing w:line="218" w:lineRule="exact" w:before="480" w:after="44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4.2.: Training trials. T1 uses a Linear final layer; T2–T8 use GATConv.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8.0000000000001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98"/>
        </w:trPr>
        <w:tc>
          <w:tcPr>
            <w:tcW w:type="dxa" w:w="68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Trial</w:t>
            </w:r>
          </w:p>
        </w:tc>
        <w:tc>
          <w:tcPr>
            <w:tcW w:type="dxa" w:w="76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Batch</w:t>
            </w:r>
          </w:p>
        </w:tc>
        <w:tc>
          <w:tcPr>
            <w:tcW w:type="dxa" w:w="116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Split</w:t>
            </w:r>
          </w:p>
        </w:tc>
        <w:tc>
          <w:tcPr>
            <w:tcW w:type="dxa" w:w="19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Effective dropout</w:t>
            </w:r>
          </w:p>
        </w:tc>
        <w:tc>
          <w:tcPr>
            <w:tcW w:type="dxa" w:w="108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LR</w:t>
            </w:r>
          </w:p>
        </w:tc>
        <w:tc>
          <w:tcPr>
            <w:tcW w:type="dxa" w:w="168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Weighted MSE</w:t>
            </w:r>
          </w:p>
        </w:tc>
        <w:tc>
          <w:tcPr>
            <w:tcW w:type="dxa" w:w="1278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Final layer</w:t>
            </w:r>
          </w:p>
        </w:tc>
      </w:tr>
      <w:tr>
        <w:trPr>
          <w:trHeight w:hRule="exact" w:val="318"/>
        </w:trPr>
        <w:tc>
          <w:tcPr>
            <w:tcW w:type="dxa" w:w="68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T1</w:t>
            </w:r>
          </w:p>
        </w:tc>
        <w:tc>
          <w:tcPr>
            <w:tcW w:type="dxa" w:w="76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116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80/15/5</w:t>
            </w:r>
          </w:p>
        </w:tc>
        <w:tc>
          <w:tcPr>
            <w:tcW w:type="dxa" w:w="19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†</w:t>
            </w:r>
          </w:p>
        </w:tc>
        <w:tc>
          <w:tcPr>
            <w:tcW w:type="dxa" w:w="10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10</w:t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278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Linear</w:t>
            </w:r>
          </w:p>
        </w:tc>
      </w:tr>
      <w:tr>
        <w:trPr>
          <w:trHeight w:hRule="exact" w:val="3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80/15/5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×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10</w:t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GATConv</w:t>
            </w:r>
          </w:p>
        </w:tc>
      </w:tr>
      <w:tr>
        <w:trPr>
          <w:trHeight w:hRule="exact" w:val="28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80/15/5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×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10</w:t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GATConv</w:t>
            </w:r>
          </w:p>
        </w:tc>
      </w:tr>
      <w:tr>
        <w:trPr>
          <w:trHeight w:hRule="exact" w:val="28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80/15/5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×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10</w:t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GATConv</w:t>
            </w:r>
          </w:p>
        </w:tc>
      </w:tr>
      <w:tr>
        <w:trPr>
          <w:trHeight w:hRule="exact" w:val="28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T5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80/15/5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×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10</w:t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GATConv</w:t>
            </w:r>
          </w:p>
        </w:tc>
      </w:tr>
      <w:tr>
        <w:trPr>
          <w:trHeight w:hRule="exact" w:val="28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T6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80/15/5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×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10</w:t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GATConv</w:t>
            </w:r>
          </w:p>
        </w:tc>
      </w:tr>
      <w:tr>
        <w:trPr>
          <w:trHeight w:hRule="exact" w:val="3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T7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80/10/10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×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10</w:t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GATConv</w:t>
            </w:r>
          </w:p>
        </w:tc>
      </w:tr>
      <w:tr>
        <w:trPr>
          <w:trHeight w:hRule="exact" w:val="352"/>
        </w:trPr>
        <w:tc>
          <w:tcPr>
            <w:tcW w:type="dxa" w:w="682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T8</w:t>
            </w:r>
          </w:p>
        </w:tc>
        <w:tc>
          <w:tcPr>
            <w:tcW w:type="dxa" w:w="76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16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80/10/10</w:t>
            </w:r>
          </w:p>
        </w:tc>
        <w:tc>
          <w:tcPr>
            <w:tcW w:type="dxa" w:w="192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0.2</w:t>
            </w:r>
          </w:p>
        </w:tc>
        <w:tc>
          <w:tcPr>
            <w:tcW w:type="dxa" w:w="108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5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×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 xml:space="preserve"> 10</w:t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−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8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278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GATConv</w:t>
            </w:r>
          </w:p>
        </w:tc>
      </w:tr>
    </w:tbl>
    <w:p>
      <w:pPr>
        <w:autoSpaceDN w:val="0"/>
        <w:autoSpaceDE w:val="0"/>
        <w:widowControl/>
        <w:spacing w:line="230" w:lineRule="exact" w:before="42" w:after="0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†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 T1 was instantiated with</w:t>
      </w:r>
      <w:r>
        <w:rPr>
          <w:rFonts w:ascii="F471" w:hAnsi="F471" w:eastAsia="F471"/>
          <w:b w:val="0"/>
          <w:i w:val="0"/>
          <w:color w:val="000000"/>
          <w:sz w:val="18"/>
        </w:rPr>
        <w:t xml:space="preserve"> use_dropout=False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, so the effective dropout rate is 0; MC Dropout is therefore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undefined on T1. T3 and T4 likewise have effective dropout zero and are not MC-Dropout-compatible.</w:t>
      </w:r>
    </w:p>
    <w:p>
      <w:pPr>
        <w:autoSpaceDN w:val="0"/>
        <w:autoSpaceDE w:val="0"/>
        <w:widowControl/>
        <w:spacing w:line="284" w:lineRule="exact" w:before="240" w:after="0"/>
        <w:ind w:left="340" w:right="288" w:firstLine="224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All trials use the AdamW optimiser [37] with weight decay 10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4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and MSE loss. T3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T4 use a weighted variant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L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weighted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16"/>
          <w:u w:val="single"/>
        </w:rPr>
        <w:t xml:space="preserve">1 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n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∑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w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 with weights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w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proportional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to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i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so that non-zero-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examples carry more influence. T3 and T4 share identical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hyperparameters; T4 is a replication run of T3 with a different random seed, included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to check that the weighted-MSE failure mode is systematic rather than a one-off.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implementation uses PyTorch [38] and PyTorch Geometric [39]; hardware is described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in Section 4.5. The early-stopping criterion is validation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with a patience of 25 epochs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and a minimum improvement of 10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Among Trials 2–8, T8 attains the highest test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0.5957 on the 100-graph evaluation set; together with active dropout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p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0.2),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this makes it the strongest UQ-compatible base in this exploratory comparison, and it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is used as the primary model for the UQ analyses that follow.</w:t>
      </w:r>
    </w:p>
    <w:p>
      <w:pPr>
        <w:autoSpaceDN w:val="0"/>
        <w:autoSpaceDE w:val="0"/>
        <w:widowControl/>
        <w:spacing w:line="286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4.3. Post-Hoc UQ and Ensemble Experimental Design</w:t>
      </w:r>
    </w:p>
    <w:p>
      <w:pPr>
        <w:autoSpaceDN w:val="0"/>
        <w:autoSpaceDE w:val="0"/>
        <w:widowControl/>
        <w:spacing w:line="284" w:lineRule="exact" w:before="220" w:after="0"/>
        <w:ind w:left="338" w:right="288" w:firstLine="8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Post-hoc analyses on Trial 8 and the ensemble experiments are summarised in Table 4.3.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All operate on the same 100-graph T8 test set (3,163,500 nodes) unless noted.</w:t>
      </w:r>
    </w:p>
    <w:p>
      <w:pPr>
        <w:autoSpaceDN w:val="0"/>
        <w:autoSpaceDE w:val="0"/>
        <w:widowControl/>
        <w:spacing w:line="218" w:lineRule="exact" w:before="79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16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4. Experimental Setup</w:t>
      </w:r>
    </w:p>
    <w:p>
      <w:pPr>
        <w:autoSpaceDN w:val="0"/>
        <w:autoSpaceDE w:val="0"/>
        <w:widowControl/>
        <w:spacing w:line="220" w:lineRule="exact" w:before="258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4.3.: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Post-hoc UQ and ensemble experimental design. Scenario-level splits use</w:t>
      </w:r>
    </w:p>
    <w:p>
      <w:pPr>
        <w:autoSpaceDN w:val="0"/>
        <w:autoSpaceDE w:val="0"/>
        <w:widowControl/>
        <w:spacing w:line="218" w:lineRule="exact" w:before="66" w:after="46"/>
        <w:ind w:left="136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seed 42 throughout.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1.9999999999999" w:type="dxa"/>
      </w:tblPr>
      <w:tblGrid>
        <w:gridCol w:w="4513"/>
        <w:gridCol w:w="4513"/>
      </w:tblGrid>
      <w:tr>
        <w:trPr>
          <w:trHeight w:hRule="exact" w:val="356"/>
        </w:trPr>
        <w:tc>
          <w:tcPr>
            <w:tcW w:type="dxa" w:w="1688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Experiment</w:t>
            </w:r>
          </w:p>
        </w:tc>
        <w:tc>
          <w:tcPr>
            <w:tcW w:type="dxa" w:w="5394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656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Protocol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8"/>
        <w:ind w:left="0" w:right="0"/>
      </w:pP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206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MC Dropout (primary)</w:t>
      </w:r>
    </w:p>
    <w:p>
      <w:pPr>
        <w:sectPr>
          <w:type w:val="continuous"/>
          <w:pgSz w:w="11906" w:h="16838"/>
          <w:pgMar w:top="870" w:right="1440" w:bottom="1170" w:left="1440" w:header="720" w:footer="720" w:gutter="0"/>
          <w:cols w:num="2" w:equalWidth="0">
            <w:col w:w="3116" w:space="0"/>
            <w:col w:w="5909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50"/>
        <w:ind w:left="204" w:right="1008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8"/>
        </w:rPr>
        <w:t>S</w:t>
      </w:r>
      <w:r>
        <w:rPr>
          <w:w w:val="98.3473727577611"/>
          <w:rFonts w:ascii="CMR10" w:hAnsi="CMR10" w:eastAsia="CMR10"/>
          <w:b w:val="0"/>
          <w:i w:val="0"/>
          <w:color w:val="000000"/>
          <w:sz w:val="19"/>
        </w:rPr>
        <w:t xml:space="preserve"> =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 30 stochastic forward passes; primary metric Spearman</w:t>
      </w:r>
      <w:r>
        <w:rPr>
          <w:rFonts w:ascii="PazoMath" w:hAnsi="PazoMath" w:eastAsia="PazoMath"/>
          <w:b w:val="0"/>
          <w:i/>
          <w:color w:val="000000"/>
          <w:sz w:val="18"/>
        </w:rPr>
        <w:t>ρ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between</w:t>
      </w:r>
      <w:r>
        <w:rPr>
          <w:rFonts w:ascii="PazoMath" w:hAnsi="PazoMath" w:eastAsia="PazoMath"/>
          <w:b w:val="0"/>
          <w:i/>
          <w:color w:val="000000"/>
          <w:sz w:val="18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and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 xml:space="preserve"> |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y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y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</w:p>
    <w:p>
      <w:pPr>
        <w:sectPr>
          <w:type w:val="nextColumn"/>
          <w:pgSz w:w="11906" w:h="16838"/>
          <w:pgMar w:top="870" w:right="1440" w:bottom="1170" w:left="1440" w:header="720" w:footer="720" w:gutter="0"/>
          <w:cols w:num="2" w:equalWidth="0">
            <w:col w:w="3116" w:space="0"/>
            <w:col w:w="5909" w:space="0"/>
          </w:cols>
          <w:docGrid w:linePitch="360"/>
        </w:sectPr>
      </w:pPr>
    </w:p>
    <w:p>
      <w:pPr>
        <w:autoSpaceDN w:val="0"/>
        <w:tabs>
          <w:tab w:pos="3316" w:val="left"/>
        </w:tabs>
        <w:autoSpaceDE w:val="0"/>
        <w:widowControl/>
        <w:spacing w:line="182" w:lineRule="exact" w:before="0" w:after="0"/>
        <w:ind w:left="1062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8"/>
        </w:rPr>
        <w:t>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-convergence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10 test graphs,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S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 xml:space="preserve"> ∈{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5, 10, . . . , 50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>}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3316" w:val="left"/>
        </w:tabs>
        <w:autoSpaceDE w:val="0"/>
        <w:widowControl/>
        <w:spacing w:line="246" w:lineRule="exact" w:before="0" w:after="0"/>
        <w:ind w:left="1060" w:right="100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Bootstrap CI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Per-graph</w:t>
      </w:r>
      <w:r>
        <w:rPr>
          <w:rFonts w:ascii="PazoMath" w:hAnsi="PazoMath" w:eastAsia="PazoMath"/>
          <w:b w:val="0"/>
          <w:i/>
          <w:color w:val="000000"/>
          <w:sz w:val="18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resampled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B</w:t>
      </w:r>
      <w:r>
        <w:rPr>
          <w:w w:val="98.3473727577611"/>
          <w:rFonts w:ascii="CMR10" w:hAnsi="CMR10" w:eastAsia="CMR10"/>
          <w:b w:val="0"/>
          <w:i w:val="0"/>
          <w:color w:val="000000"/>
          <w:sz w:val="19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10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000 times for 95% CI on the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mean.</w:t>
      </w:r>
    </w:p>
    <w:p>
      <w:pPr>
        <w:autoSpaceDN w:val="0"/>
        <w:tabs>
          <w:tab w:pos="3312" w:val="left"/>
          <w:tab w:pos="3316" w:val="left"/>
        </w:tabs>
        <w:autoSpaceDE w:val="0"/>
        <w:widowControl/>
        <w:spacing w:line="232" w:lineRule="exact" w:before="32" w:after="0"/>
        <w:ind w:left="1060" w:right="100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T7 replication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Same MC Dropout / AUROC / conformal protocol on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Trial 7.</w:t>
      </w:r>
    </w:p>
    <w:p>
      <w:pPr>
        <w:autoSpaceDN w:val="0"/>
        <w:tabs>
          <w:tab w:pos="3316" w:val="left"/>
        </w:tabs>
        <w:autoSpaceDE w:val="0"/>
        <w:widowControl/>
        <w:spacing w:line="246" w:lineRule="exact" w:before="0" w:after="0"/>
        <w:ind w:left="1060" w:right="100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Split conformal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Scenario-level 50/50 partition; nonconformity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 xml:space="preserve"> |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y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y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; cov-</w:t>
      </w:r>
      <w:r>
        <w:tab/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erage at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 xml:space="preserve"> {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0.5, 0.7, 0.8, 0.9, 0.95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>}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. Adaptive variant normalises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by MC Dropout</w:t>
      </w:r>
      <w:r>
        <w:rPr>
          <w:rFonts w:ascii="PazoMath" w:hAnsi="PazoMath" w:eastAsia="PazoMath"/>
          <w:b w:val="0"/>
          <w:i/>
          <w:color w:val="000000"/>
          <w:sz w:val="18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3316" w:val="left"/>
        </w:tabs>
        <w:autoSpaceDE w:val="0"/>
        <w:widowControl/>
        <w:spacing w:line="242" w:lineRule="exact" w:before="0" w:after="0"/>
        <w:ind w:left="1060" w:right="100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Calibration audit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Empirical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k</w:t>
      </w:r>
      <w:r>
        <w:rPr>
          <w:rFonts w:ascii="URWPalladioL" w:hAnsi="URWPalladioL" w:eastAsia="URWPalladioL"/>
          <w:b w:val="0"/>
          <w:i/>
          <w:color w:val="000000"/>
          <w:sz w:val="14"/>
        </w:rPr>
        <w:t>p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at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p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 xml:space="preserve"> ∈{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0.5, 0.7, 0.8, 0.9, 0.95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>}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on the full test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set.</w:t>
      </w:r>
    </w:p>
    <w:p>
      <w:pPr>
        <w:autoSpaceDN w:val="0"/>
        <w:tabs>
          <w:tab w:pos="3316" w:val="left"/>
        </w:tabs>
        <w:autoSpaceDE w:val="0"/>
        <w:widowControl/>
        <w:spacing w:line="224" w:lineRule="exact" w:before="54" w:after="0"/>
        <w:ind w:left="1062" w:right="1008" w:firstLine="0"/>
        <w:jc w:val="left"/>
      </w:pPr>
      <w:r>
        <w:rPr>
          <w:rFonts w:ascii="PazoMath" w:hAnsi="PazoMath" w:eastAsia="PazoMath"/>
          <w:b w:val="0"/>
          <w:i/>
          <w:color w:val="000000"/>
          <w:sz w:val="18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-scaling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Fitted on a 30% random node-level subset (949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050 nodes),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evaluated on the remaining 70%; grid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T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 xml:space="preserve"> ∈</w:t>
      </w:r>
      <w:r>
        <w:rPr>
          <w:w w:val="98.3473727577611"/>
          <w:rFonts w:ascii="CMR10" w:hAnsi="CMR10" w:eastAsia="CMR10"/>
          <w:b w:val="0"/>
          <w:i w:val="0"/>
          <w:color w:val="000000"/>
          <w:sz w:val="19"/>
        </w:rPr>
        <w:t>[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0.5, 5.0</w:t>
      </w:r>
      <w:r>
        <w:rPr>
          <w:w w:val="98.3473727577611"/>
          <w:rFonts w:ascii="CMR10" w:hAnsi="CMR10" w:eastAsia="CMR10"/>
          <w:b w:val="0"/>
          <w:i w:val="0"/>
          <w:color w:val="000000"/>
          <w:sz w:val="19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ECE-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minimising.</w:t>
      </w:r>
    </w:p>
    <w:p>
      <w:pPr>
        <w:autoSpaceDN w:val="0"/>
        <w:tabs>
          <w:tab w:pos="3308" w:val="left"/>
          <w:tab w:pos="3316" w:val="left"/>
        </w:tabs>
        <w:autoSpaceDE w:val="0"/>
        <w:widowControl/>
        <w:spacing w:line="228" w:lineRule="exact" w:before="38" w:after="68"/>
        <w:ind w:left="1060" w:right="100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Scoring + selective + AU-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CRPS, PIT, Winkler on the full test set; selective prediction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ROC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at</w:t>
      </w:r>
      <w:r>
        <w:rPr>
          <w:rFonts w:ascii="PazoMath" w:hAnsi="PazoMath" w:eastAsia="PazoMath"/>
          <w:b w:val="0"/>
          <w:i/>
          <w:color w:val="000000"/>
          <w:sz w:val="18"/>
        </w:rPr>
        <w:t xml:space="preserve"> τ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 xml:space="preserve"> ∈{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0.10, 0.25, 0.50, 0.75, 1.00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>}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; AUROC/AUPRC at top-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10% / top-20%.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2256"/>
        <w:gridCol w:w="2256"/>
        <w:gridCol w:w="2256"/>
        <w:gridCol w:w="2256"/>
      </w:tblGrid>
      <w:tr>
        <w:trPr>
          <w:trHeight w:hRule="exact" w:val="572"/>
        </w:trPr>
        <w:tc>
          <w:tcPr>
            <w:tcW w:type="dxa" w:w="2266"/>
            <w:gridSpan w:val="3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6" w:after="0"/>
              <w:ind w:left="8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Experiment A (seed en-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semble)</w:t>
            </w:r>
          </w:p>
        </w:tc>
        <w:tc>
          <w:tcPr>
            <w:tcW w:type="dxa" w:w="4810"/>
            <w:vMerge w:val="restart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8" w:after="0"/>
              <w:ind w:left="76" w:right="0" w:firstLine="0"/>
              <w:jc w:val="left"/>
            </w:pPr>
            <w:r>
              <w:rPr>
                <w:w w:val="98.62537384033203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Same trained T8, 5 inference seeds; compares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MC</w:t>
            </w:r>
            <w:r>
              <w:rPr>
                <w:w w:val="98.62537384033203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,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seed-ens</w:t>
            </w:r>
            <w:r>
              <w:rPr>
                <w:w w:val="98.62537384033203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and the quadrature combination.</w:t>
            </w:r>
          </w:p>
          <w:p>
            <w:pPr>
              <w:autoSpaceDN w:val="0"/>
              <w:autoSpaceDE w:val="0"/>
              <w:widowControl/>
              <w:spacing w:line="216" w:lineRule="exact" w:before="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-weighted ensemble of T2/T5/T6/T7/T8, deterministic</w:t>
            </w:r>
          </w:p>
          <w:p>
            <w:pPr>
              <w:autoSpaceDN w:val="0"/>
              <w:autoSpaceDE w:val="0"/>
              <w:widowControl/>
              <w:spacing w:line="180" w:lineRule="exact" w:before="50" w:after="0"/>
              <w:ind w:left="7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inference.</w:t>
            </w:r>
          </w:p>
        </w:tc>
      </w:tr>
      <w:tr>
        <w:trPr>
          <w:trHeight w:hRule="exact" w:val="240"/>
        </w:trPr>
        <w:tc>
          <w:tcPr>
            <w:tcW w:type="dxa" w:w="1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Experiment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(multi-</w:t>
            </w:r>
          </w:p>
        </w:tc>
        <w:tc>
          <w:tcPr>
            <w:tcW w:type="dxa" w:w="2256"/>
            <w:vMerge/>
            <w:tcBorders>
              <w:top w:sz="4.335999965667725" w:val="single" w:color="#000000"/>
            </w:tcBorders>
          </w:tcPr>
          <w:p/>
        </w:tc>
      </w:tr>
      <w:tr>
        <w:trPr>
          <w:trHeight w:hRule="exact" w:val="194"/>
        </w:trPr>
        <w:tc>
          <w:tcPr>
            <w:tcW w:type="dxa" w:w="22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8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model)</w:t>
            </w:r>
          </w:p>
        </w:tc>
        <w:tc>
          <w:tcPr>
            <w:tcW w:type="dxa" w:w="2256"/>
            <w:vMerge/>
            <w:tcBorders>
              <w:top w:sz="4.33599996566772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type w:val="continuous"/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146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Trial D (Deep Ensemble)</w:t>
      </w:r>
    </w:p>
    <w:p>
      <w:pPr>
        <w:sectPr>
          <w:type w:val="continuous"/>
          <w:pgSz w:w="11906" w:h="16838"/>
          <w:pgMar w:top="870" w:right="1440" w:bottom="1170" w:left="1440" w:header="720" w:footer="720" w:gutter="0"/>
          <w:cols w:num="2" w:equalWidth="0">
            <w:col w:w="3170" w:space="0"/>
            <w:col w:w="5855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66"/>
        <w:ind w:left="150" w:right="1008" w:hanging="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5 PointNetTransfGAT trained from scratch with seeds 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>{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42, 137, 256, 389, 512</w:t>
      </w:r>
      <w:r>
        <w:rPr>
          <w:w w:val="98.3473727577611"/>
          <w:rFonts w:ascii="CMSY10" w:hAnsi="CMSY10" w:eastAsia="CMSY10"/>
          <w:b w:val="0"/>
          <w:i/>
          <w:color w:val="000000"/>
          <w:sz w:val="19"/>
        </w:rPr>
        <w:t>}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, T8 hyperparameters, 80/10/10 split.</w:t>
      </w:r>
    </w:p>
    <w:p>
      <w:pPr>
        <w:sectPr>
          <w:type w:val="nextColumn"/>
          <w:pgSz w:w="11906" w:h="16838"/>
          <w:pgMar w:top="870" w:right="1440" w:bottom="1170" w:left="1440" w:header="720" w:footer="720" w:gutter="0"/>
          <w:cols w:num="2" w:equalWidth="0">
            <w:col w:w="3170" w:space="0"/>
            <w:col w:w="5855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268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17</w:t>
      </w:r>
    </w:p>
    <w:p>
      <w:pPr>
        <w:sectPr>
          <w:type w:val="continuous"/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4. Experimental Setup</w:t>
      </w:r>
    </w:p>
    <w:p>
      <w:pPr>
        <w:autoSpaceDN w:val="0"/>
        <w:autoSpaceDE w:val="0"/>
        <w:widowControl/>
        <w:spacing w:line="286" w:lineRule="exact" w:before="482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4.4. Uncertainty-Aware Training Extensions</w:t>
      </w:r>
    </w:p>
    <w:p>
      <w:pPr>
        <w:autoSpaceDN w:val="0"/>
        <w:autoSpaceDE w:val="0"/>
        <w:widowControl/>
        <w:spacing w:line="284" w:lineRule="exact" w:before="220" w:after="26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Three trials evaluate whether uncertainty-aware training objectives can produce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natively calibrated intervals while preserving T8’s accuracy. All replace T8’s final </w:t>
      </w:r>
      <w:r>
        <w:rPr>
          <w:rFonts w:ascii="F409" w:hAnsi="F409" w:eastAsia="F409"/>
          <w:b w:val="0"/>
          <w:i w:val="0"/>
          <w:color w:val="000000"/>
          <w:sz w:val="22"/>
        </w:rPr>
        <w:t>GATConv(64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→</w:t>
      </w:r>
      <w:r>
        <w:rPr>
          <w:rFonts w:ascii="F409" w:hAnsi="F409" w:eastAsia="F409"/>
          <w:b w:val="0"/>
          <w:i w:val="0"/>
          <w:color w:val="000000"/>
          <w:sz w:val="22"/>
        </w:rPr>
        <w:t>1)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with a 134-parameter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GATConv(64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→</w:t>
      </w:r>
      <w:r>
        <w:rPr>
          <w:rFonts w:ascii="F409" w:hAnsi="F409" w:eastAsia="F409"/>
          <w:b w:val="0"/>
          <w:i w:val="0"/>
          <w:color w:val="000000"/>
          <w:sz w:val="22"/>
        </w:rPr>
        <w:t>2)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head, differing in head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interpretation, loss, and backbone trainability (Table 4.4). Other hyperparameters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(optimiser AdamW, learning rate 5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×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10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batch 8, 80/10/10 split) inherit from T8.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T9 freezes the backbone weights but keeps dropout active for MC Dropout epistemic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009"/>
        <w:gridCol w:w="3009"/>
        <w:gridCol w:w="3009"/>
      </w:tblGrid>
      <w:tr>
        <w:trPr>
          <w:trHeight w:hRule="exact" w:val="420"/>
        </w:trPr>
        <w:tc>
          <w:tcPr>
            <w:tcW w:type="dxa" w:w="1920"/>
            <w:tcBorders>
              <w:top w:sz="3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8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estimation (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tot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</w:p>
        </w:tc>
        <w:tc>
          <w:tcPr>
            <w:tcW w:type="dxa" w:w="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q</w:t>
            </w:r>
          </w:p>
        </w:tc>
        <w:tc>
          <w:tcPr>
            <w:tcW w:type="dxa" w:w="6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0" w:after="0"/>
              <w:ind w:left="6" w:right="0" w:firstLine="0"/>
              <w:jc w:val="left"/>
            </w:pP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alea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+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epi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); T10/T11 use a single deterministic forward pass.</w:t>
            </w:r>
          </w:p>
        </w:tc>
      </w:tr>
    </w:tbl>
    <w:p>
      <w:pPr>
        <w:autoSpaceDN w:val="0"/>
        <w:tabs>
          <w:tab w:pos="1366" w:val="left"/>
        </w:tabs>
        <w:autoSpaceDE w:val="0"/>
        <w:widowControl/>
        <w:spacing w:line="284" w:lineRule="exact" w:before="400" w:after="26"/>
        <w:ind w:left="340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4.4.:</w:t>
      </w:r>
      <w:r>
        <w:rPr>
          <w:w w:val="98.57678846879439"/>
          <w:rFonts w:ascii="URWPalladioL" w:hAnsi="URWPalladioL" w:eastAsia="URWPalladioL"/>
          <w:b w:val="0"/>
          <w:i w:val="0"/>
          <w:color w:val="000000"/>
          <w:sz w:val="22"/>
        </w:rPr>
        <w:t xml:space="preserve"> Uncertainty-aware training extensions. Head output channels are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(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w w:val="98.57678846879439"/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log ˆ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)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for T9 and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(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q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lo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 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q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hi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for T10/T11 (</w:t>
      </w:r>
      <w:r>
        <w:rPr>
          <w:rFonts w:ascii="PazoMath" w:hAnsi="PazoMath" w:eastAsia="PazoMath"/>
          <w:b w:val="0"/>
          <w:i/>
          <w:color w:val="000000"/>
          <w:sz w:val="22"/>
        </w:rPr>
        <w:t>τ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0.05, 0.95).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8.0000000000001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80"/>
        </w:trPr>
        <w:tc>
          <w:tcPr>
            <w:tcW w:type="dxa" w:w="60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Trial</w:t>
            </w:r>
          </w:p>
        </w:tc>
        <w:tc>
          <w:tcPr>
            <w:tcW w:type="dxa" w:w="158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5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Loss</w:t>
            </w:r>
          </w:p>
        </w:tc>
        <w:tc>
          <w:tcPr>
            <w:tcW w:type="dxa" w:w="11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9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Backbone</w:t>
            </w:r>
          </w:p>
        </w:tc>
        <w:tc>
          <w:tcPr>
            <w:tcW w:type="dxa" w:w="118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2" w:after="0"/>
              <w:ind w:left="268" w:right="0" w:firstLine="0"/>
              <w:jc w:val="left"/>
            </w:pPr>
            <w:r>
              <w:rPr>
                <w:w w:val="98.62537384033203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UQ output</w:t>
            </w:r>
          </w:p>
        </w:tc>
        <w:tc>
          <w:tcPr>
            <w:tcW w:type="dxa" w:w="2908"/>
            <w:gridSpan w:val="6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9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Gates</w:t>
            </w:r>
          </w:p>
        </w:tc>
      </w:tr>
      <w:tr>
        <w:trPr>
          <w:trHeight w:hRule="exact" w:val="312"/>
        </w:trPr>
        <w:tc>
          <w:tcPr>
            <w:tcW w:type="dxa" w:w="60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T9</w:t>
            </w:r>
          </w:p>
        </w:tc>
        <w:tc>
          <w:tcPr>
            <w:tcW w:type="dxa" w:w="15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4" w:after="0"/>
              <w:ind w:left="156" w:right="0" w:firstLine="0"/>
              <w:jc w:val="left"/>
            </w:pPr>
            <w:r>
              <w:rPr>
                <w:w w:val="98.62537384033203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Hetero NLL (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>λ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 xml:space="preserve"> =</w:t>
            </w:r>
          </w:p>
        </w:tc>
        <w:tc>
          <w:tcPr>
            <w:tcW w:type="dxa" w:w="11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9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Frozen</w:t>
            </w:r>
          </w:p>
        </w:tc>
        <w:tc>
          <w:tcPr>
            <w:tcW w:type="dxa" w:w="11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4" w:after="0"/>
              <w:ind w:left="268" w:right="0" w:firstLine="0"/>
              <w:jc w:val="left"/>
            </w:pPr>
            <w:r>
              <w:rPr>
                <w:w w:val="98.62537384033203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MC 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ˆ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alea</w:t>
            </w:r>
          </w:p>
        </w:tc>
        <w:tc>
          <w:tcPr>
            <w:tcW w:type="dxa" w:w="3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6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96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≥</w:t>
            </w:r>
          </w:p>
        </w:tc>
        <w:tc>
          <w:tcPr>
            <w:tcW w:type="dxa" w:w="54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0.55,</w:t>
            </w:r>
          </w:p>
        </w:tc>
        <w:tc>
          <w:tcPr>
            <w:tcW w:type="dxa" w:w="7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90</w:t>
            </w:r>
          </w:p>
        </w:tc>
        <w:tc>
          <w:tcPr>
            <w:tcW w:type="dxa" w:w="36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96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≥</w:t>
            </w:r>
          </w:p>
        </w:tc>
        <w:tc>
          <w:tcPr>
            <w:tcW w:type="dxa" w:w="548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85%,</w:t>
            </w:r>
          </w:p>
        </w:tc>
      </w:tr>
      <w:tr>
        <w:trPr>
          <w:trHeight w:hRule="exact" w:val="259"/>
        </w:trPr>
        <w:tc>
          <w:tcPr>
            <w:tcW w:type="dxa" w:w="6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4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T10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5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0.1) [22]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4" w:after="0"/>
              <w:ind w:left="9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Unfrozen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2" w:after="0"/>
              <w:ind w:left="26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CQR +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Q</w:t>
            </w:r>
          </w:p>
        </w:tc>
        <w:tc>
          <w:tcPr>
            <w:tcW w:type="dxa" w:w="290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9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95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 xml:space="preserve"> 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90%</w:t>
            </w:r>
          </w:p>
        </w:tc>
      </w:tr>
      <w:tr>
        <w:trPr>
          <w:trHeight w:hRule="exact" w:val="231"/>
        </w:trPr>
        <w:tc>
          <w:tcPr>
            <w:tcW w:type="dxa" w:w="903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5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Pinball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≥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0.57,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90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≥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88%,</w:t>
            </w:r>
          </w:p>
        </w:tc>
      </w:tr>
      <w:tr>
        <w:trPr>
          <w:trHeight w:hRule="exact" w:val="278"/>
        </w:trPr>
        <w:tc>
          <w:tcPr>
            <w:tcW w:type="dxa" w:w="602"/>
            <w:vMerge w:val="restart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0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T11</w:t>
            </w:r>
          </w:p>
        </w:tc>
        <w:tc>
          <w:tcPr>
            <w:tcW w:type="dxa" w:w="1580"/>
            <w:vMerge w:val="restart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0" w:after="0"/>
              <w:ind w:left="15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Pinball</w:t>
            </w:r>
          </w:p>
        </w:tc>
        <w:tc>
          <w:tcPr>
            <w:tcW w:type="dxa" w:w="1120"/>
            <w:vMerge w:val="restart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0" w:after="0"/>
              <w:ind w:left="9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Frozen</w:t>
            </w:r>
          </w:p>
        </w:tc>
        <w:tc>
          <w:tcPr>
            <w:tcW w:type="dxa" w:w="1180"/>
            <w:vMerge w:val="restart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8" w:after="0"/>
              <w:ind w:left="26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CQR +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Q</w:t>
            </w:r>
          </w:p>
        </w:tc>
        <w:tc>
          <w:tcPr>
            <w:tcW w:type="dxa" w:w="290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95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 xml:space="preserve"> 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93%,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Q</w:t>
            </w:r>
            <w:r>
              <w:rPr>
                <w:w w:val="98.3473727577611"/>
                <w:rFonts w:ascii="CMMI10" w:hAnsi="CMMI10" w:eastAsia="CMMI10"/>
                <w:b w:val="0"/>
                <w:i/>
                <w:color w:val="000000"/>
                <w:sz w:val="19"/>
              </w:rPr>
              <w:t xml:space="preserve"> &gt;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0,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 xml:space="preserve"> W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90</w:t>
            </w:r>
            <w:r>
              <w:rPr>
                <w:w w:val="98.3473727577611"/>
                <w:rFonts w:ascii="CMMI10" w:hAnsi="CMMI10" w:eastAsia="CMMI10"/>
                <w:b w:val="0"/>
                <w:i/>
                <w:color w:val="000000"/>
                <w:sz w:val="19"/>
              </w:rPr>
              <w:t xml:space="preserve"> &lt;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 xml:space="preserve"> W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95</w:t>
            </w:r>
          </w:p>
        </w:tc>
      </w:tr>
      <w:tr>
        <w:trPr>
          <w:trHeight w:hRule="exact" w:val="286"/>
        </w:trPr>
        <w:tc>
          <w:tcPr>
            <w:tcW w:type="dxa" w:w="903"/>
            <w:vMerge/>
            <w:tcBorders>
              <w:bottom w:sz="6.943999767303467" w:val="single" w:color="#000000"/>
            </w:tcBorders>
          </w:tcPr>
          <w:p/>
        </w:tc>
        <w:tc>
          <w:tcPr>
            <w:tcW w:type="dxa" w:w="903"/>
            <w:vMerge/>
            <w:tcBorders>
              <w:bottom w:sz="6.943999767303467" w:val="single" w:color="#000000"/>
            </w:tcBorders>
          </w:tcPr>
          <w:p/>
        </w:tc>
        <w:tc>
          <w:tcPr>
            <w:tcW w:type="dxa" w:w="903"/>
            <w:vMerge/>
            <w:tcBorders>
              <w:bottom w:sz="6.943999767303467" w:val="single" w:color="#000000"/>
            </w:tcBorders>
          </w:tcPr>
          <w:p/>
        </w:tc>
        <w:tc>
          <w:tcPr>
            <w:tcW w:type="dxa" w:w="903"/>
            <w:vMerge/>
            <w:tcBorders>
              <w:bottom w:sz="6.943999767303467" w:val="single" w:color="#000000"/>
            </w:tcBorders>
          </w:tcPr>
          <w:p/>
        </w:tc>
        <w:tc>
          <w:tcPr>
            <w:tcW w:type="dxa" w:w="2908"/>
            <w:gridSpan w:val="6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9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same as T10</w:t>
            </w:r>
          </w:p>
        </w:tc>
      </w:tr>
    </w:tbl>
    <w:p>
      <w:pPr>
        <w:autoSpaceDN w:val="0"/>
        <w:autoSpaceDE w:val="0"/>
        <w:widowControl/>
        <w:spacing w:line="284" w:lineRule="exact" w:before="196" w:after="0"/>
        <w:ind w:left="346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single design difference between T10 and T11 is the backbone-trainability flag; 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head, loss, calibration protocol and learning rate are identical, so the T10/T11 contrast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isolates that flag.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4.5. Computational Resources</w:t>
      </w:r>
    </w:p>
    <w:p>
      <w:pPr>
        <w:autoSpaceDN w:val="0"/>
        <w:autoSpaceDE w:val="0"/>
        <w:widowControl/>
        <w:spacing w:line="284" w:lineRule="exact" w:before="220" w:after="0"/>
        <w:ind w:left="346" w:right="288" w:hanging="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All training and inference used a single NVIDIA T4 GPU (16 GB VRAM). Wall-clock </w:t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>runtimes from the saved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training_log.json</w:t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 xml:space="preserve"> files: the eight base trials totalled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≈</w:t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 xml:space="preserve">13 h;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T8 MC Dropout inference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30, 100 graphs) 228 min; Trials 9, 10 and 11 took 14.5, 87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and 39.7 h respectively; the Deep Ensemble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≈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5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×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a single T8 run. Trial 10 is the longest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because it fine-tunes the full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416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768-parameter backbone end-to-end, while Trials 9 </w:t>
      </w:r>
      <w:r>
        <w:rPr>
          <w:w w:val="98.37704571810636"/>
          <w:rFonts w:ascii="URWPalladioL" w:hAnsi="URWPalladioL" w:eastAsia="URWPalladioL"/>
          <w:b w:val="0"/>
          <w:i w:val="0"/>
          <w:color w:val="000000"/>
          <w:sz w:val="22"/>
        </w:rPr>
        <w:t xml:space="preserve">and 11 train only a 134-parameter head with the backbone frozen. Non-GNN baselines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(Section 5.11) were run separately on an A100 (80 GB) runtime.</w:t>
      </w:r>
    </w:p>
    <w:p>
      <w:pPr>
        <w:autoSpaceDN w:val="0"/>
        <w:autoSpaceDE w:val="0"/>
        <w:widowControl/>
        <w:spacing w:line="218" w:lineRule="exact" w:before="2408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18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5. Results</w:t>
      </w:r>
    </w:p>
    <w:p>
      <w:pPr>
        <w:autoSpaceDN w:val="0"/>
        <w:autoSpaceDE w:val="0"/>
        <w:widowControl/>
        <w:spacing w:line="284" w:lineRule="exact" w:before="442" w:after="0"/>
        <w:ind w:left="340" w:right="288" w:firstLine="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Every numeric value reported in this chapter has been recomputed from the saved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per-trial prediction arrays or read from the canonical metric files for that trial. The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chapter follows the natural order: base trial accuracy first, then MC Dropout uncertainty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quality, calibration and conformal coverage, post-hoc and proper-scoring diagnostics,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ensembles, the three uncertainty-aware extensions, and finally the stratified analysis.</w:t>
      </w:r>
    </w:p>
    <w:p>
      <w:pPr>
        <w:autoSpaceDN w:val="0"/>
        <w:tabs>
          <w:tab w:pos="5024" w:val="left"/>
          <w:tab w:pos="8208" w:val="left"/>
        </w:tabs>
        <w:autoSpaceDE w:val="0"/>
        <w:widowControl/>
        <w:spacing w:line="284" w:lineRule="exact" w:before="332" w:after="0"/>
        <w:ind w:left="346" w:right="288" w:firstLine="0"/>
        <w:jc w:val="left"/>
      </w:pPr>
      <w:r>
        <w:rPr>
          <w:w w:val="98.1768868186257"/>
          <w:rFonts w:ascii="URWPalladioL" w:hAnsi="URWPalladioL" w:eastAsia="URWPalladioL"/>
          <w:b/>
          <w:i w:val="0"/>
          <w:color w:val="000000"/>
          <w:sz w:val="22"/>
        </w:rPr>
        <w:t xml:space="preserve">Where the method is weakest – read this first.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Before reporting the headline numbers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it is worth flagging the regime in which the proposed UQ pipeline is least reliable,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because that regime is also the most policy-relevant. Section 5.10 stratifies the test set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 shows that the ranking quality of MC Dropout weakens substantially on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the largest-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quartile (Spearman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falls from 0.721 on Q1 to 0.100 on Q4, while MAE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rises from 1.24 to 10.08 veh/h). The high Q1 number is partly mechanical, but the Q4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degradation is real: on the segments where the policy intervention has the strongest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effect, the uncertainty signal is the least informative. For decision support this is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opposite of the regime a planner cares about. Because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itself is unobservable at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deployment, the recommendations in Section 5.12 use the two observables that are 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>available – predicted uncertainty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 xml:space="preserve"> and the magnitude of the predicted response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CMEX10" w:hAnsi="CMEX10" w:eastAsia="CMEX10"/>
          <w:b w:val="0"/>
          <w:i w:val="0"/>
          <w:color w:val="000000"/>
          <w:sz w:val="22"/>
        </w:rPr>
        <w:t>c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 xml:space="preserve"> –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as proxies, and treat high-uncertainty predictions and predictions with large predicted </w:t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>responses as cases that should be re-simulated in MATSim rather than trusted directly.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5.1. Base Trial Performance (T1–T8)</w:t>
      </w:r>
    </w:p>
    <w:p>
      <w:pPr>
        <w:autoSpaceDN w:val="0"/>
        <w:autoSpaceDE w:val="0"/>
        <w:widowControl/>
        <w:spacing w:line="284" w:lineRule="exact" w:before="220" w:after="0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Table 5.1 summarises test-set performance. T1–T6 are evaluated on 50 test graphs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under the 80/15/5 split, while T7 and T8 use 100 graphs under the 80/10/10 split 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>(3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 xml:space="preserve">500 nodes). Because the test sets differ, comparisons across the two groups carry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a component that comes from test-set composition rather than from architectural choice, </w:t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 xml:space="preserve">and should be read descriptively. Among the trials that combine the GATConv output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with non-zero dropout (T2, T5, T6, T7 and T8), T8 is the strongest with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0.5957,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MAE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3.957 veh/h and RMSE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7.118 veh/h. T3 and T4 disable dropout entirely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and are therefore not MC-Dropout-compatible. Trial 1 reaches the highest absolute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0.7860 but its effective dropout is zero, which makes MC Dropout (the main UQ</w:t>
      </w:r>
    </w:p>
    <w:p>
      <w:pPr>
        <w:autoSpaceDN w:val="0"/>
        <w:autoSpaceDE w:val="0"/>
        <w:widowControl/>
        <w:spacing w:line="218" w:lineRule="exact" w:before="91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19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284" w:lineRule="exact" w:before="468" w:after="0"/>
        <w:ind w:left="346" w:right="288" w:firstLine="0"/>
        <w:jc w:val="left"/>
      </w:pP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 xml:space="preserve">method studied in the thesis) undefined on it. The two weighted-loss runs (T3 and T4)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fail to generalise at this data scale, with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between 0.22 and 0.24. The T1-versus-T8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gap is discussed in Section 6.9.</w:t>
      </w:r>
    </w:p>
    <w:p>
      <w:pPr>
        <w:autoSpaceDN w:val="0"/>
        <w:autoSpaceDE w:val="0"/>
        <w:widowControl/>
        <w:spacing w:line="224" w:lineRule="exact" w:before="476" w:after="44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5.1.: Test-set performance, recomputed from the saved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.npz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files.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84"/>
        </w:trPr>
        <w:tc>
          <w:tcPr>
            <w:tcW w:type="dxa" w:w="824"/>
            <w:tcBorders>
              <w:top w:sz="8.42758560180664" w:val="single" w:color="#000000"/>
              <w:bottom w:sz="5.2623863220214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Trial</w:t>
            </w:r>
          </w:p>
        </w:tc>
        <w:tc>
          <w:tcPr>
            <w:tcW w:type="dxa" w:w="1672"/>
            <w:gridSpan w:val="2"/>
            <w:tcBorders>
              <w:top w:sz="8.42758560180664" w:val="single" w:color="#000000"/>
              <w:bottom w:sz="5.2623863220214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5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Final layer</w:t>
            </w:r>
          </w:p>
        </w:tc>
        <w:tc>
          <w:tcPr>
            <w:tcW w:type="dxa" w:w="1248"/>
            <w:tcBorders>
              <w:top w:sz="8.42758560180664" w:val="single" w:color="#000000"/>
              <w:bottom w:sz="5.2623863220214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29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Split</w:t>
            </w:r>
          </w:p>
        </w:tc>
        <w:tc>
          <w:tcPr>
            <w:tcW w:type="dxa" w:w="1640"/>
            <w:gridSpan w:val="2"/>
            <w:tcBorders>
              <w:top w:sz="8.42758560180664" w:val="single" w:color="#000000"/>
              <w:bottom w:sz="5.2623863220214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Test graphs</w:t>
            </w:r>
          </w:p>
        </w:tc>
        <w:tc>
          <w:tcPr>
            <w:tcW w:type="dxa" w:w="1020"/>
            <w:tcBorders>
              <w:top w:sz="8.42758560180664" w:val="single" w:color="#000000"/>
              <w:bottom w:sz="5.2623863220214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2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/>
                <w:color w:val="000000"/>
                <w:sz w:val="26"/>
              </w:rPr>
              <w:t>R</w:t>
            </w:r>
            <w:r>
              <w:rPr>
                <w:w w:val="101.82012256823087"/>
                <w:rFonts w:ascii="URWPalladioL" w:hAnsi="URWPalladioL" w:eastAsia="URWPalladioL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760"/>
            <w:tcBorders>
              <w:top w:sz="8.42758560180664" w:val="single" w:color="#000000"/>
              <w:bottom w:sz="5.2623863220214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58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MAE</w:t>
            </w:r>
          </w:p>
        </w:tc>
        <w:tc>
          <w:tcPr>
            <w:tcW w:type="dxa" w:w="1190"/>
            <w:tcBorders>
              <w:top w:sz="8.42758560180664" w:val="single" w:color="#000000"/>
              <w:bottom w:sz="5.2623863220214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154" w:firstLine="0"/>
              <w:jc w:val="righ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RMSE</w:t>
            </w:r>
          </w:p>
        </w:tc>
      </w:tr>
      <w:tr>
        <w:trPr>
          <w:trHeight w:hRule="exact" w:val="424"/>
        </w:trPr>
        <w:tc>
          <w:tcPr>
            <w:tcW w:type="dxa" w:w="824"/>
            <w:tcBorders>
              <w:top w:sz="5.2623863220214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15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T1</w:t>
            </w:r>
          </w:p>
        </w:tc>
        <w:tc>
          <w:tcPr>
            <w:tcW w:type="dxa" w:w="1360"/>
            <w:tcBorders>
              <w:top w:sz="5.2623863220214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214" w:firstLine="0"/>
              <w:jc w:val="righ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Linear</w:t>
            </w:r>
          </w:p>
        </w:tc>
        <w:tc>
          <w:tcPr>
            <w:tcW w:type="dxa" w:w="1560"/>
            <w:gridSpan w:val="2"/>
            <w:tcBorders>
              <w:top w:sz="5.2623863220214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38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80/15/5</w:t>
            </w:r>
          </w:p>
        </w:tc>
        <w:tc>
          <w:tcPr>
            <w:tcW w:type="dxa" w:w="1640"/>
            <w:gridSpan w:val="2"/>
            <w:tcBorders>
              <w:top w:sz="5.2623863220214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50</w:t>
            </w:r>
          </w:p>
        </w:tc>
        <w:tc>
          <w:tcPr>
            <w:tcW w:type="dxa" w:w="1020"/>
            <w:tcBorders>
              <w:top w:sz="5.2623863220214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0.7860</w:t>
            </w:r>
          </w:p>
        </w:tc>
        <w:tc>
          <w:tcPr>
            <w:tcW w:type="dxa" w:w="760"/>
            <w:tcBorders>
              <w:top w:sz="5.2623863220214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17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2.972</w:t>
            </w:r>
          </w:p>
        </w:tc>
        <w:tc>
          <w:tcPr>
            <w:tcW w:type="dxa" w:w="1190"/>
            <w:tcBorders>
              <w:top w:sz="5.2623863220214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222" w:firstLine="0"/>
              <w:jc w:val="righ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5.396</w:t>
            </w:r>
          </w:p>
        </w:tc>
      </w:tr>
      <w:tr>
        <w:trPr>
          <w:trHeight w:hRule="exact" w:val="340"/>
        </w:trPr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5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T2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7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GATConv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38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80/15/5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50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0.5117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7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4.328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222" w:firstLine="0"/>
              <w:jc w:val="righ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8.151</w:t>
            </w:r>
          </w:p>
        </w:tc>
      </w:tr>
      <w:tr>
        <w:trPr>
          <w:trHeight w:hRule="exact" w:val="360"/>
        </w:trPr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15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T3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17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GATConv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38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80/15/5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50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0.2246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17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5.990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0" w:right="154" w:firstLine="0"/>
              <w:jc w:val="righ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10.270</w:t>
            </w:r>
          </w:p>
        </w:tc>
      </w:tr>
      <w:tr>
        <w:trPr>
          <w:trHeight w:hRule="exact" w:val="340"/>
        </w:trPr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15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T4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17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GATConv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38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80/15/5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50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0.2426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17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6.080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0" w:right="154" w:firstLine="0"/>
              <w:jc w:val="righ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10.151</w:t>
            </w:r>
          </w:p>
        </w:tc>
      </w:tr>
      <w:tr>
        <w:trPr>
          <w:trHeight w:hRule="exact" w:val="340"/>
        </w:trPr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5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T5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7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GATConv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38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80/15/5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50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0.5553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7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4.242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222" w:firstLine="0"/>
              <w:jc w:val="righ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7.778</w:t>
            </w:r>
          </w:p>
        </w:tc>
      </w:tr>
      <w:tr>
        <w:trPr>
          <w:trHeight w:hRule="exact" w:val="340"/>
        </w:trPr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15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T6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17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GATConv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38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80/15/5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50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0.5223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17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4.324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0" w:right="222" w:firstLine="0"/>
              <w:jc w:val="righ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8.061</w:t>
            </w:r>
          </w:p>
        </w:tc>
      </w:tr>
      <w:tr>
        <w:trPr>
          <w:trHeight w:hRule="exact" w:val="360"/>
        </w:trPr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5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T7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7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GATConv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31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80/10/10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100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0.5471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7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4.060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222" w:firstLine="0"/>
              <w:jc w:val="right"/>
            </w:pPr>
            <w:r>
              <w:rPr>
                <w:w w:val="101.84483161339392"/>
                <w:rFonts w:ascii="URWPalladioL" w:hAnsi="URWPalladioL" w:eastAsia="URWPalladioL"/>
                <w:b w:val="0"/>
                <w:i w:val="0"/>
                <w:color w:val="000000"/>
                <w:sz w:val="26"/>
              </w:rPr>
              <w:t>7.534</w:t>
            </w:r>
          </w:p>
        </w:tc>
      </w:tr>
      <w:tr>
        <w:trPr>
          <w:trHeight w:hRule="exact" w:val="394"/>
        </w:trPr>
        <w:tc>
          <w:tcPr>
            <w:tcW w:type="dxa" w:w="824"/>
            <w:tcBorders>
              <w:bottom w:sz="8.427585601806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15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/>
                <w:i w:val="0"/>
                <w:color w:val="000000"/>
                <w:sz w:val="26"/>
              </w:rPr>
              <w:t>T8</w:t>
            </w:r>
          </w:p>
        </w:tc>
        <w:tc>
          <w:tcPr>
            <w:tcW w:type="dxa" w:w="1360"/>
            <w:tcBorders>
              <w:bottom w:sz="8.427585601806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154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/>
                <w:i w:val="0"/>
                <w:color w:val="000000"/>
                <w:sz w:val="26"/>
              </w:rPr>
              <w:t>GATConv</w:t>
            </w:r>
          </w:p>
        </w:tc>
        <w:tc>
          <w:tcPr>
            <w:tcW w:type="dxa" w:w="1560"/>
            <w:gridSpan w:val="2"/>
            <w:tcBorders>
              <w:bottom w:sz="8.427585601806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0" w:right="212" w:firstLine="0"/>
              <w:jc w:val="right"/>
            </w:pPr>
            <w:r>
              <w:rPr>
                <w:w w:val="101.84483161339392"/>
                <w:rFonts w:ascii="URWPalladioL" w:hAnsi="URWPalladioL" w:eastAsia="URWPalladioL"/>
                <w:b/>
                <w:i w:val="0"/>
                <w:color w:val="000000"/>
                <w:sz w:val="26"/>
              </w:rPr>
              <w:t>80/10/10</w:t>
            </w:r>
          </w:p>
        </w:tc>
        <w:tc>
          <w:tcPr>
            <w:tcW w:type="dxa" w:w="1640"/>
            <w:gridSpan w:val="2"/>
            <w:tcBorders>
              <w:bottom w:sz="8.427585601806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/>
                <w:i w:val="0"/>
                <w:color w:val="000000"/>
                <w:sz w:val="26"/>
              </w:rPr>
              <w:t>100</w:t>
            </w:r>
          </w:p>
        </w:tc>
        <w:tc>
          <w:tcPr>
            <w:tcW w:type="dxa" w:w="1020"/>
            <w:tcBorders>
              <w:bottom w:sz="8.427585601806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0" w:right="0" w:firstLine="0"/>
              <w:jc w:val="center"/>
            </w:pPr>
            <w:r>
              <w:rPr>
                <w:w w:val="101.84483161339392"/>
                <w:rFonts w:ascii="URWPalladioL" w:hAnsi="URWPalladioL" w:eastAsia="URWPalladioL"/>
                <w:b/>
                <w:i w:val="0"/>
                <w:color w:val="000000"/>
                <w:sz w:val="26"/>
              </w:rPr>
              <w:t>0.5957</w:t>
            </w:r>
          </w:p>
        </w:tc>
        <w:tc>
          <w:tcPr>
            <w:tcW w:type="dxa" w:w="760"/>
            <w:tcBorders>
              <w:bottom w:sz="8.427585601806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170" w:right="0" w:firstLine="0"/>
              <w:jc w:val="left"/>
            </w:pPr>
            <w:r>
              <w:rPr>
                <w:w w:val="101.84483161339392"/>
                <w:rFonts w:ascii="URWPalladioL" w:hAnsi="URWPalladioL" w:eastAsia="URWPalladioL"/>
                <w:b/>
                <w:i w:val="0"/>
                <w:color w:val="000000"/>
                <w:sz w:val="26"/>
              </w:rPr>
              <w:t>3.957</w:t>
            </w:r>
          </w:p>
        </w:tc>
        <w:tc>
          <w:tcPr>
            <w:tcW w:type="dxa" w:w="1190"/>
            <w:tcBorders>
              <w:bottom w:sz="8.427585601806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0" w:right="222" w:firstLine="0"/>
              <w:jc w:val="right"/>
            </w:pPr>
            <w:r>
              <w:rPr>
                <w:w w:val="101.84483161339392"/>
                <w:rFonts w:ascii="URWPalladioL" w:hAnsi="URWPalladioL" w:eastAsia="URWPalladioL"/>
                <w:b/>
                <w:i w:val="0"/>
                <w:color w:val="000000"/>
                <w:sz w:val="26"/>
              </w:rPr>
              <w:t>7.118</w:t>
            </w:r>
          </w:p>
        </w:tc>
      </w:tr>
      <w:tr>
        <w:trPr>
          <w:trHeight w:hRule="exact" w:val="882"/>
        </w:trPr>
        <w:tc>
          <w:tcPr>
            <w:tcW w:type="dxa" w:w="4524"/>
            <w:gridSpan w:val="5"/>
            <w:tcBorders>
              <w:top w:sz="8.427585601806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34" w:after="0"/>
              <w:ind w:left="10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T1, T8 and the Deep Ensemble at a glance.</w:t>
            </w:r>
          </w:p>
        </w:tc>
        <w:tc>
          <w:tcPr>
            <w:tcW w:type="dxa" w:w="3830"/>
            <w:gridSpan w:val="4"/>
            <w:tcBorders>
              <w:top w:sz="8.427585601806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36" w:after="0"/>
              <w:ind w:left="9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Table 5.2 sets out the trade-off behind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346" w:right="338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the choice of T8 as the main UQ model. T1 has the highest raw test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in the project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but is not compatible with MC Dropout. T8 is the strongest UQ-compatible base, which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is the property that matters for the rest of the thesis, but it is not the highest-accuracy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model; the Deep Ensemble is. Reading the rest of this chapter as a statement about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UQ quality on T8, rather than as a statement about the best possible point-prediction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surrogate, is therefore the right framing.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5.2. MC Dropout Uncertainty (T8)</w:t>
      </w:r>
    </w:p>
    <w:p>
      <w:pPr>
        <w:autoSpaceDN w:val="0"/>
        <w:autoSpaceDE w:val="0"/>
        <w:widowControl/>
        <w:spacing w:line="282" w:lineRule="exact" w:before="238" w:after="0"/>
        <w:ind w:left="340" w:right="336" w:firstLine="0"/>
        <w:jc w:val="both"/>
      </w:pP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>MC Dropout with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 30 on the full T8 test set produces pooled Spearman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 0.4820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between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and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, with mean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¯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1.369 veh/h. MC-mean accuracy is approximately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0.01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below the deterministic forward pass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0.5856 vs 0.5957, a difference of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0.0101), a small expected effect of stochastic averaging. The pooled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includes the Q1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quartile (zero-effect segments, Section 5.10); the per-graph mean 0.464 with bootstrap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95% CI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0.460, 0.469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is the more conservative summary.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610" w:val="left"/>
        </w:tabs>
        <w:autoSpaceDE w:val="0"/>
        <w:widowControl/>
        <w:spacing w:line="206" w:lineRule="exact" w:before="460" w:after="0"/>
        <w:ind w:left="4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Cross-trial replication on Trial 7 (dropout 0.3):</w:t>
      </w:r>
      <w:r>
        <w:rPr>
          <w:rFonts w:ascii="PazoMath" w:hAnsi="PazoMath" w:eastAsia="PazoMath"/>
          <w:b w:val="0"/>
          <w:i/>
          <w:color w:val="000000"/>
          <w:sz w:val="18"/>
        </w:rPr>
        <w:t xml:space="preserve"> ρ</w:t>
      </w:r>
      <w:r>
        <w:rPr>
          <w:w w:val="98.3473727577611"/>
          <w:rFonts w:ascii="CMR10" w:hAnsi="CMR10" w:eastAsia="CMR10"/>
          <w:b w:val="0"/>
          <w:i w:val="0"/>
          <w:color w:val="000000"/>
          <w:sz w:val="19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0.4437,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95</w:t>
      </w:r>
      <w:r>
        <w:rPr>
          <w:w w:val="98.3473727577611"/>
          <w:rFonts w:ascii="CMR10" w:hAnsi="CMR10" w:eastAsia="CMR10"/>
          <w:b w:val="0"/>
          <w:i w:val="0"/>
          <w:color w:val="000000"/>
          <w:sz w:val="19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16.15, AUROC</w:t>
      </w:r>
      <w:r>
        <w:rPr>
          <w:w w:val="98.3473727577611"/>
          <w:rFonts w:ascii="CMR10" w:hAnsi="CMR10" w:eastAsia="CMR10"/>
          <w:b w:val="0"/>
          <w:i w:val="0"/>
          <w:color w:val="000000"/>
          <w:sz w:val="19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0.7416 at top-10% –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qualitatively unchanged.</w:t>
      </w:r>
    </w:p>
    <w:p>
      <w:pPr>
        <w:autoSpaceDN w:val="0"/>
        <w:autoSpaceDE w:val="0"/>
        <w:widowControl/>
        <w:spacing w:line="218" w:lineRule="exact" w:before="742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20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284" w:lineRule="exact" w:before="648" w:after="46"/>
        <w:ind w:left="1366" w:right="288" w:hanging="102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5.2.: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Compact comparison of T1, T8 and the Deep Ensemble. T1 has the highest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absolute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but is not MC-Dropout-compatible; T8 is the primary UQ base;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Deep Ensemble has the highest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among the UQ-compatible models.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T1 was evaluated on a separate 50-graph test set under an 80/15/5 split,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whereas T8 and the Deep Ensemble share a different 100-graph test set under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80/10/10 split (not a subsampled version of the same set), so the two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test sets are independent and the cross-group comparison should be read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descriptively.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6"/>
        </w:trPr>
        <w:tc>
          <w:tcPr>
            <w:tcW w:type="dxa" w:w="1300"/>
            <w:tcBorders>
              <w:top w:sz="5.205777645111084" w:val="single" w:color="#000000"/>
              <w:bottom w:sz="3.25061249732971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" w:after="0"/>
              <w:ind w:left="96" w:right="0" w:firstLine="0"/>
              <w:jc w:val="left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Model</w:t>
            </w:r>
          </w:p>
        </w:tc>
        <w:tc>
          <w:tcPr>
            <w:tcW w:type="dxa" w:w="940"/>
            <w:tcBorders>
              <w:top w:sz="5.205777645111084" w:val="single" w:color="#000000"/>
              <w:bottom w:sz="3.25061249732971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" w:after="0"/>
              <w:ind w:left="108" w:right="0" w:firstLine="0"/>
              <w:jc w:val="left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Test graphs</w:t>
            </w:r>
          </w:p>
        </w:tc>
        <w:tc>
          <w:tcPr>
            <w:tcW w:type="dxa" w:w="720"/>
            <w:tcBorders>
              <w:top w:sz="5.205777645111084" w:val="single" w:color="#000000"/>
              <w:bottom w:sz="3.25061249732971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0" w:after="0"/>
              <w:ind w:left="0" w:right="230" w:firstLine="0"/>
              <w:jc w:val="right"/>
            </w:pPr>
            <w:r>
              <w:rPr>
                <w:w w:val="102.22916603088379"/>
                <w:rFonts w:ascii="URWPalladioL" w:hAnsi="URWPalladioL" w:eastAsia="URWPalladioL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2040"/>
            <w:tcBorders>
              <w:top w:sz="5.205777645111084" w:val="single" w:color="#000000"/>
              <w:bottom w:sz="3.25061249732971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" w:after="0"/>
              <w:ind w:left="0" w:right="0" w:firstLine="0"/>
              <w:jc w:val="center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MC-Dropout-compatible?</w:t>
            </w:r>
          </w:p>
        </w:tc>
        <w:tc>
          <w:tcPr>
            <w:tcW w:type="dxa" w:w="3346"/>
            <w:tcBorders>
              <w:top w:sz="5.205777645111084" w:val="single" w:color="#000000"/>
              <w:bottom w:sz="3.25061249732971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" w:after="0"/>
              <w:ind w:left="104" w:right="0" w:firstLine="0"/>
              <w:jc w:val="left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Role in this thesis</w:t>
            </w:r>
          </w:p>
        </w:tc>
      </w:tr>
      <w:tr>
        <w:trPr>
          <w:trHeight w:hRule="exact" w:val="252"/>
        </w:trPr>
        <w:tc>
          <w:tcPr>
            <w:tcW w:type="dxa" w:w="1300"/>
            <w:tcBorders>
              <w:top w:sz="3.25061249732971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96" w:right="0" w:firstLine="0"/>
              <w:jc w:val="left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T1</w:t>
            </w:r>
          </w:p>
        </w:tc>
        <w:tc>
          <w:tcPr>
            <w:tcW w:type="dxa" w:w="940"/>
            <w:tcBorders>
              <w:top w:sz="3.25061249732971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334" w:firstLine="0"/>
              <w:jc w:val="right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720"/>
            <w:tcBorders>
              <w:top w:sz="3.25061249732971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" w:after="0"/>
              <w:ind w:left="180" w:right="0" w:firstLine="0"/>
              <w:jc w:val="left"/>
            </w:pPr>
            <w:r>
              <w:rPr>
                <w:w w:val="102.22916603088379"/>
                <w:rFonts w:ascii="URWPalladioL" w:hAnsi="URWPalladioL" w:eastAsia="URWPalladioL"/>
                <w:b/>
                <w:i w:val="0"/>
                <w:color w:val="000000"/>
                <w:sz w:val="16"/>
              </w:rPr>
              <w:t>0.7860</w:t>
            </w:r>
          </w:p>
        </w:tc>
        <w:tc>
          <w:tcPr>
            <w:tcW w:type="dxa" w:w="2040"/>
            <w:tcBorders>
              <w:top w:sz="3.25061249732971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0" w:firstLine="0"/>
              <w:jc w:val="center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No (effective dropout 0)</w:t>
            </w:r>
          </w:p>
        </w:tc>
        <w:tc>
          <w:tcPr>
            <w:tcW w:type="dxa" w:w="3346"/>
            <w:tcBorders>
              <w:top w:sz="3.25061249732971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104" w:right="0" w:firstLine="0"/>
              <w:jc w:val="left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Architectural reference; not used for UQ</w:t>
            </w:r>
          </w:p>
        </w:tc>
      </w:tr>
      <w:tr>
        <w:trPr>
          <w:trHeight w:hRule="exact" w:val="2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96" w:right="0" w:firstLine="0"/>
              <w:jc w:val="left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T8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292" w:firstLine="0"/>
              <w:jc w:val="right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180" w:right="0" w:firstLine="0"/>
              <w:jc w:val="left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0.5957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center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3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104" w:right="0" w:firstLine="0"/>
              <w:jc w:val="left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Primary UQ base model</w:t>
            </w:r>
          </w:p>
        </w:tc>
      </w:tr>
      <w:tr>
        <w:trPr>
          <w:trHeight w:hRule="exact" w:val="252"/>
        </w:trPr>
        <w:tc>
          <w:tcPr>
            <w:tcW w:type="dxa" w:w="1300"/>
            <w:tcBorders>
              <w:bottom w:sz="5.2057776451110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Deep Ensemble</w:t>
            </w:r>
          </w:p>
        </w:tc>
        <w:tc>
          <w:tcPr>
            <w:tcW w:type="dxa" w:w="940"/>
            <w:tcBorders>
              <w:bottom w:sz="5.2057776451110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292" w:firstLine="0"/>
              <w:jc w:val="right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720"/>
            <w:tcBorders>
              <w:bottom w:sz="5.2057776451110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80" w:right="0" w:firstLine="0"/>
              <w:jc w:val="left"/>
            </w:pPr>
            <w:r>
              <w:rPr>
                <w:w w:val="102.22916603088379"/>
                <w:rFonts w:ascii="URWPalladioL" w:hAnsi="URWPalladioL" w:eastAsia="URWPalladioL"/>
                <w:b/>
                <w:i w:val="0"/>
                <w:color w:val="000000"/>
                <w:sz w:val="16"/>
              </w:rPr>
              <w:t>0.6841</w:t>
            </w:r>
          </w:p>
        </w:tc>
        <w:tc>
          <w:tcPr>
            <w:tcW w:type="dxa" w:w="2040"/>
            <w:tcBorders>
              <w:bottom w:sz="5.2057776451110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Yes (per member)</w:t>
            </w:r>
          </w:p>
        </w:tc>
        <w:tc>
          <w:tcPr>
            <w:tcW w:type="dxa" w:w="3346"/>
            <w:tcBorders>
              <w:bottom w:sz="5.2057776451110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2.22916603088379"/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Strongest UQ-capable GNN point accuracy</w:t>
            </w:r>
          </w:p>
        </w:tc>
      </w:tr>
      <w:tr>
        <w:trPr>
          <w:trHeight w:hRule="exact" w:val="718"/>
        </w:trPr>
        <w:tc>
          <w:tcPr>
            <w:tcW w:type="dxa" w:w="2240"/>
            <w:gridSpan w:val="2"/>
            <w:tcBorders>
              <w:top w:sz="5.2057776451110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0" w:after="0"/>
              <w:ind w:left="6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Per-graph stability.</w:t>
            </w:r>
          </w:p>
        </w:tc>
        <w:tc>
          <w:tcPr>
            <w:tcW w:type="dxa" w:w="6106"/>
            <w:gridSpan w:val="3"/>
            <w:tcBorders>
              <w:top w:sz="5.2057776451110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Per-graph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ρ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has mean 0.464, std 0.023, range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[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0.407, 0.505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]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A</w:t>
            </w:r>
          </w:p>
        </w:tc>
      </w:tr>
    </w:tbl>
    <w:p>
      <w:pPr>
        <w:autoSpaceDN w:val="0"/>
        <w:autoSpaceDE w:val="0"/>
        <w:widowControl/>
        <w:spacing w:line="258" w:lineRule="exact" w:before="8" w:after="0"/>
        <w:ind w:left="34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bootstrap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B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10,000) gives a 95% CI of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0.460, 0.469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for the mean per-graph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2104" w:val="left"/>
        </w:tabs>
        <w:autoSpaceDE w:val="0"/>
        <w:widowControl/>
        <w:spacing w:line="308" w:lineRule="exact" w:before="268" w:after="0"/>
        <w:ind w:left="338" w:right="288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S</w:t>
      </w:r>
      <w:r>
        <w:rPr>
          <w:w w:val="98.8756613297896"/>
          <w:rFonts w:ascii="URWPalladioL" w:hAnsi="URWPalladioL" w:eastAsia="URWPalladioL"/>
          <w:b/>
          <w:i w:val="0"/>
          <w:color w:val="000000"/>
          <w:sz w:val="22"/>
        </w:rPr>
        <w:t xml:space="preserve">-convergence.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>Convergence on 10 test graphs: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 30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→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>50 adds only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+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>1.03% in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(0.466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0.471);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5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30 contributes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+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10.8%.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30 is therefore used throughout.</w:t>
      </w:r>
    </w:p>
    <w:p>
      <w:pPr>
        <w:autoSpaceDN w:val="0"/>
        <w:autoSpaceDE w:val="0"/>
        <w:widowControl/>
        <w:spacing w:line="286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5.3. Calibration and Conformal Prediction (T8)</w:t>
      </w:r>
    </w:p>
    <w:p>
      <w:pPr>
        <w:autoSpaceDN w:val="0"/>
        <w:autoSpaceDE w:val="0"/>
        <w:widowControl/>
        <w:spacing w:line="284" w:lineRule="exact" w:before="220" w:after="0"/>
        <w:ind w:left="346" w:right="288" w:hanging="8"/>
        <w:jc w:val="left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A note on what coverage means in this section.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Coverage statements below are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marginal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: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PICP is the proportion of test residuals that fall inside the predicted interval averaged 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>across scenarios and nodes on the held-out evaluation split. It is not a conditional guar-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antee for any single scenario or any single uncertainty bin, and node-level predictions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inside one graph remain spatially correlated. The conditional-coverage range across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uncertainty deciles is reported separately later in this section, and the exchangeability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assumption that backs the marginal guarantee is examined in Section 6.4.</w:t>
      </w:r>
    </w:p>
    <w:p>
      <w:pPr>
        <w:autoSpaceDN w:val="0"/>
        <w:autoSpaceDE w:val="0"/>
        <w:widowControl/>
        <w:spacing w:line="274" w:lineRule="exact" w:before="42" w:after="0"/>
        <w:ind w:left="346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The empirical scaling factor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p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(Equation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(3.2)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) quantifies the mismatch between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raw MC Dropout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 a calibrated Gaussian (Table 5.3). At the 95% nominal level,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±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1.96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covers only 54.85% of residuals: raw MC Dropout is useful as a ranking signal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but not as an interval estimator.</w:t>
      </w:r>
    </w:p>
    <w:p>
      <w:pPr>
        <w:autoSpaceDN w:val="0"/>
        <w:autoSpaceDE w:val="0"/>
        <w:widowControl/>
        <w:spacing w:line="278" w:lineRule="exact" w:before="28" w:after="0"/>
        <w:ind w:left="336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Split conformal prediction with 50 calibration and 50 evaluation graphs gives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q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90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9.920 with empirical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90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90.02% and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q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14.677 with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95.01%. The 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 xml:space="preserve">empirical marginal coverage on the held-out evaluation graphs is therefore close to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nominal targets. The formal conformal coverage guarantee rests on exchangeability,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which holds at the scenario level here but is only approximated within a single graph;</w:t>
      </w:r>
    </w:p>
    <w:p>
      <w:pPr>
        <w:autoSpaceDN w:val="0"/>
        <w:autoSpaceDE w:val="0"/>
        <w:widowControl/>
        <w:spacing w:line="218" w:lineRule="exact" w:before="932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21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254" w:lineRule="exact" w:before="710" w:after="12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5.3.: T8 empirical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>p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vs Gaussian reference, full 3,163,500-node test set.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0.0" w:type="dxa"/>
      </w:tblPr>
      <w:tblGrid>
        <w:gridCol w:w="2256"/>
        <w:gridCol w:w="2256"/>
        <w:gridCol w:w="2256"/>
        <w:gridCol w:w="2256"/>
      </w:tblGrid>
      <w:tr>
        <w:trPr>
          <w:trHeight w:hRule="exact" w:val="396"/>
        </w:trPr>
        <w:tc>
          <w:tcPr>
            <w:tcW w:type="dxa" w:w="129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Nominal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p</w:t>
            </w:r>
          </w:p>
        </w:tc>
        <w:tc>
          <w:tcPr>
            <w:tcW w:type="dxa" w:w="144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Empirical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140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Gaussian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2156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Cov. at Gaussian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p</w:t>
            </w:r>
          </w:p>
        </w:tc>
      </w:tr>
      <w:tr>
        <w:trPr>
          <w:trHeight w:hRule="exact" w:val="342"/>
        </w:trPr>
        <w:tc>
          <w:tcPr>
            <w:tcW w:type="dxa" w:w="129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50%</w:t>
            </w:r>
          </w:p>
        </w:tc>
        <w:tc>
          <w:tcPr>
            <w:tcW w:type="dxa" w:w="144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1.71</w:t>
            </w:r>
          </w:p>
        </w:tc>
        <w:tc>
          <w:tcPr>
            <w:tcW w:type="dxa" w:w="140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0.67</w:t>
            </w:r>
          </w:p>
        </w:tc>
        <w:tc>
          <w:tcPr>
            <w:tcW w:type="dxa" w:w="2156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23.4%</w:t>
            </w:r>
          </w:p>
        </w:tc>
      </w:tr>
      <w:tr>
        <w:trPr>
          <w:trHeight w:hRule="exact" w:val="300"/>
        </w:trPr>
        <w:tc>
          <w:tcPr>
            <w:tcW w:type="dxa" w:w="1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70%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3.09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1.04</w:t>
            </w:r>
          </w:p>
        </w:tc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33.7%</w:t>
            </w:r>
          </w:p>
        </w:tc>
      </w:tr>
      <w:tr>
        <w:trPr>
          <w:trHeight w:hRule="exact" w:val="280"/>
        </w:trPr>
        <w:tc>
          <w:tcPr>
            <w:tcW w:type="dxa" w:w="1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80%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4.55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1.28</w:t>
            </w:r>
          </w:p>
        </w:tc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40.1%</w:t>
            </w:r>
          </w:p>
        </w:tc>
      </w:tr>
      <w:tr>
        <w:trPr>
          <w:trHeight w:hRule="exact" w:val="280"/>
        </w:trPr>
        <w:tc>
          <w:tcPr>
            <w:tcW w:type="dxa" w:w="1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90%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7.74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1.64</w:t>
            </w:r>
          </w:p>
        </w:tc>
        <w:tc>
          <w:tcPr>
            <w:tcW w:type="dxa" w:w="2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48.6%</w:t>
            </w:r>
          </w:p>
        </w:tc>
      </w:tr>
      <w:tr>
        <w:trPr>
          <w:trHeight w:hRule="exact" w:val="334"/>
        </w:trPr>
        <w:tc>
          <w:tcPr>
            <w:tcW w:type="dxa" w:w="129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95%</w:t>
            </w:r>
          </w:p>
        </w:tc>
        <w:tc>
          <w:tcPr>
            <w:tcW w:type="dxa" w:w="144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11.66</w:t>
            </w:r>
          </w:p>
        </w:tc>
        <w:tc>
          <w:tcPr>
            <w:tcW w:type="dxa" w:w="140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1.96</w:t>
            </w:r>
          </w:p>
        </w:tc>
        <w:tc>
          <w:tcPr>
            <w:tcW w:type="dxa" w:w="2156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54.85%</w:t>
            </w:r>
          </w:p>
        </w:tc>
      </w:tr>
    </w:tbl>
    <w:p>
      <w:pPr>
        <w:autoSpaceDN w:val="0"/>
        <w:autoSpaceDE w:val="0"/>
        <w:widowControl/>
        <w:spacing w:line="276" w:lineRule="exact" w:before="422" w:after="0"/>
        <w:ind w:left="340" w:right="342" w:firstLine="0"/>
        <w:jc w:val="both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this is discussed in Section 6.4. Adaptive conformal uses MC Dropout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as a normaliser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and yields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q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adapt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7.71 at the 90% level, with empirical global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90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89.87%, 0.13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percentage points below the nominal target.</w:t>
      </w:r>
    </w:p>
    <w:p>
      <w:pPr>
        <w:autoSpaceDN w:val="0"/>
        <w:tabs>
          <w:tab w:pos="2912" w:val="left"/>
        </w:tabs>
        <w:autoSpaceDE w:val="0"/>
        <w:widowControl/>
        <w:spacing w:line="284" w:lineRule="exact" w:before="328" w:after="0"/>
        <w:ind w:left="346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Conditional coverage.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Standard conformal can over-cover the low-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nodes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under-cover the high-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nodes; here this shows up as 98.1% coverage on decile D1 and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only 59.0% on D10, which is consistent with the impossibility result of Barber et al. [21]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for distribution-free conditional coverage. Adaptive conformal narrows the observed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range across deciles to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83.7%, 96.4%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314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5.4. Post-Hoc Regression</w:t>
      </w:r>
      <w:r>
        <w:rPr>
          <w:w w:val="98.93931027116447"/>
          <w:rFonts w:ascii="PazoMath" w:hAnsi="PazoMath" w:eastAsia="PazoMath"/>
          <w:b w:val="0"/>
          <w:i/>
          <w:color w:val="000000"/>
          <w:sz w:val="29"/>
        </w:rPr>
        <w:t xml:space="preserve"> σ</w:t>
      </w: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-Scaling</w:t>
      </w:r>
    </w:p>
    <w:p>
      <w:pPr>
        <w:autoSpaceDN w:val="0"/>
        <w:tabs>
          <w:tab w:pos="360" w:val="left"/>
          <w:tab w:pos="1764" w:val="left"/>
          <w:tab w:pos="4474" w:val="left"/>
          <w:tab w:pos="6260" w:val="left"/>
        </w:tabs>
        <w:autoSpaceDE w:val="0"/>
        <w:widowControl/>
        <w:spacing w:line="284" w:lineRule="exact" w:before="188" w:after="0"/>
        <w:ind w:left="336" w:right="288" w:firstLine="0"/>
        <w:jc w:val="left"/>
      </w:pPr>
      <w:r>
        <w:rPr>
          <w:w w:val="98.1768868186257"/>
          <w:rFonts w:ascii="URWPalladioL" w:hAnsi="URWPalladioL" w:eastAsia="URWPalladioL"/>
          <w:b/>
          <w:i w:val="0"/>
          <w:color w:val="000000"/>
          <w:sz w:val="22"/>
        </w:rPr>
        <w:t xml:space="preserve">Motivation.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The calibration audit identifies the bulk of the underdispersion as a scale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shift in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the failure mode a single-scalar rescaling is designed to correct [24, 33, 36];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Foong et al. [16] prove the MC Dropout posterior is too concentrated relative to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exact Bayesian posterior. The residual ratios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/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are heavy-tailed (median 1.71,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99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23.6, max</w:t>
      </w:r>
      <w:r>
        <w:rPr>
          <w:w w:val="98.846087248429"/>
          <w:rFonts w:ascii="CMMI10" w:hAnsi="CMMI10" w:eastAsia="CMMI10"/>
          <w:b w:val="0"/>
          <w:i/>
          <w:color w:val="000000"/>
          <w:sz w:val="23"/>
        </w:rPr>
        <w:t xml:space="preserve"> &gt;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900), so the Gaussian-NLL closed form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7.70470787497128"/>
          <w:rFonts w:ascii="CMMI10" w:hAnsi="CMMI10" w:eastAsia="CMMI10"/>
          <w:b w:val="0"/>
          <w:i/>
          <w:color w:val="000000"/>
          <w:sz w:val="17"/>
        </w:rPr>
        <w:t>⋆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2 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NLL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N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1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∑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/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 xml:space="preserve">2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returns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≈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6.35 and over-compensates (1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coverage at 86.8%). The ECE objective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targets bulk coverage and is tail-robust;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7.70470787497128"/>
          <w:rFonts w:ascii="CMMI10" w:hAnsi="CMMI10" w:eastAsia="CMMI10"/>
          <w:b w:val="0"/>
          <w:i/>
          <w:color w:val="000000"/>
          <w:sz w:val="17"/>
        </w:rPr>
        <w:t>⋆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ECE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2.887 hits the 68.3% Gaussian target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within 0.3 pp, and the residual tail mismatch is handled by conformal prediction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(Section 5.5).</w:t>
      </w:r>
    </w:p>
    <w:p>
      <w:pPr>
        <w:autoSpaceDN w:val="0"/>
        <w:autoSpaceDE w:val="0"/>
        <w:widowControl/>
        <w:spacing w:line="290" w:lineRule="exact" w:before="0" w:after="0"/>
        <w:ind w:left="336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Fitting a scalar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on a 30% random node-level calibration subset (seed 42, 949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050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nodes) gives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7.70470787497128"/>
          <w:rFonts w:ascii="CMMI10" w:hAnsi="CMMI10" w:eastAsia="CMMI10"/>
          <w:b w:val="0"/>
          <w:i/>
          <w:color w:val="000000"/>
          <w:sz w:val="17"/>
        </w:rPr>
        <w:t>⋆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2.887. Because this split is at the node level, the calibration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evaluation halves are not strictly independent at the scenario level: nodes within the 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 xml:space="preserve">same graph remain correlated. The diagnostics in Table 5.4 should therefore be read as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empirical post-fit coverage rather than as a guarantee at the graph level. ECE drops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from 0.356 to 0.034, a 90.5% reduction; the 1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coverage rises from 32.7% to 68.0%,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which is within 0.3 pp of the 68.3% Gaussian target; and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falls from 11.66 to 4.04.</w:t>
      </w:r>
    </w:p>
    <w:p>
      <w:pPr>
        <w:autoSpaceDN w:val="0"/>
        <w:autoSpaceDE w:val="0"/>
        <w:widowControl/>
        <w:spacing w:line="218" w:lineRule="exact" w:before="83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22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1536700</wp:posOffset>
            </wp:positionV>
            <wp:extent cx="4495800" cy="2946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46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240" w:lineRule="auto" w:before="674" w:after="552"/>
        <w:ind w:left="1322" w:right="0" w:firstLine="0"/>
        <w:jc w:val="left"/>
      </w:pPr>
      <w:r>
        <w:rPr>
          <w:rFonts w:ascii="DejaVu Serif" w:hAnsi="DejaVu Serif" w:eastAsia="DejaVu Serif"/>
          <w:b w:val="0"/>
          <w:i w:val="0"/>
          <w:color w:val="404040"/>
          <w:sz w:val="15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6"/>
        <w:gridCol w:w="2256"/>
        <w:gridCol w:w="2256"/>
        <w:gridCol w:w="2256"/>
      </w:tblGrid>
      <w:tr>
        <w:trPr>
          <w:trHeight w:hRule="exact" w:val="60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42" w:after="0"/>
              <w:ind w:left="554" w:right="0" w:firstLine="0"/>
              <w:jc w:val="left"/>
            </w:pPr>
            <w:r>
              <w:rPr>
                <w:w w:val="98.42823252958411"/>
                <w:rFonts w:ascii="DejaVu Serif" w:hAnsi="DejaVu Serif" w:eastAsia="DejaVu Serif"/>
                <w:b w:val="0"/>
                <w:i w:val="0"/>
                <w:color w:val="000000"/>
                <w:sz w:val="17"/>
              </w:rPr>
              <w:t>Conditional coverage (%)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9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90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50" w:after="0"/>
              <w:ind w:left="34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5"/>
              </w:rPr>
              <w:t>Standard conformal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546" w:firstLine="0"/>
              <w:jc w:val="right"/>
            </w:pPr>
            <w:r>
              <w:rPr>
                <w:w w:val="102.97107696533203"/>
                <w:rFonts w:ascii="DejaVu Serif" w:hAnsi="DejaVu Serif" w:eastAsia="DejaVu Serif"/>
                <w:b w:val="0"/>
                <w:i w:val="0"/>
                <w:color w:val="A5A5A5"/>
                <w:sz w:val="13"/>
              </w:rPr>
              <w:t>90%</w:t>
            </w:r>
          </w:p>
        </w:tc>
      </w:tr>
      <w:tr>
        <w:trPr>
          <w:trHeight w:hRule="exact" w:val="820"/>
        </w:trPr>
        <w:tc>
          <w:tcPr>
            <w:tcW w:type="dxa" w:w="225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6" w:after="0"/>
              <w:ind w:left="9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80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820"/>
        </w:trPr>
        <w:tc>
          <w:tcPr>
            <w:tcW w:type="dxa" w:w="225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9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70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22"/>
        </w:trPr>
        <w:tc>
          <w:tcPr>
            <w:tcW w:type="dxa" w:w="225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2" w:after="0"/>
              <w:ind w:left="9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60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" w:after="164"/>
        <w:ind w:left="0" w:right="5248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15"/>
        </w:rPr>
        <w:t>Adaptive conformal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5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D1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D2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D3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D4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D5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D6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D7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D8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D9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7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15"/>
              </w:rPr>
              <w:t>D10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0" w:right="2740" w:firstLine="0"/>
        <w:jc w:val="right"/>
      </w:pPr>
      <w:r>
        <w:rPr>
          <w:w w:val="98.42823252958411"/>
          <w:rFonts w:ascii="DejaVu Serif" w:hAnsi="DejaVu Serif" w:eastAsia="DejaVu Serif"/>
          <w:b w:val="0"/>
          <w:i w:val="0"/>
          <w:color w:val="000000"/>
          <w:sz w:val="17"/>
        </w:rPr>
        <w:t xml:space="preserve">Uncertainty decile (low </w:t>
      </w:r>
      <w:r>
        <w:rPr>
          <w:w w:val="98.42823252958411"/>
          <w:rFonts w:ascii="DejaVu Sans" w:hAnsi="DejaVu Sans" w:eastAsia="DejaVu Sans"/>
          <w:b w:val="0"/>
          <w:i/>
          <w:color w:val="000000"/>
          <w:sz w:val="17"/>
        </w:rPr>
        <w:t>σ</w:t>
      </w:r>
      <w:r>
        <w:rPr>
          <w:w w:val="98.42823252958411"/>
          <w:rFonts w:ascii="DejaVu Sans" w:hAnsi="DejaVu Sans" w:eastAsia="DejaVu Sans"/>
          <w:b w:val="0"/>
          <w:i w:val="0"/>
          <w:color w:val="000000"/>
          <w:sz w:val="17"/>
        </w:rPr>
        <w:t>→</w:t>
      </w:r>
      <w:r>
        <w:rPr>
          <w:w w:val="98.42823252958411"/>
          <w:rFonts w:ascii="DejaVu Serif" w:hAnsi="DejaVu Serif" w:eastAsia="DejaVu Serif"/>
          <w:b w:val="0"/>
          <w:i w:val="0"/>
          <w:color w:val="000000"/>
          <w:sz w:val="17"/>
        </w:rPr>
        <w:t xml:space="preserve"> high </w:t>
      </w:r>
      <w:r>
        <w:rPr>
          <w:w w:val="98.42823252958411"/>
          <w:rFonts w:ascii="DejaVu Sans" w:hAnsi="DejaVu Sans" w:eastAsia="DejaVu Sans"/>
          <w:b w:val="0"/>
          <w:i/>
          <w:color w:val="000000"/>
          <w:sz w:val="17"/>
        </w:rPr>
        <w:t>σ</w:t>
      </w:r>
      <w:r>
        <w:rPr>
          <w:w w:val="98.42823252958411"/>
          <w:rFonts w:ascii="DejaVu Serif" w:hAnsi="DejaVu Serif" w:eastAsia="DejaVu Serif"/>
          <w:b w:val="0"/>
          <w:i w:val="0"/>
          <w:color w:val="000000"/>
          <w:sz w:val="17"/>
        </w:rPr>
        <w:t>)</w:t>
      </w:r>
    </w:p>
    <w:p>
      <w:pPr>
        <w:autoSpaceDN w:val="0"/>
        <w:autoSpaceDE w:val="0"/>
        <w:widowControl/>
        <w:spacing w:line="242" w:lineRule="exact" w:before="35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Figure 5.1.: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Standard conformal drifts 39 pp across deciles; adaptive narrows to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∼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13</w:t>
      </w:r>
    </w:p>
    <w:p>
      <w:pPr>
        <w:autoSpaceDN w:val="0"/>
        <w:autoSpaceDE w:val="0"/>
        <w:widowControl/>
        <w:spacing w:line="218" w:lineRule="exact" w:before="66" w:after="0"/>
        <w:ind w:left="147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pp.</w:t>
      </w:r>
    </w:p>
    <w:p>
      <w:pPr>
        <w:autoSpaceDN w:val="0"/>
        <w:autoSpaceDE w:val="0"/>
        <w:widowControl/>
        <w:spacing w:line="256" w:lineRule="exact" w:before="482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Both before- and after-scaling values of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are computed on the same held-out 70%</w:t>
      </w:r>
    </w:p>
    <w:p>
      <w:pPr>
        <w:autoSpaceDN w:val="0"/>
        <w:autoSpaceDE w:val="0"/>
        <w:widowControl/>
        <w:spacing w:line="238" w:lineRule="exact" w:before="3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evaluation subset, so the comparison is consistent. The remaining gaps at 2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 3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</w:p>
    <w:p>
      <w:pPr>
        <w:autoSpaceDN w:val="0"/>
        <w:autoSpaceDE w:val="0"/>
        <w:widowControl/>
        <w:spacing w:line="216" w:lineRule="exact" w:before="50" w:after="0"/>
        <w:ind w:left="0" w:right="0" w:firstLine="0"/>
        <w:jc w:val="center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reflect heavier-than-Gaussian tails: a single scalar can rescale the predictive distribution</w:t>
      </w:r>
    </w:p>
    <w:p>
      <w:pPr>
        <w:autoSpaceDN w:val="0"/>
        <w:autoSpaceDE w:val="0"/>
        <w:widowControl/>
        <w:spacing w:line="218" w:lineRule="exact" w:before="68" w:after="0"/>
        <w:ind w:left="34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but cannot reshape it.</w:t>
      </w:r>
    </w:p>
    <w:p>
      <w:pPr>
        <w:autoSpaceDN w:val="0"/>
        <w:autoSpaceDE w:val="0"/>
        <w:widowControl/>
        <w:spacing w:line="236" w:lineRule="exact" w:before="480" w:after="26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5.4.: Regression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-scaling. Gaussian targets: 68.27%, 95.45%, 99.73%.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3.9999999999998" w:type="dxa"/>
      </w:tblPr>
      <w:tblGrid>
        <w:gridCol w:w="2256"/>
        <w:gridCol w:w="2256"/>
        <w:gridCol w:w="2256"/>
        <w:gridCol w:w="2256"/>
      </w:tblGrid>
      <w:tr>
        <w:trPr>
          <w:trHeight w:hRule="exact" w:val="398"/>
        </w:trPr>
        <w:tc>
          <w:tcPr>
            <w:tcW w:type="dxa" w:w="1686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Metric</w:t>
            </w:r>
          </w:p>
        </w:tc>
        <w:tc>
          <w:tcPr>
            <w:tcW w:type="dxa" w:w="164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Before 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T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1)</w:t>
            </w:r>
          </w:p>
        </w:tc>
        <w:tc>
          <w:tcPr>
            <w:tcW w:type="dxa" w:w="188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After 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T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2.887)</w:t>
            </w:r>
          </w:p>
        </w:tc>
        <w:tc>
          <w:tcPr>
            <w:tcW w:type="dxa" w:w="115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6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2"/>
              </w:rPr>
              <w:t>∆</w:t>
            </w:r>
          </w:p>
        </w:tc>
      </w:tr>
      <w:tr>
        <w:trPr>
          <w:trHeight w:hRule="exact" w:val="318"/>
        </w:trPr>
        <w:tc>
          <w:tcPr>
            <w:tcW w:type="dxa" w:w="1686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ECE</w:t>
            </w:r>
          </w:p>
        </w:tc>
        <w:tc>
          <w:tcPr>
            <w:tcW w:type="dxa" w:w="164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0.356</w:t>
            </w:r>
          </w:p>
        </w:tc>
        <w:tc>
          <w:tcPr>
            <w:tcW w:type="dxa" w:w="18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0.034</w:t>
            </w:r>
          </w:p>
        </w:tc>
        <w:tc>
          <w:tcPr>
            <w:tcW w:type="dxa" w:w="115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90.5%</w:t>
            </w:r>
          </w:p>
        </w:tc>
      </w:tr>
      <w:tr>
        <w:trPr>
          <w:trHeight w:hRule="exact" w:val="280"/>
        </w:trPr>
        <w:tc>
          <w:tcPr>
            <w:tcW w:type="dxa" w:w="16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7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Coverage at 1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32.7%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68.0%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35.3 pp</w:t>
            </w:r>
          </w:p>
        </w:tc>
      </w:tr>
      <w:tr>
        <w:trPr>
          <w:trHeight w:hRule="exact" w:val="56"/>
        </w:trPr>
        <w:tc>
          <w:tcPr>
            <w:tcW w:type="dxa" w:w="2256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55.6%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85.0%</w:t>
            </w:r>
          </w:p>
        </w:tc>
        <w:tc>
          <w:tcPr>
            <w:tcW w:type="dxa" w:w="11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29.4 pp</w:t>
            </w:r>
          </w:p>
        </w:tc>
      </w:tr>
      <w:tr>
        <w:trPr>
          <w:trHeight w:hRule="exact" w:val="244"/>
        </w:trPr>
        <w:tc>
          <w:tcPr>
            <w:tcW w:type="dxa" w:w="1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Coverage at 2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Coverage at 3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69.1%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91.6%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22.5 pp</w:t>
            </w:r>
          </w:p>
        </w:tc>
      </w:tr>
      <w:tr>
        <w:trPr>
          <w:trHeight w:hRule="exact" w:val="356"/>
        </w:trPr>
        <w:tc>
          <w:tcPr>
            <w:tcW w:type="dxa" w:w="1686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164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11.66</w:t>
            </w:r>
          </w:p>
        </w:tc>
        <w:tc>
          <w:tcPr>
            <w:tcW w:type="dxa" w:w="188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4.04</w:t>
            </w:r>
          </w:p>
        </w:tc>
        <w:tc>
          <w:tcPr>
            <w:tcW w:type="dxa" w:w="1152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7.62</w:t>
            </w:r>
          </w:p>
        </w:tc>
      </w:tr>
    </w:tbl>
    <w:p>
      <w:pPr>
        <w:autoSpaceDN w:val="0"/>
        <w:autoSpaceDE w:val="0"/>
        <w:widowControl/>
        <w:spacing w:line="218" w:lineRule="exact" w:before="221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23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1536700</wp:posOffset>
            </wp:positionV>
            <wp:extent cx="3975100" cy="2298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298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240" w:lineRule="auto" w:before="492" w:after="72"/>
        <w:ind w:left="0" w:right="1974" w:firstLine="0"/>
        <w:jc w:val="right"/>
      </w:pPr>
      <w:r>
        <w:rPr>
          <w:w w:val="102.42239634195964"/>
          <w:rFonts w:ascii="DejaVu Serif" w:hAnsi="DejaVu Serif" w:eastAsia="DejaVu Serif"/>
          <w:b w:val="0"/>
          <w:i w:val="0"/>
          <w:color w:val="000000"/>
          <w:sz w:val="15"/>
        </w:rPr>
        <w:t xml:space="preserve">ECE optimisation for T8 MC Dropout regression </w:t>
      </w:r>
      <w:r>
        <w:rPr>
          <w:w w:val="102.42239634195964"/>
          <w:rFonts w:ascii="DejaVu Sans" w:hAnsi="DejaVu Sans" w:eastAsia="DejaVu Sans"/>
          <w:b w:val="0"/>
          <w:i/>
          <w:color w:val="000000"/>
          <w:sz w:val="15"/>
        </w:rPr>
        <w:t>σ</w:t>
      </w:r>
      <w:r>
        <w:rPr>
          <w:w w:val="102.42239634195964"/>
          <w:rFonts w:ascii="DejaVu Serif" w:hAnsi="DejaVu Serif" w:eastAsia="DejaVu Serif"/>
          <w:b w:val="0"/>
          <w:i w:val="0"/>
          <w:color w:val="000000"/>
          <w:sz w:val="15"/>
        </w:rPr>
        <w:t>-scaling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4"/>
              </w:rPr>
              <w:t>Expected Calibration Error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2" w:after="0"/>
              <w:ind w:left="42" w:right="0" w:firstLine="0"/>
              <w:jc w:val="left"/>
            </w:pP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0.35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774" w:firstLine="0"/>
              <w:jc w:val="right"/>
            </w:pPr>
            <w:r>
              <w:rPr>
                <w:w w:val="98.48307829636795"/>
                <w:rFonts w:ascii="DejaVu Sans" w:hAnsi="DejaVu Sans" w:eastAsia="DejaVu Sans"/>
                <w:b w:val="0"/>
                <w:i/>
                <w:color w:val="000000"/>
                <w:sz w:val="13"/>
              </w:rPr>
              <w:t>T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9"/>
              </w:rPr>
              <w:t>⋆</w:t>
            </w:r>
            <w:r>
              <w:rPr>
                <w:w w:val="98.48307829636795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>= 2.887</w:t>
            </w: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 xml:space="preserve"> (optimal)</w:t>
            </w:r>
          </w:p>
        </w:tc>
      </w:tr>
      <w:tr>
        <w:trPr>
          <w:trHeight w:hRule="exact" w:val="15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404" w:firstLine="0"/>
              <w:jc w:val="right"/>
            </w:pPr>
            <w:r>
              <w:rPr>
                <w:w w:val="98.48307829636795"/>
                <w:rFonts w:ascii="DejaVu Sans" w:hAnsi="DejaVu Sans" w:eastAsia="DejaVu Sans"/>
                <w:b w:val="0"/>
                <w:i/>
                <w:color w:val="000000"/>
                <w:sz w:val="13"/>
              </w:rPr>
              <w:t>T</w:t>
            </w:r>
            <w:r>
              <w:rPr>
                <w:w w:val="98.48307829636795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 xml:space="preserve"> = 1</w:t>
            </w: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 xml:space="preserve"> (raw)</w:t>
            </w:r>
          </w:p>
        </w:tc>
      </w:tr>
      <w:tr>
        <w:trPr>
          <w:trHeight w:hRule="exact" w:val="408"/>
        </w:trPr>
        <w:tc>
          <w:tcPr>
            <w:tcW w:type="dxa" w:w="3009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0" w:after="0"/>
              <w:ind w:left="42" w:right="0" w:firstLine="0"/>
              <w:jc w:val="left"/>
            </w:pP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0.30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42" w:right="0" w:firstLine="0"/>
              <w:jc w:val="left"/>
            </w:pP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0.25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3009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2" w:after="0"/>
              <w:ind w:left="42" w:right="0" w:firstLine="0"/>
              <w:jc w:val="left"/>
            </w:pP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0.20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0" w:after="0"/>
              <w:ind w:left="42" w:right="0" w:firstLine="0"/>
              <w:jc w:val="left"/>
            </w:pP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0.15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3009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0" w:after="0"/>
              <w:ind w:left="42" w:right="0" w:firstLine="0"/>
              <w:jc w:val="left"/>
            </w:pP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0.10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144" w:after="138"/>
        <w:ind w:left="1622" w:right="0" w:firstLine="0"/>
        <w:jc w:val="left"/>
      </w:pPr>
      <w:r>
        <w:rPr>
          <w:w w:val="98.48307829636795"/>
          <w:rFonts w:ascii="DejaVu Serif" w:hAnsi="DejaVu Serif" w:eastAsia="DejaVu Serif"/>
          <w:b w:val="0"/>
          <w:i w:val="0"/>
          <w:color w:val="000000"/>
          <w:sz w:val="13"/>
        </w:rPr>
        <w:t>0.05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524" w:firstLine="0"/>
              <w:jc w:val="right"/>
            </w:pP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822" w:firstLine="0"/>
              <w:jc w:val="right"/>
            </w:pPr>
            <w:r>
              <w:rPr>
                <w:w w:val="98.48307829636795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3672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14"/>
        </w:rPr>
        <w:t xml:space="preserve">Scaling factor </w:t>
      </w:r>
      <w:r>
        <w:rPr>
          <w:rFonts w:ascii="DejaVu Sans" w:hAnsi="DejaVu Sans" w:eastAsia="DejaVu Sans"/>
          <w:b w:val="0"/>
          <w:i/>
          <w:color w:val="000000"/>
          <w:sz w:val="14"/>
        </w:rPr>
        <w:t>T</w:t>
      </w:r>
    </w:p>
    <w:p>
      <w:pPr>
        <w:autoSpaceDN w:val="0"/>
        <w:autoSpaceDE w:val="0"/>
        <w:widowControl/>
        <w:spacing w:line="284" w:lineRule="exact" w:before="236" w:after="0"/>
        <w:ind w:left="1482" w:right="346" w:hanging="113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Figure 5.2.: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ECE as a function of the scaling factor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on the calibration subset; the 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>optimum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7.70470787497128"/>
          <w:rFonts w:ascii="CMMI10" w:hAnsi="CMMI10" w:eastAsia="CMMI10"/>
          <w:b w:val="0"/>
          <w:i/>
          <w:color w:val="000000"/>
          <w:sz w:val="17"/>
        </w:rPr>
        <w:t>⋆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 2.887 is marked. Coverage and reliability numbers are in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5.4.</w:t>
      </w:r>
    </w:p>
    <w:p>
      <w:pPr>
        <w:autoSpaceDN w:val="0"/>
        <w:autoSpaceDE w:val="0"/>
        <w:widowControl/>
        <w:spacing w:line="286" w:lineRule="exact" w:before="434" w:after="0"/>
        <w:ind w:left="0" w:right="0" w:firstLine="0"/>
        <w:jc w:val="center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5.5. Proper Scoring Rules, Selective Prediction, Error Detection</w:t>
      </w:r>
    </w:p>
    <w:p>
      <w:pPr>
        <w:autoSpaceDN w:val="0"/>
        <w:autoSpaceDE w:val="0"/>
        <w:widowControl/>
        <w:spacing w:line="284" w:lineRule="exact" w:before="220" w:after="32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The proper-scoring-rule diagnostics on the full T8 test set are: mean CRPS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3.384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veh/h with CRPS/MAE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0.857 – the MAE in the denominator is the MC-mean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026"/>
      </w:tblGrid>
      <w:tr>
        <w:trPr>
          <w:trHeight w:hRule="exact" w:val="560"/>
        </w:trPr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MAE (3.948 veh/h, Section 5.2), since CRPS is computed against the MC predictive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√</w:t>
            </w:r>
          </w:p>
          <w:p>
            <w:pPr>
              <w:autoSpaceDN w:val="0"/>
              <w:tabs>
                <w:tab w:pos="5836" w:val="left"/>
              </w:tabs>
              <w:autoSpaceDE w:val="0"/>
              <w:widowControl/>
              <w:spacing w:line="218" w:lineRule="exact" w:before="0" w:after="0"/>
              <w:ind w:left="186" w:right="0" w:firstLine="0"/>
              <w:jc w:val="left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distribution – versus the Gaussian-calibrated optimum 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/ </w:t>
            </w:r>
            <w:r>
              <w:tab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≈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0.707; PIT mean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0.433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344" w:right="346" w:hanging="8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(ideal 0.500) and KS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0.245 (ideal 0); Winkler interval scores at the 90% level 49.68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>for raw MC, 35.78 for standard conformal (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−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>28.0%), and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32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>32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 for adaptive conformal 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>(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−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>35.0% vs raw). The PIT KS drops to 0.104 after regression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-scaling, but the residual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deviation reflects an upward bias in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that a scalar rescaling cannot fix: regression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-scaling expands the predictive variance symmetrically around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 does not shift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predictive centre. Conformal prediction is the natural complementary tool here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because its intervals expand around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to contain the observed residuals, regardless of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where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itself sits.</w:t>
      </w:r>
    </w:p>
    <w:p>
      <w:pPr>
        <w:autoSpaceDN w:val="0"/>
        <w:tabs>
          <w:tab w:pos="2706" w:val="left"/>
        </w:tabs>
        <w:autoSpaceDE w:val="0"/>
        <w:widowControl/>
        <w:spacing w:line="284" w:lineRule="exact" w:before="314" w:after="0"/>
        <w:ind w:left="346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Selective prediction.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Filtering by MC Dropout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percentile and retaining only the 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>most confident fraction yields the curve in Figure 5.3. The 50% retention point reduces</w:t>
      </w:r>
    </w:p>
    <w:p>
      <w:pPr>
        <w:autoSpaceDN w:val="0"/>
        <w:autoSpaceDE w:val="0"/>
        <w:widowControl/>
        <w:spacing w:line="284" w:lineRule="exact" w:before="2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MAE by 41.2% to 2.32 veh/h; at 25% retention the reduction is 54.5%, and at 10% it is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73.4%.</w:t>
      </w:r>
    </w:p>
    <w:p>
      <w:pPr>
        <w:autoSpaceDN w:val="0"/>
        <w:autoSpaceDE w:val="0"/>
        <w:widowControl/>
        <w:spacing w:line="218" w:lineRule="exact" w:before="137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24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1536700</wp:posOffset>
            </wp:positionV>
            <wp:extent cx="4762500" cy="2654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5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240" w:lineRule="auto" w:before="534" w:after="0"/>
        <w:ind w:left="0" w:right="2288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13"/>
        </w:rPr>
        <w:t>Selective prediction: MAE vs uncertainty-based retention (T8)</w:t>
      </w:r>
    </w:p>
    <w:p>
      <w:pPr>
        <w:autoSpaceDN w:val="0"/>
        <w:tabs>
          <w:tab w:pos="1658" w:val="left"/>
        </w:tabs>
        <w:autoSpaceDE w:val="0"/>
        <w:widowControl/>
        <w:spacing w:line="283" w:lineRule="auto" w:before="118" w:after="130"/>
        <w:ind w:left="1010" w:right="5904" w:firstLine="0"/>
        <w:jc w:val="left"/>
      </w:pPr>
      <w:r>
        <w:tab/>
      </w:r>
      <w:r>
        <w:rPr>
          <w:w w:val="96.93163958462802"/>
          <w:rFonts w:ascii="DejaVu Serif" w:hAnsi="DejaVu Serif" w:eastAsia="DejaVu Serif"/>
          <w:b w:val="0"/>
          <w:i w:val="0"/>
          <w:color w:val="000000"/>
          <w:sz w:val="11"/>
        </w:rPr>
        <w:t xml:space="preserve">Selective MAE </w:t>
      </w:r>
      <w:r>
        <w:br/>
      </w:r>
      <w:r>
        <w:rPr>
          <w:w w:val="96.93163958462802"/>
          <w:rFonts w:ascii="DejaVu Serif" w:hAnsi="DejaVu Serif" w:eastAsia="DejaVu Serif"/>
          <w:b w:val="0"/>
          <w:i w:val="0"/>
          <w:color w:val="404040"/>
          <w:sz w:val="11"/>
        </w:rPr>
        <w:t xml:space="preserve">4.0 </w:t>
      </w:r>
      <w:r>
        <w:tab/>
      </w:r>
      <w:r>
        <w:rPr>
          <w:w w:val="96.93163958462802"/>
          <w:rFonts w:ascii="DejaVu Serif" w:hAnsi="DejaVu Serif" w:eastAsia="DejaVu Serif"/>
          <w:b w:val="0"/>
          <w:i w:val="0"/>
          <w:color w:val="000000"/>
          <w:sz w:val="11"/>
        </w:rPr>
        <w:t xml:space="preserve">Reduction vs baseline </w:t>
      </w:r>
      <w:r>
        <w:br/>
      </w:r>
      <w:r>
        <w:tab/>
      </w:r>
      <w:r>
        <w:rPr>
          <w:w w:val="96.93163958462802"/>
          <w:rFonts w:ascii="DejaVu Serif" w:hAnsi="DejaVu Serif" w:eastAsia="DejaVu Serif"/>
          <w:b w:val="0"/>
          <w:i w:val="0"/>
          <w:color w:val="000000"/>
          <w:sz w:val="11"/>
        </w:rPr>
        <w:t>Full-set MAE = 3.95 veh/h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33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8" w:after="0"/>
              <w:ind w:left="60" w:right="0" w:firstLine="0"/>
              <w:jc w:val="left"/>
            </w:pPr>
            <w:r>
              <w:rPr>
                <w:w w:val="98.7266699473063"/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MAE on retained nodes (veh/h)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" w:right="0" w:firstLine="0"/>
              <w:jc w:val="lef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3.5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6" w:after="0"/>
              <w:ind w:left="0" w:right="928" w:firstLine="0"/>
              <w:jc w:val="righ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E37222"/>
                <w:sz w:val="11"/>
              </w:rPr>
              <w:t>50% retained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422" w:firstLine="0"/>
              <w:jc w:val="righ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E37222"/>
                <w:sz w:val="11"/>
              </w:rPr>
              <w:t>90% retained</w:t>
            </w:r>
          </w:p>
        </w:tc>
      </w:tr>
      <w:tr>
        <w:trPr>
          <w:trHeight w:hRule="exact" w:val="440"/>
        </w:trPr>
        <w:tc>
          <w:tcPr>
            <w:tcW w:type="dxa" w:w="2256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30" w:right="0" w:firstLine="0"/>
              <w:jc w:val="lef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3.0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2256"/>
            <w:vMerge/>
            <w:tcBorders/>
          </w:tcPr>
          <w:p/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30" w:right="0" w:firstLine="0"/>
              <w:jc w:val="lef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2.5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558" w:firstLine="0"/>
              <w:jc w:val="righ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E37222"/>
                <w:sz w:val="11"/>
              </w:rPr>
              <w:t>MAE=3.23</w:t>
            </w:r>
          </w:p>
        </w:tc>
      </w:tr>
      <w:tr>
        <w:trPr>
          <w:trHeight w:hRule="exact" w:val="34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90" w:firstLine="0"/>
              <w:jc w:val="righ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E37222"/>
                <w:sz w:val="11"/>
              </w:rPr>
              <w:t>(-18.3%)</w:t>
            </w:r>
          </w:p>
        </w:tc>
      </w:tr>
      <w:tr>
        <w:trPr>
          <w:trHeight w:hRule="exact" w:val="340"/>
        </w:trPr>
        <w:tc>
          <w:tcPr>
            <w:tcW w:type="dxa" w:w="2256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30" w:right="0" w:firstLine="0"/>
              <w:jc w:val="lef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2.0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2256"/>
            <w:vMerge/>
            <w:tcBorders/>
          </w:tcPr>
          <w:p/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30" w:right="0" w:firstLine="0"/>
              <w:jc w:val="lef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1.5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1064" w:firstLine="0"/>
              <w:jc w:val="righ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E37222"/>
                <w:sz w:val="11"/>
              </w:rPr>
              <w:t>MAE=2.32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96" w:firstLine="0"/>
              <w:jc w:val="righ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E37222"/>
                <w:sz w:val="11"/>
              </w:rPr>
              <w:t>(-41.2%)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32" w:after="268"/>
        <w:ind w:left="1010" w:right="0" w:firstLine="0"/>
        <w:jc w:val="left"/>
      </w:pPr>
      <w:r>
        <w:rPr>
          <w:w w:val="96.93163958462802"/>
          <w:rFonts w:ascii="DejaVu Serif" w:hAnsi="DejaVu Serif" w:eastAsia="DejaVu Serif"/>
          <w:b w:val="0"/>
          <w:i w:val="0"/>
          <w:color w:val="404040"/>
          <w:sz w:val="11"/>
        </w:rPr>
        <w:t>1.0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2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0" w:firstLine="0"/>
              <w:jc w:val="righ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0.5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28" w:right="0" w:firstLine="0"/>
              <w:jc w:val="left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0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20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40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60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80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w w:val="96.93163958462802"/>
                <w:rFonts w:ascii="DejaVu Serif" w:hAnsi="DejaVu Serif" w:eastAsia="DejaVu Serif"/>
                <w:b w:val="0"/>
                <w:i w:val="0"/>
                <w:color w:val="404040"/>
                <w:sz w:val="11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3674" w:firstLine="0"/>
        <w:jc w:val="right"/>
      </w:pPr>
      <w:r>
        <w:rPr>
          <w:w w:val="98.7266699473063"/>
          <w:rFonts w:ascii="DejaVu Serif" w:hAnsi="DejaVu Serif" w:eastAsia="DejaVu Serif"/>
          <w:b w:val="0"/>
          <w:i w:val="0"/>
          <w:color w:val="000000"/>
          <w:sz w:val="12"/>
        </w:rPr>
        <w:t>Retention fraction (%)</w:t>
      </w:r>
    </w:p>
    <w:p>
      <w:pPr>
        <w:autoSpaceDN w:val="0"/>
        <w:autoSpaceDE w:val="0"/>
        <w:widowControl/>
        <w:spacing w:line="218" w:lineRule="exact" w:before="32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Figure 5.3.: Selective prediction curve. Annotations mark 50% and 90% retention.</w:t>
      </w:r>
    </w:p>
    <w:p>
      <w:pPr>
        <w:autoSpaceDN w:val="0"/>
        <w:tabs>
          <w:tab w:pos="2144" w:val="left"/>
        </w:tabs>
        <w:autoSpaceDE w:val="0"/>
        <w:widowControl/>
        <w:spacing w:line="284" w:lineRule="exact" w:before="416" w:after="0"/>
        <w:ind w:left="340" w:right="288" w:firstLine="0"/>
        <w:jc w:val="left"/>
      </w:pPr>
      <w:r>
        <w:rPr>
          <w:w w:val="98.1768868186257"/>
          <w:rFonts w:ascii="URWPalladioL" w:hAnsi="URWPalladioL" w:eastAsia="URWPalladioL"/>
          <w:b/>
          <w:i w:val="0"/>
          <w:color w:val="000000"/>
          <w:sz w:val="22"/>
        </w:rPr>
        <w:t xml:space="preserve">Error detection.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Treating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as a classifier of large errors gives an AUROC of 0.7548 at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top-10% threshold and 0.7324 at the top-20%, both computed on the full 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500-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node test set. Both metrics replicate on Trial 7 (0.7416 and 0.7151; see the footnote in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Section 5.2). One caveat for both AUROC and the selective-prediction MAE reduction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is the high zero-mass in the target: 88.7% of test nodes have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0, so a model that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predicts near zero with low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is trivially correct for the bulk of the test set; the effect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is that AUROC and MAE-on-retained-nodes both look stronger than they would on a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balanced subset, and the policy-relevant Q4 stratum (Section 5.10) remains the more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demanding regime.</w:t>
      </w:r>
    </w:p>
    <w:p>
      <w:pPr>
        <w:autoSpaceDN w:val="0"/>
        <w:autoSpaceDE w:val="0"/>
        <w:widowControl/>
        <w:spacing w:line="286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5.6. Ensemble Experiments</w:t>
      </w:r>
    </w:p>
    <w:p>
      <w:pPr>
        <w:autoSpaceDN w:val="0"/>
        <w:tabs>
          <w:tab w:pos="5768" w:val="left"/>
        </w:tabs>
        <w:autoSpaceDE w:val="0"/>
        <w:widowControl/>
        <w:spacing w:line="284" w:lineRule="exact" w:before="218" w:after="0"/>
        <w:ind w:left="346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Single-architecture ensembles (Experiments A, B).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MC Dropout averaged over 5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inference seeds (Experiment A) gives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0.4908; the seed-ensemble variance gives</w:t>
      </w:r>
      <w:r>
        <w:rPr>
          <w:rFonts w:ascii="PazoMath" w:hAnsi="PazoMath" w:eastAsia="PazoMath"/>
          <w:b w:val="0"/>
          <w:i/>
          <w:color w:val="000000"/>
          <w:sz w:val="22"/>
        </w:rPr>
        <w:t>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0.4370 (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≈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11.0% relative drop from MC averaging); their quadrature combination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gives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0.4909, indistinguishable from MC Dropout alone. The multi-model ensemble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of T2/T5/T6/T7/T8 (Experiment B,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-weighted) gives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0.4333 and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0.5656,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below the best single model (T8,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0.5957) because averaging across models of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uneven quality dilutes the strongest predictor.</w:t>
      </w:r>
    </w:p>
    <w:p>
      <w:pPr>
        <w:autoSpaceDN w:val="0"/>
        <w:autoSpaceDE w:val="0"/>
        <w:widowControl/>
        <w:spacing w:line="218" w:lineRule="exact" w:before="128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25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56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4513"/>
        <w:gridCol w:w="4513"/>
      </w:tblGrid>
      <w:tr>
        <w:trPr>
          <w:trHeight w:hRule="exact" w:val="714"/>
        </w:trPr>
        <w:tc>
          <w:tcPr>
            <w:tcW w:type="dxa" w:w="261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70" w:after="0"/>
              <w:ind w:left="4" w:right="0" w:firstLine="0"/>
              <w:jc w:val="left"/>
            </w:pPr>
            <w:r>
              <w:rPr>
                <w:w w:val="98.1768868186257"/>
                <w:rFonts w:ascii="URWPalladioL" w:hAnsi="URWPalladioL" w:eastAsia="URWPalladioL"/>
                <w:b/>
                <w:i w:val="0"/>
                <w:color w:val="000000"/>
                <w:sz w:val="22"/>
              </w:rPr>
              <w:t>Deep Ensemble (Trial D).</w:t>
            </w:r>
          </w:p>
        </w:tc>
        <w:tc>
          <w:tcPr>
            <w:tcW w:type="dxa" w:w="5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72" w:after="0"/>
              <w:ind w:left="154" w:right="0" w:firstLine="0"/>
              <w:jc w:val="left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Five PointNetTransfGAT models with T8 hyperparameters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340" w:right="338" w:firstLine="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and seeds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{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42, 137, 256, 389, 512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}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form the strongest GNN-based UQ-capable point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predictor: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>6841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(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+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14.8% over T8), MAE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3.485, RMSE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6.293 veh/h. Member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values lie in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0.640, 0.650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, so the ensemble mean exceeds every member. Uncertainty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signal is weaker than MC Dropout: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0.3997 (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17.1%),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15.18. Chapter 6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discusses this complementarity.</w:t>
      </w:r>
    </w:p>
    <w:p>
      <w:pPr>
        <w:autoSpaceDN w:val="0"/>
        <w:tabs>
          <w:tab w:pos="2730" w:val="left"/>
        </w:tabs>
        <w:autoSpaceDE w:val="0"/>
        <w:widowControl/>
        <w:spacing w:line="245" w:lineRule="auto" w:before="258" w:after="0"/>
        <w:ind w:left="1194" w:right="2160" w:firstLine="0"/>
        <w:jc w:val="left"/>
      </w:pPr>
      <w:r>
        <w:tab/>
      </w:r>
      <w:r>
        <w:rPr>
          <w:w w:val="102.39256450108118"/>
          <w:rFonts w:ascii="DejaVu Serif" w:hAnsi="DejaVu Serif" w:eastAsia="DejaVu Serif"/>
          <w:b w:val="0"/>
          <w:i w:val="0"/>
          <w:color w:val="000000"/>
          <w:sz w:val="14"/>
        </w:rPr>
        <w:t xml:space="preserve">Deep ensemble: mean exceeds every individual member </w:t>
      </w:r>
      <w:r>
        <w:rPr>
          <w:rFonts w:ascii="DejaVu Serif" w:hAnsi="DejaVu Serif" w:eastAsia="DejaVu Serif"/>
          <w:b w:val="0"/>
          <w:i w:val="0"/>
          <w:color w:val="000000"/>
          <w:sz w:val="12"/>
        </w:rPr>
        <w:t>0.72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</w:tblGrid>
      <w:tr>
        <w:trPr>
          <w:trHeight w:hRule="exact" w:val="325"/>
        </w:trPr>
        <w:tc>
          <w:tcPr>
            <w:tcW w:type="dxa" w:w="12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0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0.70</w:t>
            </w:r>
          </w:p>
          <w:p>
            <w:pPr>
              <w:autoSpaceDN w:val="0"/>
              <w:autoSpaceDE w:val="0"/>
              <w:widowControl/>
              <w:spacing w:line="238" w:lineRule="auto" w:before="188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0.68</w:t>
            </w:r>
          </w:p>
          <w:p>
            <w:pPr>
              <w:autoSpaceDN w:val="0"/>
              <w:autoSpaceDE w:val="0"/>
              <w:widowControl/>
              <w:spacing w:line="238" w:lineRule="auto" w:before="188" w:after="5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0.66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8.0000000000001" w:type="dxa"/>
            </w:tblPr>
            <w:tblGrid>
              <w:gridCol w:w="600"/>
              <w:gridCol w:w="600"/>
            </w:tblGrid>
            <w:tr>
              <w:trPr>
                <w:trHeight w:hRule="exact" w:val="662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322" w:after="0"/>
                    <w:ind w:left="128" w:right="0" w:firstLine="0"/>
                    <w:jc w:val="left"/>
                  </w:pPr>
                  <w:r>
                    <w:rPr>
                      <w:w w:val="101.0798454284668"/>
                      <w:rFonts w:ascii="DejaVu Serif" w:hAnsi="DejaVu Serif" w:eastAsia="DejaVu Serif"/>
                      <w:b w:val="0"/>
                      <w:i w:val="0"/>
                      <w:color w:val="000000"/>
                      <w:sz w:val="13"/>
                    </w:rPr>
                    <w:t xml:space="preserve">Test </w:t>
                  </w:r>
                  <w:r>
                    <w:rPr>
                      <w:w w:val="101.0798454284668"/>
                      <w:rFonts w:ascii="DejaVu Sans" w:hAnsi="DejaVu Sans" w:eastAsia="DejaVu Sans"/>
                      <w:b w:val="0"/>
                      <w:i/>
                      <w:color w:val="000000"/>
                      <w:sz w:val="13"/>
                    </w:rPr>
                    <w:t>R</w:t>
                  </w:r>
                  <w:r>
                    <w:rPr>
                      <w:w w:val="102.20294528537326"/>
                      <w:rFonts w:ascii="DejaVu Sans" w:hAnsi="DejaVu Sans" w:eastAsia="DejaVu Sans"/>
                      <w:b w:val="0"/>
                      <w:i w:val="0"/>
                      <w:color w:val="000000"/>
                      <w:sz w:val="9"/>
                    </w:rPr>
                    <w:t>2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3" w:lineRule="auto" w:before="136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000000"/>
                      <w:sz w:val="12"/>
                    </w:rPr>
                    <w:t xml:space="preserve">0.64 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000000"/>
                      <w:sz w:val="12"/>
                    </w:rPr>
                    <w:t>0.62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2" w:lineRule="auto" w:before="126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0.60</w:t>
            </w:r>
          </w:p>
          <w:p>
            <w:pPr>
              <w:autoSpaceDN w:val="0"/>
              <w:autoSpaceDE w:val="0"/>
              <w:widowControl/>
              <w:spacing w:line="242" w:lineRule="auto" w:before="186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0.58</w:t>
            </w:r>
          </w:p>
          <w:p>
            <w:pPr>
              <w:autoSpaceDN w:val="0"/>
              <w:autoSpaceDE w:val="0"/>
              <w:widowControl/>
              <w:spacing w:line="242" w:lineRule="auto" w:before="186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0.56</w:t>
            </w:r>
          </w:p>
          <w:p>
            <w:pPr>
              <w:autoSpaceDN w:val="0"/>
              <w:autoSpaceDE w:val="0"/>
              <w:widowControl/>
              <w:spacing w:line="218" w:lineRule="exact" w:before="572" w:after="0"/>
              <w:ind w:left="0" w:right="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Figu</w:t>
            </w:r>
          </w:p>
          <w:p>
            <w:pPr>
              <w:autoSpaceDN w:val="0"/>
              <w:autoSpaceDE w:val="0"/>
              <w:widowControl/>
              <w:spacing w:line="286" w:lineRule="exact" w:before="728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5.7. Trial</w:t>
            </w:r>
          </w:p>
          <w:p>
            <w:pPr>
              <w:autoSpaceDN w:val="0"/>
              <w:autoSpaceDE w:val="0"/>
              <w:widowControl/>
              <w:spacing w:line="288" w:lineRule="exact" w:before="216" w:after="0"/>
              <w:ind w:left="6" w:right="0" w:hanging="6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T9 freezes t </w:t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under Gauss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0.4991 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proves 4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×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to </w:t>
            </w: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with a small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ˆ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µ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[22]. T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¯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alea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/¯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epi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inflation c</w:t>
            </w:r>
          </w:p>
          <w:p>
            <w:pPr>
              <w:autoSpaceDN w:val="0"/>
              <w:autoSpaceDE w:val="0"/>
              <w:widowControl/>
              <w:spacing w:line="288" w:lineRule="exact" w:before="446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5.8. Trial</w:t>
            </w:r>
          </w:p>
          <w:p>
            <w:pPr>
              <w:autoSpaceDN w:val="0"/>
              <w:autoSpaceDE w:val="0"/>
              <w:widowControl/>
              <w:spacing w:line="284" w:lineRule="exact" w:before="218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Trial 10 fine-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T8’s learning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split as Tria</w:t>
            </w:r>
          </w:p>
        </w:tc>
        <w:tc>
          <w:tcPr>
            <w:tcW w:type="dxa" w:w="702"/>
            <w:gridSpan w:val="2"/>
            <w:tcBorders>
              <w:start w:sz="3.8226559162139893" w:val="single" w:color="#333332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gridSpan w:val="3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gridSpan w:val="3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gridSpan w:val="3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4"/>
            <w:gridSpan w:val="3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4"/>
            <w:gridSpan w:val="3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72"/>
            <w:gridSpan w:val="2"/>
            <w:tcBorders>
              <w:start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9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02"/>
            <w:gridSpan w:val="2"/>
            <w:vMerge w:val="restart"/>
            <w:tcBorders>
              <w:start w:sz="3.8226559162139893" w:val="single" w:color="#333332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gridSpan w:val="3"/>
            <w:vMerge w:val="restart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gridSpan w:val="3"/>
            <w:vMerge w:val="restart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gridSpan w:val="3"/>
            <w:vMerge w:val="restart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4"/>
            <w:gridSpan w:val="3"/>
            <w:vMerge w:val="restart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2.389159917831421" w:val="single" w:color="#CBCCCB"/>
              <w:end w:sz="2.389159917831421" w:val="single" w:color="#CBCCCB"/>
              <w:bottom w:sz="3.82265591621398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8" w:after="0"/>
              <w:ind w:left="0" w:right="0" w:firstLine="0"/>
              <w:jc w:val="right"/>
            </w:pP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0.6</w:t>
            </w:r>
          </w:p>
        </w:tc>
        <w:tc>
          <w:tcPr>
            <w:tcW w:type="dxa" w:w="1372"/>
            <w:gridSpan w:val="2"/>
            <w:tcBorders>
              <w:start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0" w:after="0"/>
              <w:ind w:left="16" w:right="0" w:firstLine="0"/>
              <w:jc w:val="left"/>
            </w:pP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84</w:t>
            </w:r>
          </w:p>
        </w:tc>
      </w:tr>
      <w:tr>
        <w:trPr>
          <w:trHeight w:hRule="exact" w:val="68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02"/>
            <w:gridSpan w:val="2"/>
            <w:vMerge/>
            <w:tcBorders>
              <w:start w:sz="3.8226559162139893" w:val="single" w:color="#333332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</w:tcPr>
          <w:p/>
        </w:tc>
        <w:tc>
          <w:tcPr>
            <w:tcW w:type="dxa" w:w="1353"/>
            <w:gridSpan w:val="3"/>
            <w:vMerge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</w:tcPr>
          <w:p/>
        </w:tc>
        <w:tc>
          <w:tcPr>
            <w:tcW w:type="dxa" w:w="1353"/>
            <w:gridSpan w:val="3"/>
            <w:vMerge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</w:tcPr>
          <w:p/>
        </w:tc>
        <w:tc>
          <w:tcPr>
            <w:tcW w:type="dxa" w:w="1353"/>
            <w:gridSpan w:val="3"/>
            <w:vMerge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</w:tcPr>
          <w:p/>
        </w:tc>
        <w:tc>
          <w:tcPr>
            <w:tcW w:type="dxa" w:w="1353"/>
            <w:gridSpan w:val="3"/>
            <w:vMerge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</w:tcPr>
          <w:p/>
        </w:tc>
        <w:tc>
          <w:tcPr>
            <w:tcW w:type="dxa" w:w="406"/>
            <w:tcBorders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3.8226559162139893" w:val="single" w:color="#000000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top w:sz="3.8226559162139893" w:val="single" w:color="#000000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02"/>
            <w:gridSpan w:val="2"/>
            <w:tcBorders>
              <w:start w:sz="3.8226559162139893" w:val="single" w:color="#333332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gridSpan w:val="3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gridSpan w:val="3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gridSpan w:val="3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4"/>
            <w:gridSpan w:val="3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gridSpan w:val="2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4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02"/>
            <w:gridSpan w:val="2"/>
            <w:vMerge w:val="restart"/>
            <w:tcBorders>
              <w:start w:sz="3.8226559162139893" w:val="single" w:color="#333332"/>
              <w:top w:sz="2.389159917831421" w:val="single" w:color="#CBCCCB"/>
              <w:end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70" w:after="0"/>
              <w:ind w:left="0" w:right="0" w:firstLine="0"/>
              <w:jc w:val="right"/>
            </w:pP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0.6</w:t>
            </w:r>
          </w:p>
        </w:tc>
        <w:tc>
          <w:tcPr>
            <w:tcW w:type="dxa" w:w="404"/>
            <w:tcBorders>
              <w:start w:sz="2.389159917831421" w:val="single" w:color="#CBCCCB"/>
              <w:top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2.389159917831421" w:val="single" w:color="#CBCCCB"/>
              <w:end w:sz="2.389159917831421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8" w:after="0"/>
              <w:ind w:left="0" w:right="0" w:firstLine="0"/>
              <w:jc w:val="right"/>
            </w:pP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0.6</w:t>
            </w:r>
          </w:p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8" w:after="0"/>
              <w:ind w:left="16" w:right="0" w:firstLine="0"/>
              <w:jc w:val="left"/>
            </w:pP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46</w:t>
            </w:r>
          </w:p>
        </w:tc>
        <w:tc>
          <w:tcPr>
            <w:tcW w:type="dxa" w:w="202"/>
            <w:tcBorders>
              <w:top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8"/>
            <w:tcBorders>
              <w:top w:sz="2.389159917831421" w:val="single" w:color="#CBCCCB"/>
              <w:end w:sz="2.389159917831421" w:val="single" w:color="#CBCCCB"/>
              <w:bottom w:sz="3.82265591621398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right"/>
            </w:pP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0.6</w:t>
            </w:r>
          </w:p>
        </w:tc>
        <w:tc>
          <w:tcPr>
            <w:tcW w:type="dxa" w:w="1012"/>
            <w:gridSpan w:val="3"/>
            <w:tcBorders>
              <w:start w:sz="2.389159917831421" w:val="single" w:color="#CBCCCB"/>
              <w:top w:sz="2.389159917831421" w:val="single" w:color="#CBCCCB"/>
              <w:end w:sz="2.389159917831421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6" w:val="left"/>
              </w:tabs>
              <w:autoSpaceDE w:val="0"/>
              <w:widowControl/>
              <w:spacing w:line="326" w:lineRule="auto" w:before="2" w:after="0"/>
              <w:ind w:left="14" w:right="0" w:firstLine="0"/>
              <w:jc w:val="left"/>
            </w:pP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 xml:space="preserve">50 </w:t>
            </w:r>
            <w:r>
              <w:tab/>
            </w: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0.6</w:t>
            </w:r>
          </w:p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8" w:after="0"/>
              <w:ind w:left="16" w:right="0" w:firstLine="0"/>
              <w:jc w:val="left"/>
            </w:pP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47</w:t>
            </w:r>
          </w:p>
        </w:tc>
        <w:tc>
          <w:tcPr>
            <w:tcW w:type="dxa" w:w="202"/>
            <w:tcBorders>
              <w:top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top w:sz="2.389159917831421" w:val="single" w:color="#CBCCCB"/>
              <w:end w:sz="2.389159917831421" w:val="single" w:color="#CBCCCB"/>
              <w:bottom w:sz="3.82265591621398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right"/>
            </w:pP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0.6</w:t>
            </w:r>
          </w:p>
        </w:tc>
        <w:tc>
          <w:tcPr>
            <w:tcW w:type="dxa" w:w="610"/>
            <w:gridSpan w:val="2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16" w:right="0" w:firstLine="0"/>
              <w:jc w:val="left"/>
            </w:pP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49</w:t>
            </w:r>
          </w:p>
        </w:tc>
        <w:tc>
          <w:tcPr>
            <w:tcW w:type="dxa" w:w="404"/>
            <w:vMerge w:val="restart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vMerge w:val="restart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02"/>
            <w:gridSpan w:val="2"/>
            <w:vMerge/>
            <w:tcBorders>
              <w:start w:sz="3.8226559162139893" w:val="single" w:color="#333332"/>
              <w:top w:sz="2.389159917831421" w:val="single" w:color="#CBCCCB"/>
              <w:end w:sz="2.389159917831421" w:val="single" w:color="#CBCCCB"/>
            </w:tcBorders>
          </w:tcPr>
          <w:p/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bottom w:sz="3.822655916213989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bottom w:sz="3.822655916213989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8"/>
            <w:vMerge w:val="restart"/>
            <w:tcBorders>
              <w:start w:sz="3.8226559162139893" w:val="single" w:color="#000000"/>
              <w:top w:sz="3.8226559162139893" w:val="single" w:color="#000000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vMerge w:val="restart"/>
            <w:tcBorders>
              <w:start w:sz="2.389159917831421" w:val="single" w:color="#CBCCCB"/>
              <w:top w:sz="3.8226559162139893" w:val="single" w:color="#000000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bottom w:sz="3.822655916213989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vMerge w:val="restart"/>
            <w:tcBorders>
              <w:start w:sz="3.8226559162139893" w:val="single" w:color="#000000"/>
              <w:top w:sz="3.8226559162139893" w:val="single" w:color="#000000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vMerge w:val="restart"/>
            <w:tcBorders>
              <w:start w:sz="2.389159917831421" w:val="single" w:color="#CBCCCB"/>
              <w:top w:sz="3.8226559162139893" w:val="single" w:color="#000000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vMerge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</w:tcPr>
          <w:p/>
        </w:tc>
        <w:tc>
          <w:tcPr>
            <w:tcW w:type="dxa" w:w="451"/>
            <w:vMerge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0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02"/>
            <w:gridSpan w:val="2"/>
            <w:vMerge/>
            <w:tcBorders>
              <w:start w:sz="3.8226559162139893" w:val="single" w:color="#333332"/>
              <w:top w:sz="2.389159917831421" w:val="single" w:color="#CBCCCB"/>
              <w:end w:sz="2.389159917831421" w:val="single" w:color="#CBCCCB"/>
            </w:tcBorders>
          </w:tcPr>
          <w:p/>
        </w:tc>
        <w:tc>
          <w:tcPr>
            <w:tcW w:type="dxa" w:w="404"/>
            <w:tcBorders>
              <w:start w:sz="2.389159917831421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4" w:right="0" w:firstLine="0"/>
              <w:jc w:val="left"/>
            </w:pPr>
            <w:r>
              <w:rPr>
                <w:w w:val="97.73836135864258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40</w:t>
            </w:r>
          </w:p>
        </w:tc>
        <w:tc>
          <w:tcPr>
            <w:tcW w:type="dxa" w:w="204"/>
            <w:tcBorders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3.8226559162139893" w:val="single" w:color="#000000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vMerge/>
            <w:tcBorders>
              <w:start w:sz="3.8226559162139893" w:val="single" w:color="#000000"/>
              <w:top w:sz="3.8226559162139893" w:val="single" w:color="#000000"/>
              <w:end w:sz="2.389159917831421" w:val="single" w:color="#CBCCCB"/>
              <w:bottom w:sz="2.389159917831421" w:val="single" w:color="#CBCCCB"/>
            </w:tcBorders>
          </w:tcPr>
          <w:p/>
        </w:tc>
        <w:tc>
          <w:tcPr>
            <w:tcW w:type="dxa" w:w="451"/>
            <w:vMerge/>
            <w:tcBorders>
              <w:start w:sz="2.389159917831421" w:val="single" w:color="#CBCCCB"/>
              <w:top w:sz="3.8226559162139893" w:val="single" w:color="#000000"/>
              <w:end w:sz="3.8226559162139893" w:val="single" w:color="#000000"/>
              <w:bottom w:sz="2.389159917831421" w:val="single" w:color="#CBCCCB"/>
            </w:tcBorders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3.8226559162139893" w:val="single" w:color="#000000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3.8226559162139893" w:val="single" w:color="#000000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vMerge/>
            <w:tcBorders>
              <w:start w:sz="3.8226559162139893" w:val="single" w:color="#000000"/>
              <w:top w:sz="3.8226559162139893" w:val="single" w:color="#000000"/>
              <w:end w:sz="2.389159917831421" w:val="single" w:color="#CBCCCB"/>
              <w:bottom w:sz="2.389159917831421" w:val="single" w:color="#CBCCCB"/>
            </w:tcBorders>
          </w:tcPr>
          <w:p/>
        </w:tc>
        <w:tc>
          <w:tcPr>
            <w:tcW w:type="dxa" w:w="451"/>
            <w:vMerge/>
            <w:tcBorders>
              <w:start w:sz="2.389159917831421" w:val="single" w:color="#CBCCCB"/>
              <w:top w:sz="3.8226559162139893" w:val="single" w:color="#000000"/>
              <w:end w:sz="3.8226559162139893" w:val="single" w:color="#000000"/>
              <w:bottom w:sz="2.389159917831421" w:val="single" w:color="#CBCCCB"/>
            </w:tcBorders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vMerge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</w:tcPr>
          <w:p/>
        </w:tc>
        <w:tc>
          <w:tcPr>
            <w:tcW w:type="dxa" w:w="451"/>
            <w:vMerge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9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96"/>
            <w:tcBorders>
              <w:start w:sz="3.8226559162139893" w:val="single" w:color="#333332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3.8226559162139893" w:val="single" w:color="#000000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8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5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96"/>
            <w:tcBorders>
              <w:start w:sz="3.8226559162139893" w:val="single" w:color="#333332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8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96"/>
            <w:tcBorders>
              <w:top w:sz="2.389159917831421" w:val="single" w:color="#CBCCCB"/>
              <w:bottom w:sz="4.300487518310547" w:val="single" w:color="#7F8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top w:sz="2.389159917831421" w:val="single" w:color="#CBCCCB"/>
              <w:bottom w:sz="4.300487518310547" w:val="single" w:color="#7F807F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2.389159917831421" w:val="single" w:color="#CBCCCB"/>
              <w:bottom w:sz="4.300487518310547" w:val="single" w:color="#7F807F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2.389159917831421" w:val="single" w:color="#CBCCCB"/>
              <w:bottom w:sz="4.300487518310547" w:val="single" w:color="#7F8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2.389159917831421" w:val="single" w:color="#CBCCCB"/>
              <w:bottom w:sz="4.300487518310547" w:val="single" w:color="#7F807F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top w:sz="2.389159917831421" w:val="single" w:color="#CBCCCB"/>
              <w:bottom w:sz="4.300487518310547" w:val="single" w:color="#7F807F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top w:sz="2.389159917831421" w:val="single" w:color="#CBCCCB"/>
              <w:bottom w:sz="4.300487518310547" w:val="single" w:color="#7F8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8"/>
            <w:tcBorders>
              <w:top w:sz="2.389159917831421" w:val="single" w:color="#CBCCCB"/>
              <w:bottom w:sz="4.300487518310547" w:val="single" w:color="#7F807F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2.389159917831421" w:val="single" w:color="#CBCCCB"/>
              <w:bottom w:sz="4.300487518310547" w:val="single" w:color="#7F807F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2.389159917831421" w:val="single" w:color="#CBCCCB"/>
              <w:bottom w:sz="4.300487518310547" w:val="single" w:color="#7F8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2.389159917831421" w:val="single" w:color="#CBCCCB"/>
              <w:bottom w:sz="4.300487518310547" w:val="single" w:color="#7F807F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top w:sz="2.389159917831421" w:val="single" w:color="#CBCCCB"/>
              <w:bottom w:sz="4.300487518310547" w:val="single" w:color="#7F807F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top w:sz="2.389159917831421" w:val="single" w:color="#CBCCCB"/>
              <w:bottom w:sz="4.300487518310547" w:val="single" w:color="#7F8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top w:sz="2.389159917831421" w:val="single" w:color="#CBCCCB"/>
              <w:bottom w:sz="4.300487518310547" w:val="single" w:color="#7F807F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top w:sz="2.389159917831421" w:val="single" w:color="#CBCCCB"/>
              <w:bottom w:sz="4.300487518310547" w:val="single" w:color="#7F807F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2.389159917831421" w:val="single" w:color="#CBCCCB"/>
              <w:bottom w:sz="4.300487518310547" w:val="single" w:color="#7F8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2.389159917831421" w:val="single" w:color="#CBCCCB"/>
              <w:bottom w:sz="4.300487518310547" w:val="single" w:color="#7F807F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top w:sz="2.389159917831421" w:val="single" w:color="#CBCCCB"/>
              <w:bottom w:sz="4.300487518310547" w:val="single" w:color="#7F807F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6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96"/>
            <w:tcBorders>
              <w:start w:sz="3.8226559162139893" w:val="single" w:color="#333332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3.8226559162139893" w:val="single" w:color="#000000"/>
              <w:top w:sz="4.300487518310547" w:val="single" w:color="#7F807F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2.389159917831421" w:val="single" w:color="#CBCCCB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4.300487518310547" w:val="single" w:color="#7F807F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8"/>
            <w:tcBorders>
              <w:start w:sz="3.8226559162139893" w:val="single" w:color="#000000"/>
              <w:top w:sz="4.300487518310547" w:val="single" w:color="#7F807F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2.389159917831421" w:val="single" w:color="#CBCCCB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4.300487518310547" w:val="single" w:color="#7F807F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3.8226559162139893" w:val="single" w:color="#000000"/>
              <w:top w:sz="4.300487518310547" w:val="single" w:color="#7F807F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4.300487518310547" w:val="single" w:color="#7F807F"/>
              <w:end w:sz="2.389159917831421" w:val="single" w:color="#CBCCCB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4" w:firstLine="0"/>
              <w:jc w:val="right"/>
            </w:pPr>
            <w:r>
              <w:rPr>
                <w:w w:val="95.56639671325684"/>
                <w:rFonts w:ascii="DejaVu Serif" w:hAnsi="DejaVu Serif" w:eastAsia="DejaVu Serif"/>
                <w:b w:val="0"/>
                <w:i w:val="0"/>
                <w:color w:val="808080"/>
                <w:sz w:val="10"/>
              </w:rPr>
              <w:t>T8</w:t>
            </w:r>
          </w:p>
        </w:tc>
        <w:tc>
          <w:tcPr>
            <w:tcW w:type="dxa" w:w="406"/>
            <w:tcBorders>
              <w:start w:sz="2.389159917831421" w:val="single" w:color="#CBCCCB"/>
              <w:top w:sz="4.300487518310547" w:val="single" w:color="#7F807F"/>
              <w:end w:sz="3.8226559162139893" w:val="single" w:color="#000000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2" w:right="0" w:firstLine="0"/>
              <w:jc w:val="left"/>
            </w:pPr>
            <w:r>
              <w:rPr>
                <w:w w:val="95.56639671325684"/>
                <w:rFonts w:ascii="DejaVu Serif" w:hAnsi="DejaVu Serif" w:eastAsia="DejaVu Serif"/>
                <w:b w:val="0"/>
                <w:i w:val="0"/>
                <w:color w:val="808080"/>
                <w:sz w:val="10"/>
              </w:rPr>
              <w:t>single</w:t>
            </w:r>
          </w:p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96"/>
            <w:tcBorders>
              <w:start w:sz="3.8226559162139893" w:val="single" w:color="#333332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8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2.389159917831421" w:val="single" w:color="#CBCCCB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2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96"/>
            <w:tcBorders>
              <w:start w:sz="3.8226559162139893" w:val="single" w:color="#333332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3.8226559162139893" w:val="single" w:color="#333332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3.8226559162139893" w:val="single" w:color="#333332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8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3.8226559162139893" w:val="single" w:color="#333332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3.8226559162139893" w:val="single" w:color="#333332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3.8226559162139893" w:val="single" w:color="#333332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shd w:fill="8db8d6"/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start w:sz="3.8226559162139893" w:val="single" w:color="#000000"/>
              <w:top w:sz="2.389159917831421" w:val="single" w:color="#CBCCCB"/>
              <w:end w:sz="2.389159917831421" w:val="single" w:color="#CBCCCB"/>
              <w:bottom w:sz="3.8226559162139893" w:val="single" w:color="#333332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tcBorders>
              <w:start w:sz="2.389159917831421" w:val="single" w:color="#CBCCCB"/>
              <w:top w:sz="2.389159917831421" w:val="single" w:color="#CBCCCB"/>
              <w:end w:sz="3.8226559162139893" w:val="single" w:color="#000000"/>
              <w:bottom w:sz="3.8226559162139893" w:val="single" w:color="#333332"/>
            </w:tcBorders>
            <w:shd w:fill="e89759"/>
            <w:tcMar>
              <w:start w:w="0" w:type="dxa"/>
              <w:end w:w="0" w:type="dxa"/>
            </w:tcMar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58"/>
        </w:trPr>
        <w:tc>
          <w:tcPr>
            <w:tcW w:type="dxa" w:w="4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gridSpan w:val="2"/>
            <w:tcBorders>
              <w:start w:sz="3.8226559162139893" w:val="single" w:color="#000000"/>
              <w:top w:sz="3.8226559162139893" w:val="single" w:color="#333332"/>
              <w:end w:sz="3.8226559162139893" w:val="single" w:color="#000000"/>
              <w:bottom w:sz="3.184000015258789" w:val="single" w:color="#000000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Seed 42</w:t>
            </w:r>
          </w:p>
          <w:p>
            <w:pPr>
              <w:autoSpaceDN w:val="0"/>
              <w:autoSpaceDE w:val="0"/>
              <w:widowControl/>
              <w:spacing w:line="218" w:lineRule="exact" w:before="2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5.4.: Dee</w:t>
            </w:r>
          </w:p>
          <w:p>
            <w:pPr>
              <w:autoSpaceDN w:val="0"/>
              <w:autoSpaceDE w:val="0"/>
              <w:widowControl/>
              <w:spacing w:line="286" w:lineRule="exact" w:before="728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 xml:space="preserve"> Heter</w:t>
            </w:r>
          </w:p>
          <w:p>
            <w:pPr>
              <w:autoSpaceDN w:val="0"/>
              <w:tabs>
                <w:tab w:pos="42" w:val="left"/>
                <w:tab w:pos="60" w:val="left"/>
                <w:tab w:pos="66" w:val="left"/>
                <w:tab w:pos="68" w:val="left"/>
                <w:tab w:pos="84" w:val="left"/>
              </w:tabs>
              <w:autoSpaceDE w:val="0"/>
              <w:widowControl/>
              <w:spacing w:line="284" w:lineRule="exact" w:before="22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T8 backb</w:t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NLL. T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isses the 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 The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R </w:t>
            </w: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ad, the g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decomp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4); whet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ot be se</w:t>
            </w:r>
          </w:p>
          <w:p>
            <w:pPr>
              <w:autoSpaceDN w:val="0"/>
              <w:autoSpaceDE w:val="0"/>
              <w:widowControl/>
              <w:spacing w:line="288" w:lineRule="exact" w:before="464" w:after="0"/>
              <w:ind w:left="60" w:right="0" w:firstLine="0"/>
              <w:jc w:val="left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: CQR</w:t>
            </w:r>
          </w:p>
          <w:p>
            <w:pPr>
              <w:autoSpaceDN w:val="0"/>
              <w:tabs>
                <w:tab w:pos="50" w:val="left"/>
              </w:tabs>
              <w:autoSpaceDE w:val="0"/>
              <w:widowControl/>
              <w:spacing w:line="284" w:lineRule="exact" w:before="218" w:after="0"/>
              <w:ind w:left="0" w:right="0" w:firstLine="0"/>
              <w:jc w:val="left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es the fu 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te (5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×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1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. The m</w:t>
            </w:r>
          </w:p>
        </w:tc>
        <w:tc>
          <w:tcPr>
            <w:tcW w:type="dxa" w:w="204"/>
            <w:tcBorders>
              <w:start w:sz="3.8226559162139893" w:val="single" w:color="#000000"/>
              <w:top w:sz="3.8226559162139893" w:val="single" w:color="#333332"/>
              <w:end w:sz="3.8226559162139893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p </w:t>
            </w:r>
          </w:p>
          <w:p>
            <w:pPr>
              <w:autoSpaceDN w:val="0"/>
              <w:autoSpaceDE w:val="0"/>
              <w:widowControl/>
              <w:spacing w:line="286" w:lineRule="exact" w:before="728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o</w:t>
            </w:r>
          </w:p>
          <w:p>
            <w:pPr>
              <w:autoSpaceDN w:val="0"/>
              <w:tabs>
                <w:tab w:pos="48" w:val="left"/>
                <w:tab w:pos="84" w:val="left"/>
                <w:tab w:pos="106" w:val="left"/>
              </w:tabs>
              <w:autoSpaceDE w:val="0"/>
              <w:widowControl/>
              <w:spacing w:line="252" w:lineRule="exact" w:before="252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o </w:t>
            </w:r>
            <w:r>
              <w:br/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wo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</w:p>
          <w:p>
            <w:pPr>
              <w:autoSpaceDN w:val="0"/>
              <w:tabs>
                <w:tab w:pos="28" w:val="left"/>
                <w:tab w:pos="32" w:val="left"/>
                <w:tab w:pos="46" w:val="left"/>
              </w:tabs>
              <w:autoSpaceDE w:val="0"/>
              <w:widowControl/>
              <w:spacing w:line="284" w:lineRule="exact" w:before="96" w:after="0"/>
              <w:ind w:left="0" w:right="0" w:firstLine="0"/>
              <w:jc w:val="left"/>
            </w:pP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ra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os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he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pa</w:t>
            </w:r>
          </w:p>
          <w:p>
            <w:pPr>
              <w:autoSpaceDN w:val="0"/>
              <w:autoSpaceDE w:val="0"/>
              <w:widowControl/>
              <w:spacing w:line="288" w:lineRule="exact" w:before="464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84" w:lineRule="exact" w:before="218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ll </w:t>
            </w:r>
            <w:r>
              <w:br/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</w:t>
            </w:r>
            <w:r>
              <w:rPr>
                <w:w w:val="97.70470787497128"/>
                <w:rFonts w:ascii="CMSY10" w:hAnsi="CMSY10" w:eastAsia="CMSY10"/>
                <w:b w:val="0"/>
                <w:i/>
                <w:color w:val="000000"/>
                <w:sz w:val="17"/>
              </w:rPr>
              <w:t>−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810"/>
            <w:gridSpan w:val="2"/>
            <w:tcBorders>
              <w:start w:sz="3.8226559162139893" w:val="single" w:color="#000000"/>
              <w:top w:sz="3.8226559162139893" w:val="single" w:color="#333332"/>
              <w:end w:sz="3.8226559162139893" w:val="single" w:color="#000000"/>
              <w:bottom w:sz="3.184000015258789" w:val="single" w:color="#000000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Seed 137</w:t>
            </w:r>
          </w:p>
          <w:p>
            <w:pPr>
              <w:autoSpaceDN w:val="0"/>
              <w:autoSpaceDE w:val="0"/>
              <w:widowControl/>
              <w:spacing w:line="218" w:lineRule="exact" w:before="2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Ensemb</w:t>
            </w:r>
          </w:p>
          <w:p>
            <w:pPr>
              <w:autoSpaceDN w:val="0"/>
              <w:autoSpaceDE w:val="0"/>
              <w:widowControl/>
              <w:spacing w:line="286" w:lineRule="exact" w:before="728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scedas</w:t>
            </w:r>
          </w:p>
          <w:p>
            <w:pPr>
              <w:autoSpaceDN w:val="0"/>
              <w:tabs>
                <w:tab w:pos="24" w:val="left"/>
                <w:tab w:pos="28" w:val="left"/>
                <w:tab w:pos="60" w:val="left"/>
                <w:tab w:pos="64" w:val="left"/>
                <w:tab w:pos="154" w:val="left"/>
              </w:tabs>
              <w:autoSpaceDE w:val="0"/>
              <w:widowControl/>
              <w:spacing w:line="284" w:lineRule="exact" w:before="22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ne and t</w:t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of three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0.55 ga 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miss is c </w:t>
            </w: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dient is r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ition att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r this re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rated wi</w:t>
            </w:r>
          </w:p>
          <w:p>
            <w:pPr>
              <w:autoSpaceDN w:val="0"/>
              <w:autoSpaceDE w:val="0"/>
              <w:widowControl/>
              <w:spacing w:line="288" w:lineRule="exact" w:before="464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with U</w:t>
            </w:r>
          </w:p>
          <w:p>
            <w:pPr>
              <w:autoSpaceDN w:val="0"/>
              <w:autoSpaceDE w:val="0"/>
              <w:widowControl/>
              <w:spacing w:line="284" w:lineRule="exact" w:before="218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backbon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) and th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point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02"/>
            <w:tcBorders>
              <w:start w:sz="3.8226559162139893" w:val="single" w:color="#000000"/>
              <w:top w:sz="3.8226559162139893" w:val="single" w:color="#333332"/>
              <w:end w:sz="3.8226559162139893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le:</w:t>
            </w:r>
          </w:p>
          <w:p>
            <w:pPr>
              <w:autoSpaceDN w:val="0"/>
              <w:autoSpaceDE w:val="0"/>
              <w:widowControl/>
              <w:spacing w:line="286" w:lineRule="exact" w:before="728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ti</w:t>
            </w:r>
          </w:p>
          <w:p>
            <w:pPr>
              <w:autoSpaceDN w:val="0"/>
              <w:tabs>
                <w:tab w:pos="24" w:val="left"/>
                <w:tab w:pos="34" w:val="left"/>
                <w:tab w:pos="38" w:val="left"/>
                <w:tab w:pos="52" w:val="left"/>
                <w:tab w:pos="62" w:val="left"/>
                <w:tab w:pos="64" w:val="left"/>
              </w:tabs>
              <w:autoSpaceDE w:val="0"/>
              <w:widowControl/>
              <w:spacing w:line="284" w:lineRule="exact" w:before="22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ra</w:t>
            </w:r>
            <w:r>
              <w:br/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g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te </w:t>
            </w:r>
            <w:r>
              <w:br/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on </w:t>
            </w:r>
            <w:r>
              <w:br/>
            </w: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ed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rib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fle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th</w:t>
            </w:r>
          </w:p>
          <w:p>
            <w:pPr>
              <w:autoSpaceDN w:val="0"/>
              <w:autoSpaceDE w:val="0"/>
              <w:widowControl/>
              <w:spacing w:line="288" w:lineRule="exact" w:before="464" w:after="0"/>
              <w:ind w:left="0" w:right="0" w:firstLine="0"/>
              <w:jc w:val="right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n</w:t>
            </w:r>
          </w:p>
          <w:p>
            <w:pPr>
              <w:autoSpaceDN w:val="0"/>
              <w:autoSpaceDE w:val="0"/>
              <w:widowControl/>
              <w:spacing w:line="284" w:lineRule="exact" w:before="218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e u 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12"/>
            <w:gridSpan w:val="2"/>
            <w:tcBorders>
              <w:start w:sz="3.8226559162139893" w:val="single" w:color="#000000"/>
              <w:top w:sz="3.8226559162139893" w:val="single" w:color="#333332"/>
              <w:end w:sz="3.8226559162139893" w:val="single" w:color="#000000"/>
              <w:bottom w:sz="3.184000015258789" w:val="single" w:color="#000000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Seed 256</w:t>
            </w:r>
          </w:p>
          <w:p>
            <w:pPr>
              <w:autoSpaceDN w:val="0"/>
              <w:autoSpaceDE w:val="0"/>
              <w:widowControl/>
              <w:spacing w:line="218" w:lineRule="exact" w:before="2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mean e</w:t>
            </w:r>
          </w:p>
          <w:p>
            <w:pPr>
              <w:autoSpaceDN w:val="0"/>
              <w:autoSpaceDE w:val="0"/>
              <w:widowControl/>
              <w:spacing w:line="286" w:lineRule="exact" w:before="728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c, Froz</w:t>
            </w:r>
          </w:p>
          <w:p>
            <w:pPr>
              <w:autoSpaceDN w:val="0"/>
              <w:tabs>
                <w:tab w:pos="44" w:val="left"/>
                <w:tab w:pos="66" w:val="left"/>
              </w:tabs>
              <w:autoSpaceDE w:val="0"/>
              <w:widowControl/>
              <w:spacing w:line="284" w:lineRule="exact" w:before="22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ins only </w:t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ates pas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(determ 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sistent w </w:t>
            </w: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uced m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utes 99.</w:t>
            </w:r>
          </w:p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cts genu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out grou</w:t>
            </w:r>
          </w:p>
          <w:p>
            <w:pPr>
              <w:autoSpaceDN w:val="0"/>
              <w:autoSpaceDE w:val="0"/>
              <w:widowControl/>
              <w:spacing w:line="288" w:lineRule="exact" w:before="464" w:after="0"/>
              <w:ind w:left="34" w:right="0" w:firstLine="0"/>
              <w:jc w:val="left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frozen</w:t>
            </w:r>
          </w:p>
          <w:p>
            <w:pPr>
              <w:autoSpaceDN w:val="0"/>
              <w:autoSpaceDE w:val="0"/>
              <w:widowControl/>
              <w:spacing w:line="284" w:lineRule="exact" w:before="218" w:after="0"/>
              <w:ind w:left="0" w:right="0" w:firstLine="0"/>
              <w:jc w:val="right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nder the </w:t>
            </w:r>
            <w:r>
              <w:br/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same hea 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0.4057</w:t>
            </w:r>
          </w:p>
        </w:tc>
        <w:tc>
          <w:tcPr>
            <w:tcW w:type="dxa" w:w="204"/>
            <w:tcBorders>
              <w:start w:sz="3.8226559162139893" w:val="single" w:color="#000000"/>
              <w:top w:sz="3.8226559162139893" w:val="single" w:color="#333332"/>
              <w:end w:sz="3.8226559162139893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xc</w:t>
            </w:r>
          </w:p>
          <w:p>
            <w:pPr>
              <w:autoSpaceDN w:val="0"/>
              <w:autoSpaceDE w:val="0"/>
              <w:widowControl/>
              <w:spacing w:line="286" w:lineRule="exact" w:before="728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e</w:t>
            </w:r>
          </w:p>
          <w:p>
            <w:pPr>
              <w:autoSpaceDN w:val="0"/>
              <w:tabs>
                <w:tab w:pos="26" w:val="left"/>
                <w:tab w:pos="64" w:val="left"/>
                <w:tab w:pos="68" w:val="left"/>
                <w:tab w:pos="80" w:val="left"/>
                <w:tab w:pos="88" w:val="left"/>
              </w:tabs>
              <w:autoSpaceDE w:val="0"/>
              <w:widowControl/>
              <w:spacing w:line="284" w:lineRule="exact" w:before="22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th </w:t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in 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it </w:t>
            </w:r>
            <w:r>
              <w:br/>
            </w: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or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85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in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n</w:t>
            </w:r>
          </w:p>
          <w:p>
            <w:pPr>
              <w:autoSpaceDN w:val="0"/>
              <w:autoSpaceDE w:val="0"/>
              <w:widowControl/>
              <w:spacing w:line="288" w:lineRule="exact" w:before="464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 xml:space="preserve"> </w:t>
            </w:r>
          </w:p>
          <w:p>
            <w:pPr>
              <w:autoSpaceDN w:val="0"/>
              <w:tabs>
                <w:tab w:pos="64" w:val="left"/>
                <w:tab w:pos="70" w:val="left"/>
              </w:tabs>
              <w:autoSpaceDE w:val="0"/>
              <w:widowControl/>
              <w:spacing w:line="284" w:lineRule="exact" w:before="218" w:after="0"/>
              <w:ind w:left="0" w:right="0" w:firstLine="0"/>
              <w:jc w:val="left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p 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d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is</w:t>
            </w:r>
          </w:p>
        </w:tc>
        <w:tc>
          <w:tcPr>
            <w:tcW w:type="dxa" w:w="810"/>
            <w:gridSpan w:val="2"/>
            <w:tcBorders>
              <w:start w:sz="3.8226559162139893" w:val="single" w:color="#000000"/>
              <w:top w:sz="3.8226559162139893" w:val="single" w:color="#333332"/>
              <w:end w:sz="3.8226559162139893" w:val="single" w:color="#000000"/>
              <w:bottom w:sz="3.184000015258789" w:val="single" w:color="#000000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Seed 389</w:t>
            </w:r>
          </w:p>
          <w:p>
            <w:pPr>
              <w:autoSpaceDN w:val="0"/>
              <w:autoSpaceDE w:val="0"/>
              <w:widowControl/>
              <w:spacing w:line="218" w:lineRule="exact" w:before="2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eeds eve</w:t>
            </w:r>
          </w:p>
          <w:p>
            <w:pPr>
              <w:autoSpaceDN w:val="0"/>
              <w:autoSpaceDE w:val="0"/>
              <w:widowControl/>
              <w:spacing w:line="286" w:lineRule="exact" w:before="728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n Back</w:t>
            </w:r>
          </w:p>
          <w:p>
            <w:pPr>
              <w:autoSpaceDN w:val="0"/>
              <w:tabs>
                <w:tab w:pos="26" w:val="left"/>
                <w:tab w:pos="30" w:val="left"/>
                <w:tab w:pos="44" w:val="left"/>
                <w:tab w:pos="62" w:val="left"/>
                <w:tab w:pos="80" w:val="left"/>
                <w:tab w:pos="110" w:val="left"/>
              </w:tabs>
              <w:autoSpaceDE w:val="0"/>
              <w:widowControl/>
              <w:spacing w:line="284" w:lineRule="exact" w:before="220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e 134-p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istic sin </w:t>
            </w:r>
            <w:r>
              <w:br/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h the NL </w:t>
            </w: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e cheaply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% of no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e traffic-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d-truth u</w:t>
            </w:r>
          </w:p>
          <w:p>
            <w:pPr>
              <w:autoSpaceDN w:val="0"/>
              <w:autoSpaceDE w:val="0"/>
              <w:widowControl/>
              <w:spacing w:line="288" w:lineRule="exact" w:before="464" w:after="0"/>
              <w:ind w:left="0" w:right="0" w:firstLine="0"/>
              <w:jc w:val="left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Backb</w:t>
            </w:r>
          </w:p>
          <w:p>
            <w:pPr>
              <w:autoSpaceDN w:val="0"/>
              <w:autoSpaceDE w:val="0"/>
              <w:widowControl/>
              <w:spacing w:line="284" w:lineRule="exact" w:before="218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inball lo 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 loss, cal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reporte</w:t>
            </w:r>
          </w:p>
        </w:tc>
        <w:tc>
          <w:tcPr>
            <w:tcW w:type="dxa" w:w="202"/>
            <w:tcBorders>
              <w:start w:sz="3.8226559162139893" w:val="single" w:color="#000000"/>
              <w:top w:sz="3.8226559162139893" w:val="single" w:color="#333332"/>
              <w:end w:sz="3.8226559162139893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ry</w:t>
            </w:r>
          </w:p>
          <w:p>
            <w:pPr>
              <w:autoSpaceDN w:val="0"/>
              <w:autoSpaceDE w:val="0"/>
              <w:widowControl/>
              <w:spacing w:line="286" w:lineRule="exact" w:before="728" w:after="0"/>
              <w:ind w:left="0" w:right="0" w:firstLine="0"/>
              <w:jc w:val="right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b</w:t>
            </w:r>
          </w:p>
          <w:p>
            <w:pPr>
              <w:autoSpaceDN w:val="0"/>
              <w:tabs>
                <w:tab w:pos="28" w:val="left"/>
                <w:tab w:pos="34" w:val="left"/>
                <w:tab w:pos="66" w:val="left"/>
                <w:tab w:pos="72" w:val="left"/>
                <w:tab w:pos="84" w:val="left"/>
                <w:tab w:pos="108" w:val="left"/>
                <w:tab w:pos="128" w:val="left"/>
              </w:tabs>
              <w:autoSpaceDE w:val="0"/>
              <w:widowControl/>
              <w:spacing w:line="284" w:lineRule="exact" w:before="22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ar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8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gl </w:t>
            </w:r>
            <w:r>
              <w:br/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b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de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fl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n</w:t>
            </w:r>
          </w:p>
          <w:p>
            <w:pPr>
              <w:autoSpaceDN w:val="0"/>
              <w:autoSpaceDE w:val="0"/>
              <w:widowControl/>
              <w:spacing w:line="288" w:lineRule="exact" w:before="464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on</w:t>
            </w:r>
          </w:p>
          <w:p>
            <w:pPr>
              <w:autoSpaceDN w:val="0"/>
              <w:autoSpaceDE w:val="0"/>
              <w:widowControl/>
              <w:spacing w:line="284" w:lineRule="exact" w:before="218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ss 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ib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d </w:t>
            </w:r>
          </w:p>
        </w:tc>
        <w:tc>
          <w:tcPr>
            <w:tcW w:type="dxa" w:w="812"/>
            <w:gridSpan w:val="2"/>
            <w:tcBorders>
              <w:start w:sz="3.8226559162139893" w:val="single" w:color="#000000"/>
              <w:top w:sz="3.8226559162139893" w:val="single" w:color="#333332"/>
              <w:end w:sz="3.8226559162139893" w:val="single" w:color="#000000"/>
              <w:bottom w:sz="3.184000015258789" w:val="single" w:color="#000000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Seed 512</w:t>
            </w:r>
          </w:p>
          <w:p>
            <w:pPr>
              <w:autoSpaceDN w:val="0"/>
              <w:autoSpaceDE w:val="0"/>
              <w:widowControl/>
              <w:spacing w:line="218" w:lineRule="exact" w:before="2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individ</w:t>
            </w:r>
          </w:p>
          <w:p>
            <w:pPr>
              <w:autoSpaceDN w:val="0"/>
              <w:autoSpaceDE w:val="0"/>
              <w:widowControl/>
              <w:spacing w:line="286" w:lineRule="exact" w:before="728" w:after="0"/>
              <w:ind w:left="38" w:right="0" w:firstLine="0"/>
              <w:jc w:val="left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one</w:t>
            </w:r>
          </w:p>
          <w:p>
            <w:pPr>
              <w:autoSpaceDN w:val="0"/>
              <w:tabs>
                <w:tab w:pos="24" w:val="left"/>
                <w:tab w:pos="28" w:val="left"/>
                <w:tab w:pos="42" w:val="left"/>
                <w:tab w:pos="84" w:val="left"/>
                <w:tab w:pos="98" w:val="left"/>
              </w:tabs>
              <w:autoSpaceDE w:val="0"/>
              <w:widowControl/>
              <w:spacing w:line="284" w:lineRule="exact" w:before="22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ameter h </w:t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6.90%,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P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e pass: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–MSE tra </w:t>
            </w: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y inflati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s to the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ow varia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certainty</w:t>
            </w:r>
          </w:p>
          <w:p>
            <w:pPr>
              <w:autoSpaceDN w:val="0"/>
              <w:autoSpaceDE w:val="0"/>
              <w:widowControl/>
              <w:spacing w:line="288" w:lineRule="exact" w:before="464" w:after="0"/>
              <w:ind w:left="0" w:right="0" w:firstLine="0"/>
              <w:jc w:val="center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e (Ne</w:t>
            </w:r>
          </w:p>
          <w:p>
            <w:pPr>
              <w:autoSpaceDN w:val="0"/>
              <w:autoSpaceDE w:val="0"/>
              <w:widowControl/>
              <w:spacing w:line="276" w:lineRule="exact" w:before="244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at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τ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∈{ </w:t>
            </w:r>
            <w:r>
              <w:br/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ration pr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in Table</w:t>
            </w:r>
          </w:p>
        </w:tc>
        <w:tc>
          <w:tcPr>
            <w:tcW w:type="dxa" w:w="204"/>
            <w:tcBorders>
              <w:start w:sz="3.8226559162139893" w:val="single" w:color="#000000"/>
              <w:top w:sz="3.8226559162139893" w:val="single" w:color="#333332"/>
              <w:end w:sz="3.8226559162139893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ua</w:t>
            </w:r>
          </w:p>
          <w:p>
            <w:pPr>
              <w:autoSpaceDN w:val="0"/>
              <w:tabs>
                <w:tab w:pos="22" w:val="left"/>
                <w:tab w:pos="26" w:val="left"/>
                <w:tab w:pos="44" w:val="left"/>
                <w:tab w:pos="60" w:val="left"/>
                <w:tab w:pos="74" w:val="left"/>
                <w:tab w:pos="104" w:val="left"/>
                <w:tab w:pos="112" w:val="left"/>
              </w:tabs>
              <w:autoSpaceDE w:val="0"/>
              <w:widowControl/>
              <w:spacing w:line="284" w:lineRule="exact" w:before="1234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et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IC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de </w:t>
            </w: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ng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ale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bil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la</w:t>
            </w:r>
          </w:p>
          <w:p>
            <w:pPr>
              <w:autoSpaceDN w:val="0"/>
              <w:autoSpaceDE w:val="0"/>
              <w:widowControl/>
              <w:spacing w:line="288" w:lineRule="exact" w:before="464" w:after="0"/>
              <w:ind w:left="0" w:right="0" w:firstLine="0"/>
              <w:jc w:val="left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g</w:t>
            </w:r>
          </w:p>
          <w:p>
            <w:pPr>
              <w:autoSpaceDN w:val="0"/>
              <w:autoSpaceDE w:val="0"/>
              <w:widowControl/>
              <w:spacing w:line="284" w:lineRule="exact" w:before="218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0.0 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ot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5.</w:t>
            </w:r>
          </w:p>
        </w:tc>
        <w:tc>
          <w:tcPr>
            <w:tcW w:type="dxa" w:w="810"/>
            <w:gridSpan w:val="2"/>
            <w:tcBorders>
              <w:start w:sz="3.8226559162139893" w:val="single" w:color="#000000"/>
              <w:top w:sz="3.8226559162139893" w:val="single" w:color="#333332"/>
              <w:end w:sz="3.8226559162139893" w:val="single" w:color="#000000"/>
              <w:bottom w:sz="3.184000015258789" w:val="single" w:color="#000000"/>
            </w:tcBorders>
            <w:shd w:fill="e8975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Ensemble</w:t>
            </w:r>
          </w:p>
          <w:p>
            <w:pPr>
              <w:autoSpaceDN w:val="0"/>
              <w:autoSpaceDE w:val="0"/>
              <w:widowControl/>
              <w:spacing w:line="218" w:lineRule="exact" w:before="2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 membe</w:t>
            </w:r>
          </w:p>
          <w:p>
            <w:pPr>
              <w:autoSpaceDN w:val="0"/>
              <w:autoSpaceDE w:val="0"/>
              <w:widowControl/>
              <w:spacing w:line="284" w:lineRule="exact" w:before="1232" w:after="0"/>
              <w:ind w:left="60" w:right="0" w:hanging="42"/>
              <w:jc w:val="both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erosced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w w:val="98.57678846879439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9 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0.511</w:t>
            </w:r>
          </w:p>
          <w:p>
            <w:pPr>
              <w:autoSpaceDN w:val="0"/>
              <w:tabs>
                <w:tab w:pos="28" w:val="left"/>
                <w:tab w:pos="30" w:val="left"/>
                <w:tab w:pos="42" w:val="left"/>
                <w:tab w:pos="44" w:val="left"/>
              </w:tabs>
              <w:autoSpaceDE w:val="0"/>
              <w:widowControl/>
              <w:spacing w:line="284" w:lineRule="exact" w:before="0" w:after="0"/>
              <w:ind w:left="0" w:right="0" w:firstLine="0"/>
              <w:jc w:val="left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-off (Sec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ˆ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w w:val="98.3270385048606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than b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atoric c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ity or N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bels.</w:t>
            </w:r>
          </w:p>
          <w:p>
            <w:pPr>
              <w:autoSpaceDN w:val="0"/>
              <w:autoSpaceDE w:val="0"/>
              <w:widowControl/>
              <w:spacing w:line="288" w:lineRule="exact" w:before="464" w:after="0"/>
              <w:ind w:left="0" w:right="0" w:firstLine="0"/>
              <w:jc w:val="left"/>
            </w:pPr>
            <w:r>
              <w:rPr>
                <w:w w:val="98.93931027116447"/>
                <w:rFonts w:ascii="URWPalladioL" w:hAnsi="URWPalladioL" w:eastAsia="URWPalladioL"/>
                <w:b/>
                <w:i w:val="0"/>
                <w:color w:val="000000"/>
                <w:sz w:val="29"/>
              </w:rPr>
              <w:t>ative)</w:t>
            </w:r>
          </w:p>
          <w:p>
            <w:pPr>
              <w:autoSpaceDN w:val="0"/>
              <w:autoSpaceDE w:val="0"/>
              <w:widowControl/>
              <w:spacing w:line="242" w:lineRule="exact" w:before="260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5, 0.95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}</w:t>
            </w: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ocol and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7; three</w:t>
            </w:r>
          </w:p>
        </w:tc>
        <w:tc>
          <w:tcPr>
            <w:tcW w:type="dxa" w:w="45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2"/>
        </w:trPr>
        <w:tc>
          <w:tcPr>
            <w:tcW w:type="dxa" w:w="1496"/>
            <w:gridSpan w:val="2"/>
            <w:tcBorders>
              <w:top w:sz="3.184000015258789" w:val="single" w:color="#000000"/>
              <w:end w:sz="3.82265591621398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gridSpan w:val="2"/>
            <w:tcBorders>
              <w:start w:sz="3.8226559162139893" w:val="single" w:color="#000000"/>
              <w:top w:sz="3.184000015258789" w:val="single" w:color="#000000"/>
              <w:end w:sz="3.8226559162139893" w:val="single" w:color="#000000"/>
              <w:bottom w:sz="3.8226559162139893" w:val="single" w:color="#000000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3.184000015258789" w:val="single" w:color="#000000"/>
              <w:end w:sz="3.822655916213989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gridSpan w:val="2"/>
            <w:tcBorders>
              <w:start w:sz="3.8226559162139893" w:val="single" w:color="#000000"/>
              <w:top w:sz="3.184000015258789" w:val="single" w:color="#000000"/>
              <w:end w:sz="3.8226559162139893" w:val="single" w:color="#000000"/>
              <w:bottom w:sz="3.8226559162139893" w:val="single" w:color="#000000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3.184000015258789" w:val="single" w:color="#000000"/>
              <w:end w:sz="3.822655916213989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gridSpan w:val="2"/>
            <w:tcBorders>
              <w:start w:sz="3.8226559162139893" w:val="single" w:color="#000000"/>
              <w:top w:sz="3.184000015258789" w:val="single" w:color="#000000"/>
              <w:end w:sz="3.8226559162139893" w:val="single" w:color="#000000"/>
              <w:bottom w:sz="3.8226559162139893" w:val="single" w:color="#000000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0" w:right="5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type="dxa" w:w="204"/>
            <w:tcBorders>
              <w:start w:sz="3.8226559162139893" w:val="single" w:color="#000000"/>
              <w:top w:sz="3.184000015258789" w:val="single" w:color="#000000"/>
              <w:end w:sz="3.822655916213989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gridSpan w:val="2"/>
            <w:tcBorders>
              <w:start w:sz="3.8226559162139893" w:val="single" w:color="#000000"/>
              <w:top w:sz="3.184000015258789" w:val="single" w:color="#000000"/>
              <w:end w:sz="3.8226559162139893" w:val="single" w:color="#000000"/>
              <w:bottom w:sz="3.8226559162139893" w:val="single" w:color="#000000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3.8226559162139893" w:val="single" w:color="#000000"/>
              <w:top w:sz="3.184000015258789" w:val="single" w:color="#000000"/>
              <w:end w:sz="3.822655916213989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2"/>
            <w:gridSpan w:val="2"/>
            <w:tcBorders>
              <w:start w:sz="3.8226559162139893" w:val="single" w:color="#000000"/>
              <w:top w:sz="3.184000015258789" w:val="single" w:color="#000000"/>
              <w:end w:sz="3.8226559162139893" w:val="single" w:color="#000000"/>
              <w:bottom w:sz="3.8226559162139893" w:val="single" w:color="#000000"/>
            </w:tcBorders>
            <w:shd w:fill="8db8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start w:sz="3.8226559162139893" w:val="single" w:color="#000000"/>
              <w:top w:sz="3.184000015258789" w:val="single" w:color="#000000"/>
              <w:end w:sz="3.822655916213989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gridSpan w:val="2"/>
            <w:tcBorders>
              <w:start w:sz="3.8226559162139893" w:val="single" w:color="#000000"/>
              <w:top w:sz="3.184000015258789" w:val="single" w:color="#000000"/>
              <w:end w:sz="3.8226559162139893" w:val="single" w:color="#000000"/>
              <w:bottom w:sz="3.8226559162139893" w:val="single" w:color="#000000"/>
            </w:tcBorders>
            <w:shd w:fill="e8975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3.8226559162139893" w:val="single" w:color="#000000"/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70" w:right="1440" w:bottom="2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1981200</wp:posOffset>
            </wp:positionV>
            <wp:extent cx="5295900" cy="16637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6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56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3009"/>
        <w:gridCol w:w="3009"/>
        <w:gridCol w:w="3009"/>
      </w:tblGrid>
      <w:tr>
        <w:trPr>
          <w:trHeight w:hRule="exact" w:val="1336"/>
        </w:trPr>
        <w:tc>
          <w:tcPr>
            <w:tcW w:type="dxa" w:w="289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58" w:after="0"/>
              <w:ind w:left="690" w:right="0" w:firstLine="0"/>
              <w:jc w:val="left"/>
            </w:pPr>
            <w:r>
              <w:rPr>
                <w:w w:val="98.6963939666748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(a) Point accuracy across all 12 models</w:t>
            </w:r>
          </w:p>
        </w:tc>
        <w:tc>
          <w:tcPr>
            <w:tcW w:type="dxa" w:w="31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52" w:after="0"/>
              <w:ind w:left="252" w:right="0" w:firstLine="0"/>
              <w:jc w:val="left"/>
            </w:pPr>
            <w:r>
              <w:rPr>
                <w:w w:val="98.6963939666748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 xml:space="preserve">(b) UQ quality vs accuracy (size </w:t>
            </w:r>
            <w:r>
              <w:rPr>
                <w:w w:val="98.6963939666748"/>
                <w:rFonts w:ascii="DejaVu Sans" w:hAnsi="DejaVu Sans" w:eastAsia="DejaVu Sans"/>
                <w:b w:val="0"/>
                <w:i w:val="0"/>
                <w:color w:val="000000"/>
                <w:sz w:val="10"/>
              </w:rPr>
              <w:t>∝</w:t>
            </w:r>
            <w:r>
              <w:rPr>
                <w:w w:val="98.6963939666748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 xml:space="preserve"> inference cost)</w:t>
            </w:r>
          </w:p>
        </w:tc>
        <w:tc>
          <w:tcPr>
            <w:tcW w:type="dxa" w:w="23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58" w:after="0"/>
              <w:ind w:left="0" w:right="0" w:firstLine="0"/>
              <w:jc w:val="center"/>
            </w:pPr>
            <w:r>
              <w:rPr>
                <w:w w:val="98.6963939666748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(c) Calibration of UQ methods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</w:tblGrid>
      <w:tr>
        <w:trPr>
          <w:trHeight w:hRule="exact" w:val="16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0.2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0.4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0.5</w:t>
            </w:r>
          </w:p>
        </w:tc>
        <w:tc>
          <w:tcPr>
            <w:tcW w:type="dxa" w:w="8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8"/>
              </w:rPr>
              <w:t>Point prediction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45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9"/>
              </w:rPr>
              <w:t xml:space="preserve">Spearman </w:t>
            </w:r>
            <w:r>
              <w:rPr>
                <w:rFonts w:ascii="DejaVu Sans" w:hAnsi="DejaVu Sans" w:eastAsia="DejaVu Sans"/>
                <w:b w:val="0"/>
                <w:i/>
                <w:color w:val="000000"/>
                <w:sz w:val="9"/>
              </w:rPr>
              <w:t>ρ</w:t>
            </w: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9"/>
              </w:rPr>
              <w:t xml:space="preserve"> (</w:t>
            </w:r>
            <w:r>
              <w:rPr>
                <w:rFonts w:ascii="DejaVu Sans" w:hAnsi="DejaVu Sans" w:eastAsia="DejaVu Sans"/>
                <w:b w:val="0"/>
                <w:i/>
                <w:color w:val="000000"/>
                <w:sz w:val="9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9"/>
              </w:rPr>
              <w:t xml:space="preserve"> vs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9"/>
              </w:rPr>
              <w:t>|</w:t>
            </w:r>
            <w:r>
              <w:rPr>
                <w:rFonts w:ascii="DejaVu Sans" w:hAnsi="DejaVu Sans" w:eastAsia="DejaVu Sans"/>
                <w:b w:val="0"/>
                <w:i/>
                <w:color w:val="000000"/>
                <w:sz w:val="9"/>
              </w:rPr>
              <w:t>err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9"/>
              </w:rPr>
              <w:t>|</w:t>
            </w: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9"/>
              </w:rPr>
              <w:t>)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2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0.50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0.45</w:t>
            </w:r>
          </w:p>
        </w:tc>
        <w:tc>
          <w:tcPr>
            <w:tcW w:type="dxa" w:w="18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832" w:right="144" w:hanging="4"/>
              <w:jc w:val="left"/>
            </w:pPr>
            <w:r>
              <w:rPr>
                <w:w w:val="102.54171235220772"/>
                <w:rFonts w:ascii="DejaVu Serif" w:hAnsi="DejaVu Serif" w:eastAsia="DejaVu Serif"/>
                <w:b w:val="0"/>
                <w:i w:val="0"/>
                <w:color w:val="000000"/>
                <w:sz w:val="7"/>
              </w:rPr>
              <w:t xml:space="preserve">T8 MC Dropout </w:t>
            </w:r>
            <w:r>
              <w:br/>
            </w:r>
            <w:r>
              <w:rPr>
                <w:w w:val="102.54171235220772"/>
                <w:rFonts w:ascii="DejaVu Serif" w:hAnsi="DejaVu Serif" w:eastAsia="DejaVu Serif"/>
                <w:b w:val="0"/>
                <w:i w:val="0"/>
                <w:color w:val="000000"/>
                <w:sz w:val="7"/>
              </w:rPr>
              <w:t>T8 MC avg, 5 seeds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6" w:after="0"/>
              <w:ind w:left="0" w:right="35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9"/>
              </w:rPr>
              <w:t xml:space="preserve">Empirical </w:t>
            </w:r>
            <w:r>
              <w:rPr>
                <w:rFonts w:ascii="DejaVu Sans" w:hAnsi="DejaVu Sans" w:eastAsia="DejaVu Sans"/>
                <w:b w:val="0"/>
                <w:i/>
                <w:color w:val="000000"/>
                <w:sz w:val="9"/>
              </w:rPr>
              <w:t>k</w:t>
            </w:r>
            <w:r>
              <w:rPr>
                <w:w w:val="104.67799504597981"/>
                <w:rFonts w:ascii="DejaVu Sans" w:hAnsi="DejaVu Sans" w:eastAsia="DejaVu Sans"/>
                <w:b w:val="0"/>
                <w:i w:val="0"/>
                <w:color w:val="000000"/>
                <w:sz w:val="6"/>
              </w:rPr>
              <w:t>95</w:t>
            </w: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9"/>
              </w:rPr>
              <w:t xml:space="preserve"> (lower better)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16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7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8"/>
              </w:rPr>
              <w:t>1.96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8" w:after="0"/>
              <w:ind w:left="0" w:right="13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8"/>
              </w:rPr>
              <w:t>4.04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8"/>
              </w:rPr>
              <w:t>11.66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4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8"/>
              </w:rPr>
              <w:t>15.18</w:t>
            </w:r>
          </w:p>
        </w:tc>
      </w:tr>
      <w:tr>
        <w:trPr>
          <w:trHeight w:hRule="exact" w:val="21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Deep Ens.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960"/>
            <w:gridSpan w:val="5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14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127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T8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2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0.45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1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220" w:right="0" w:firstLine="0"/>
              <w:jc w:val="left"/>
            </w:pPr>
            <w:r>
              <w:rPr>
                <w:w w:val="102.54171235220772"/>
                <w:rFonts w:ascii="DejaVu Serif" w:hAnsi="DejaVu Serif" w:eastAsia="DejaVu Serif"/>
                <w:b w:val="0"/>
                <w:i w:val="0"/>
                <w:color w:val="000000"/>
                <w:sz w:val="7"/>
              </w:rPr>
              <w:t>T9 hetero.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T11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8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4" w:after="0"/>
              <w:ind w:left="370" w:right="0" w:firstLine="0"/>
              <w:jc w:val="left"/>
            </w:pPr>
            <w:r>
              <w:rPr>
                <w:w w:val="102.54171235220772"/>
                <w:rFonts w:ascii="DejaVu Serif" w:hAnsi="DejaVu Serif" w:eastAsia="DejaVu Serif"/>
                <w:b w:val="0"/>
                <w:i w:val="0"/>
                <w:color w:val="000000"/>
                <w:sz w:val="7"/>
              </w:rPr>
              <w:t>Multi-model ens.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12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5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T5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960"/>
            <w:gridSpan w:val="5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960"/>
            <w:gridSpan w:val="5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10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T7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2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0.40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1960"/>
            <w:gridSpan w:val="5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8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12" w:after="0"/>
              <w:ind w:left="0" w:right="240" w:firstLine="0"/>
              <w:jc w:val="right"/>
            </w:pPr>
            <w:r>
              <w:rPr>
                <w:w w:val="102.54171235220772"/>
                <w:rFonts w:ascii="DejaVu Serif" w:hAnsi="DejaVu Serif" w:eastAsia="DejaVu Serif"/>
                <w:b w:val="0"/>
                <w:i w:val="0"/>
                <w:color w:val="000000"/>
                <w:sz w:val="7"/>
              </w:rPr>
              <w:t>Deep Ensemble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T6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960"/>
            <w:gridSpan w:val="5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8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T2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2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0.35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1960"/>
            <w:gridSpan w:val="5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6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143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T9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960"/>
            <w:gridSpan w:val="5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117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T10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8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72" w:after="0"/>
              <w:ind w:left="0" w:right="404" w:firstLine="0"/>
              <w:jc w:val="right"/>
            </w:pPr>
            <w:r>
              <w:rPr>
                <w:w w:val="102.54171235220772"/>
                <w:rFonts w:ascii="DejaVu Serif" w:hAnsi="DejaVu Serif" w:eastAsia="DejaVu Serif"/>
                <w:b w:val="0"/>
                <w:i w:val="0"/>
                <w:color w:val="000000"/>
                <w:sz w:val="7"/>
              </w:rPr>
              <w:t>T11 CQR frozen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4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2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0.30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1960"/>
            <w:gridSpan w:val="5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3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8"/>
              </w:rPr>
              <w:t>2.84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T4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176"/>
            <w:gridSpan w:val="3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960"/>
            <w:gridSpan w:val="5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2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8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8"/>
              </w:rPr>
              <w:t>UQ extension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960"/>
            <w:gridSpan w:val="5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T3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8"/>
              </w:rPr>
              <w:t>Ensemble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0.40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0.50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0.55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0.60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0.65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0.70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Ideal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T9 hetero. T8 + TS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T8 MC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5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Deep Ens.</w:t>
            </w:r>
          </w:p>
        </w:tc>
      </w:tr>
      <w:tr>
        <w:trPr>
          <w:trHeight w:hRule="exact" w:val="16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6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0.0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0.6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0.7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0.8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9"/>
              </w:rPr>
              <w:t xml:space="preserve">Test </w:t>
            </w:r>
            <w:r>
              <w:rPr>
                <w:rFonts w:ascii="DejaVu Sans" w:hAnsi="DejaVu Sans" w:eastAsia="DejaVu Sans"/>
                <w:b w:val="0"/>
                <w:i/>
                <w:color w:val="000000"/>
                <w:sz w:val="9"/>
              </w:rPr>
              <w:t>R</w:t>
            </w:r>
            <w:r>
              <w:rPr>
                <w:w w:val="104.67799504597981"/>
                <w:rFonts w:ascii="DejaVu Sans" w:hAnsi="DejaVu Sans" w:eastAsia="DejaVu Sans"/>
                <w:b w:val="0"/>
                <w:i w:val="0"/>
                <w:color w:val="000000"/>
                <w:sz w:val="6"/>
              </w:rPr>
              <w:t>2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1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44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9"/>
              </w:rPr>
              <w:t xml:space="preserve">Test </w:t>
            </w:r>
            <w:r>
              <w:rPr>
                <w:rFonts w:ascii="DejaVu Sans" w:hAnsi="DejaVu Sans" w:eastAsia="DejaVu Sans"/>
                <w:b w:val="0"/>
                <w:i/>
                <w:color w:val="000000"/>
                <w:sz w:val="9"/>
              </w:rPr>
              <w:t>R</w:t>
            </w:r>
            <w:r>
              <w:rPr>
                <w:w w:val="104.67799504597981"/>
                <w:rFonts w:ascii="DejaVu Sans" w:hAnsi="DejaVu Sans" w:eastAsia="DejaVu Sans"/>
                <w:b w:val="0"/>
                <w:i w:val="0"/>
                <w:color w:val="000000"/>
                <w:sz w:val="6"/>
              </w:rPr>
              <w:t>2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404040"/>
                <w:sz w:val="8"/>
              </w:rPr>
              <w:t>Gaussian</w:t>
            </w:r>
          </w:p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  <w:tc>
          <w:tcPr>
            <w:tcW w:type="dxa" w:w="3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6" w:lineRule="exact" w:before="184" w:after="0"/>
        <w:ind w:left="1482" w:right="288" w:hanging="113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Figure 5.5.:</w:t>
      </w:r>
      <w:r>
        <w:rPr>
          <w:w w:val="98.9750862121582"/>
          <w:rFonts w:ascii="URWPalladioL" w:hAnsi="URWPalladioL" w:eastAsia="URWPalladioL"/>
          <w:b w:val="0"/>
          <w:i w:val="0"/>
          <w:color w:val="000000"/>
          <w:sz w:val="22"/>
        </w:rPr>
        <w:t xml:space="preserve"> Master summary of the twelve GNN-based and uncertainty-aware models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evaluated in this thesis. Panel (a) sorts trials by test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(point-prediction</w:t>
      </w:r>
    </w:p>
    <w:p>
      <w:pPr>
        <w:autoSpaceDN w:val="0"/>
        <w:autoSpaceDE w:val="0"/>
        <w:widowControl/>
        <w:spacing w:line="284" w:lineRule="exact" w:before="0" w:after="0"/>
        <w:ind w:left="1440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trials blue, uncertainty-aware extensions orange, Deep Ensemble green);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Deep Ensemble leads UQ-compatible models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0.6841. Panel (b) </w:t>
      </w:r>
      <w:r>
        <w:rPr>
          <w:w w:val="98.92539111050692"/>
          <w:rFonts w:ascii="URWPalladioL" w:hAnsi="URWPalladioL" w:eastAsia="URWPalladioL"/>
          <w:b w:val="0"/>
          <w:i w:val="0"/>
          <w:color w:val="000000"/>
          <w:sz w:val="22"/>
        </w:rPr>
        <w:t>is the accuracy/UQ trade-off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92539111050692"/>
          <w:rFonts w:ascii="URWPalladioL" w:hAnsi="URWPalladioL" w:eastAsia="URWPalladioL"/>
          <w:b w:val="0"/>
          <w:i w:val="0"/>
          <w:color w:val="000000"/>
          <w:sz w:val="22"/>
        </w:rPr>
        <w:t>vs Spearman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92539111050692"/>
          <w:rFonts w:ascii="URWPalladioL" w:hAnsi="URWPalladioL" w:eastAsia="URWPalladioL"/>
          <w:b w:val="0"/>
          <w:i w:val="0"/>
          <w:color w:val="000000"/>
          <w:sz w:val="22"/>
        </w:rPr>
        <w:t xml:space="preserve">, marker size proportional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log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inference cost): Deep Ensemble and MC Dropout sit on opposite</w:t>
      </w:r>
    </w:p>
    <w:p>
      <w:pPr>
        <w:autoSpaceDN w:val="0"/>
        <w:autoSpaceDE w:val="0"/>
        <w:widowControl/>
        <w:spacing w:line="218" w:lineRule="exact" w:before="66" w:after="0"/>
        <w:ind w:left="1482" w:right="0" w:firstLine="0"/>
        <w:jc w:val="left"/>
      </w:pP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>corners; T11 (frozen-backbone CQR) occupies an attractive low-cost corner.</w:t>
      </w:r>
    </w:p>
    <w:p>
      <w:pPr>
        <w:autoSpaceDN w:val="0"/>
        <w:autoSpaceDE w:val="0"/>
        <w:widowControl/>
        <w:spacing w:line="250" w:lineRule="exact" w:before="68" w:after="0"/>
        <w:ind w:left="1482" w:right="288" w:firstLine="0"/>
        <w:jc w:val="left"/>
      </w:pP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>Panel (c) compares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 xml:space="preserve"> (lower is better, Gaussian ideal 1.96); T9 is closest to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ideal among trained models.</w:t>
      </w:r>
    </w:p>
    <w:p>
      <w:pPr>
        <w:autoSpaceDN w:val="0"/>
        <w:autoSpaceDE w:val="0"/>
        <w:widowControl/>
        <w:spacing w:line="276" w:lineRule="exact" w:before="1796" w:after="28"/>
        <w:ind w:left="1366" w:right="288" w:hanging="102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5.5.: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 Trial 9 versus T8 and go/no-go gates. The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 row is reported for diagnostic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comparison with T8; it is not one of the three Trial 9 gates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96"/>
        </w:trPr>
        <w:tc>
          <w:tcPr>
            <w:tcW w:type="dxa" w:w="1716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Metric</w:t>
            </w:r>
          </w:p>
        </w:tc>
        <w:tc>
          <w:tcPr>
            <w:tcW w:type="dxa" w:w="9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T8</w:t>
            </w:r>
          </w:p>
        </w:tc>
        <w:tc>
          <w:tcPr>
            <w:tcW w:type="dxa" w:w="9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T9</w:t>
            </w:r>
          </w:p>
        </w:tc>
        <w:tc>
          <w:tcPr>
            <w:tcW w:type="dxa" w:w="140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Gate</w:t>
            </w:r>
          </w:p>
        </w:tc>
        <w:tc>
          <w:tcPr>
            <w:tcW w:type="dxa" w:w="190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Status</w:t>
            </w:r>
          </w:p>
        </w:tc>
      </w:tr>
      <w:tr>
        <w:trPr>
          <w:trHeight w:hRule="exact" w:val="310"/>
        </w:trPr>
        <w:tc>
          <w:tcPr>
            <w:tcW w:type="dxa" w:w="1716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(MC mean)</w:t>
            </w:r>
          </w:p>
        </w:tc>
        <w:tc>
          <w:tcPr>
            <w:tcW w:type="dxa" w:w="9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0.5957</w:t>
            </w:r>
          </w:p>
        </w:tc>
        <w:tc>
          <w:tcPr>
            <w:tcW w:type="dxa" w:w="9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0.4991</w:t>
            </w:r>
          </w:p>
        </w:tc>
        <w:tc>
          <w:tcPr>
            <w:tcW w:type="dxa" w:w="140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0.55</w:t>
            </w:r>
          </w:p>
        </w:tc>
        <w:tc>
          <w:tcPr>
            <w:tcW w:type="dxa" w:w="190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FAIL</w:t>
            </w:r>
          </w:p>
        </w:tc>
      </w:tr>
      <w:tr>
        <w:trPr>
          <w:trHeight w:hRule="exact" w:val="30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90.02%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86.90%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8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85%</w:t>
            </w:r>
          </w:p>
        </w:tc>
        <w:tc>
          <w:tcPr>
            <w:tcW w:type="dxa" w:w="1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280"/>
        </w:trPr>
        <w:tc>
          <w:tcPr>
            <w:tcW w:type="dxa" w:w="1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8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95.01%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90.01%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90%</w:t>
            </w:r>
          </w:p>
        </w:tc>
        <w:tc>
          <w:tcPr>
            <w:tcW w:type="dxa" w:w="1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48"/>
        </w:trPr>
        <w:tc>
          <w:tcPr>
            <w:tcW w:type="dxa" w:w="1805"/>
            <w:vMerge/>
            <w:tcBorders/>
          </w:tcPr>
          <w:p/>
        </w:tc>
        <w:tc>
          <w:tcPr>
            <w:tcW w:type="dxa" w:w="920"/>
            <w:vMerge w:val="restart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11.66</w:t>
            </w:r>
          </w:p>
        </w:tc>
        <w:tc>
          <w:tcPr>
            <w:tcW w:type="dxa" w:w="920"/>
            <w:vMerge w:val="restart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2.84</w:t>
            </w:r>
          </w:p>
        </w:tc>
        <w:tc>
          <w:tcPr>
            <w:tcW w:type="dxa" w:w="1400"/>
            <w:vMerge w:val="restart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lower better</w:t>
            </w:r>
          </w:p>
        </w:tc>
        <w:tc>
          <w:tcPr>
            <w:tcW w:type="dxa" w:w="1902"/>
            <w:vMerge w:val="restart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×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improvement</w:t>
            </w:r>
          </w:p>
        </w:tc>
      </w:tr>
      <w:tr>
        <w:trPr>
          <w:trHeight w:hRule="exact" w:val="312"/>
        </w:trPr>
        <w:tc>
          <w:tcPr>
            <w:tcW w:type="dxa" w:w="1716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(diagnostic)</w:t>
            </w:r>
          </w:p>
        </w:tc>
        <w:tc>
          <w:tcPr>
            <w:tcW w:type="dxa" w:w="1805"/>
            <w:vMerge/>
            <w:tcBorders>
              <w:bottom w:sz="6.943999767303467" w:val="single" w:color="#000000"/>
            </w:tcBorders>
          </w:tcPr>
          <w:p/>
        </w:tc>
        <w:tc>
          <w:tcPr>
            <w:tcW w:type="dxa" w:w="1805"/>
            <w:vMerge/>
            <w:tcBorders>
              <w:bottom w:sz="6.943999767303467" w:val="single" w:color="#000000"/>
            </w:tcBorders>
          </w:tcPr>
          <w:p/>
        </w:tc>
        <w:tc>
          <w:tcPr>
            <w:tcW w:type="dxa" w:w="1805"/>
            <w:vMerge/>
            <w:tcBorders>
              <w:bottom w:sz="6.943999767303467" w:val="single" w:color="#000000"/>
            </w:tcBorders>
          </w:tcPr>
          <w:p/>
        </w:tc>
        <w:tc>
          <w:tcPr>
            <w:tcW w:type="dxa" w:w="1805"/>
            <w:vMerge/>
            <w:tcBorders>
              <w:bottom w:sz="6.94399976730346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1492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27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284" w:lineRule="exact" w:before="648" w:after="46"/>
        <w:ind w:left="1356" w:right="308" w:hanging="101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5.6.:</w:t>
      </w:r>
      <w:r>
        <w:rPr>
          <w:w w:val="98.57678846879439"/>
          <w:rFonts w:ascii="URWPalladioL" w:hAnsi="URWPalladioL" w:eastAsia="URWPalladioL"/>
          <w:b w:val="0"/>
          <w:i w:val="0"/>
          <w:color w:val="000000"/>
          <w:sz w:val="22"/>
        </w:rPr>
        <w:t xml:space="preserve"> Trial 9 attributes nearly all predicted uncertainty to the aleatoric component.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Whether this reflects genuine traffic-flow variability or NLL-driven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infla-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tion [22] cannot be separated without ground-truth uncertainty labels.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3.9999999999998" w:type="dxa"/>
      </w:tblPr>
      <w:tblGrid>
        <w:gridCol w:w="4513"/>
        <w:gridCol w:w="4513"/>
      </w:tblGrid>
      <w:tr>
        <w:trPr>
          <w:trHeight w:hRule="exact" w:val="396"/>
        </w:trPr>
        <w:tc>
          <w:tcPr>
            <w:tcW w:type="dxa" w:w="4746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13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Quantity</w:t>
            </w:r>
          </w:p>
        </w:tc>
        <w:tc>
          <w:tcPr>
            <w:tcW w:type="dxa" w:w="93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Value</w:t>
            </w:r>
          </w:p>
        </w:tc>
      </w:tr>
      <w:tr>
        <w:trPr>
          <w:trHeight w:hRule="exact" w:val="1250"/>
        </w:trPr>
        <w:tc>
          <w:tcPr>
            <w:tcW w:type="dxa" w:w="4746"/>
            <w:tcBorders>
              <w:top w:sz="4.335999965667725" w:val="single" w:color="#000000"/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130" w:right="1728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Mean aleatoric ¯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alea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(veh/h)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Mean epistemic ¯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epi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(veh/h)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Ratio ¯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alea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/¯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epi</w:t>
            </w:r>
          </w:p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Fraction of nodes that are aleatoric-dominated</w:t>
            </w:r>
          </w:p>
        </w:tc>
        <w:tc>
          <w:tcPr>
            <w:tcW w:type="dxa" w:w="930"/>
            <w:tcBorders>
              <w:top w:sz="4.335999965667725" w:val="single" w:color="#000000"/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4.66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1.10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4.24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99.85%</w:t>
            </w:r>
          </w:p>
        </w:tc>
      </w:tr>
    </w:tbl>
    <w:p>
      <w:pPr>
        <w:autoSpaceDN w:val="0"/>
        <w:autoSpaceDE w:val="0"/>
        <w:widowControl/>
        <w:spacing w:line="284" w:lineRule="exact" w:before="398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gates fail. The pattern is consistent with pinball gradients reshaping representations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that were originally learned for the conditional mean under MSE.</w:t>
      </w:r>
    </w:p>
    <w:p>
      <w:pPr>
        <w:autoSpaceDN w:val="0"/>
        <w:autoSpaceDE w:val="0"/>
        <w:widowControl/>
        <w:spacing w:line="218" w:lineRule="exact" w:before="480" w:after="44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5.7.: T10 against the six CQR gates.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98"/>
        </w:trPr>
        <w:tc>
          <w:tcPr>
            <w:tcW w:type="dxa" w:w="203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Metric</w:t>
            </w:r>
          </w:p>
        </w:tc>
        <w:tc>
          <w:tcPr>
            <w:tcW w:type="dxa" w:w="9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T8</w:t>
            </w:r>
          </w:p>
        </w:tc>
        <w:tc>
          <w:tcPr>
            <w:tcW w:type="dxa" w:w="15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T10</w:t>
            </w:r>
          </w:p>
        </w:tc>
        <w:tc>
          <w:tcPr>
            <w:tcW w:type="dxa" w:w="88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Gate</w:t>
            </w:r>
          </w:p>
        </w:tc>
        <w:tc>
          <w:tcPr>
            <w:tcW w:type="dxa" w:w="856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Status</w:t>
            </w:r>
          </w:p>
        </w:tc>
      </w:tr>
      <w:tr>
        <w:trPr>
          <w:trHeight w:hRule="exact" w:val="320"/>
        </w:trPr>
        <w:tc>
          <w:tcPr>
            <w:tcW w:type="dxa" w:w="203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8" w:after="0"/>
              <w:ind w:left="13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(midpoint)</w:t>
            </w:r>
          </w:p>
        </w:tc>
        <w:tc>
          <w:tcPr>
            <w:tcW w:type="dxa" w:w="9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0.5957</w:t>
            </w:r>
          </w:p>
        </w:tc>
        <w:tc>
          <w:tcPr>
            <w:tcW w:type="dxa" w:w="15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0.4057</w:t>
            </w:r>
          </w:p>
        </w:tc>
        <w:tc>
          <w:tcPr>
            <w:tcW w:type="dxa" w:w="8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0.57</w:t>
            </w:r>
          </w:p>
        </w:tc>
        <w:tc>
          <w:tcPr>
            <w:tcW w:type="dxa" w:w="856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FAIL</w:t>
            </w:r>
          </w:p>
        </w:tc>
      </w:tr>
      <w:tr>
        <w:trPr>
          <w:trHeight w:hRule="exact" w:val="300"/>
        </w:trPr>
        <w:tc>
          <w:tcPr>
            <w:tcW w:type="dxa" w:w="2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90.02%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89.47%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0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88%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260"/>
        </w:trPr>
        <w:tc>
          <w:tcPr>
            <w:tcW w:type="dxa" w:w="20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8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95.01%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91.78%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93%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FAIL</w:t>
            </w:r>
          </w:p>
        </w:tc>
      </w:tr>
      <w:tr>
        <w:trPr>
          <w:trHeight w:hRule="exact" w:val="58"/>
        </w:trPr>
        <w:tc>
          <w:tcPr>
            <w:tcW w:type="dxa" w:w="1805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17.78</w:t>
            </w:r>
            <w:r>
              <w:rPr>
                <w:w w:val="98.846087248429"/>
                <w:rFonts w:ascii="CMMI10" w:hAnsi="CMMI10" w:eastAsia="CMMI10"/>
                <w:b w:val="0"/>
                <w:i/>
                <w:color w:val="000000"/>
                <w:sz w:val="23"/>
              </w:rPr>
              <w:t xml:space="preserve"> &lt;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20.02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262"/>
        </w:trPr>
        <w:tc>
          <w:tcPr>
            <w:tcW w:type="dxa" w:w="2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Width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&lt; Width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71"/>
        </w:trPr>
        <w:tc>
          <w:tcPr>
            <w:tcW w:type="dxa" w:w="2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Q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0.0011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w w:val="98.846087248429"/>
                <w:rFonts w:ascii="CMMI10" w:hAnsi="CMMI10" w:eastAsia="CMMI10"/>
                <w:b w:val="0"/>
                <w:i/>
                <w:color w:val="000000"/>
                <w:sz w:val="23"/>
              </w:rPr>
              <w:t>&gt;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0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FAIL</w:t>
            </w:r>
          </w:p>
        </w:tc>
      </w:tr>
      <w:tr>
        <w:trPr>
          <w:trHeight w:hRule="exact" w:val="349"/>
        </w:trPr>
        <w:tc>
          <w:tcPr>
            <w:tcW w:type="dxa" w:w="203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Q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92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52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1.121</w:t>
            </w:r>
          </w:p>
        </w:tc>
        <w:tc>
          <w:tcPr>
            <w:tcW w:type="dxa" w:w="88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w w:val="98.846087248429"/>
                <w:rFonts w:ascii="CMMI10" w:hAnsi="CMMI10" w:eastAsia="CMMI10"/>
                <w:b w:val="0"/>
                <w:i/>
                <w:color w:val="000000"/>
                <w:sz w:val="23"/>
              </w:rPr>
              <w:t>&gt;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0</w:t>
            </w:r>
          </w:p>
        </w:tc>
        <w:tc>
          <w:tcPr>
            <w:tcW w:type="dxa" w:w="856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86" w:lineRule="exact" w:before="70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5.9. Trial 11: CQR with Frozen Backbone (Positive)</w:t>
      </w:r>
    </w:p>
    <w:p>
      <w:pPr>
        <w:autoSpaceDN w:val="0"/>
        <w:autoSpaceDE w:val="0"/>
        <w:widowControl/>
        <w:spacing w:line="284" w:lineRule="exact" w:before="220" w:after="0"/>
        <w:ind w:left="344" w:right="288" w:hanging="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T11 freezes the T8 backbone and trains only the 134-parameter quantile head with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same pinball loss, calibration protocol and learning rate as T10. All six gates pass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(Table 5.8):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0.5835 (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≈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2% below T8), both PICP targets hit to within 0.2 pp, both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conformal corrections positive, widths monotone. MAE rises slightly to 4.302 vs T8’s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3.957 – the cost of asymmetric calibrated intervals at one deterministic forward pass.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Since T10 and T11 share head, loss, data, calibration and learning rate, the contrast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isolates a single knob (backbone trainability) and gives the strongest evidence in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chapter for the freezing-backbone observation developed in Chapter 6.</w:t>
      </w:r>
    </w:p>
    <w:p>
      <w:pPr>
        <w:autoSpaceDN w:val="0"/>
        <w:autoSpaceDE w:val="0"/>
        <w:widowControl/>
        <w:spacing w:line="218" w:lineRule="exact" w:before="168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28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218" w:lineRule="exact" w:before="956" w:after="44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5.8.: T11 passes all six CQR gates.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98"/>
        </w:trPr>
        <w:tc>
          <w:tcPr>
            <w:tcW w:type="dxa" w:w="203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Metric</w:t>
            </w:r>
          </w:p>
        </w:tc>
        <w:tc>
          <w:tcPr>
            <w:tcW w:type="dxa" w:w="9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T8</w:t>
            </w:r>
          </w:p>
        </w:tc>
        <w:tc>
          <w:tcPr>
            <w:tcW w:type="dxa" w:w="15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T11</w:t>
            </w:r>
          </w:p>
        </w:tc>
        <w:tc>
          <w:tcPr>
            <w:tcW w:type="dxa" w:w="88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Gate</w:t>
            </w:r>
          </w:p>
        </w:tc>
        <w:tc>
          <w:tcPr>
            <w:tcW w:type="dxa" w:w="856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Status</w:t>
            </w:r>
          </w:p>
        </w:tc>
      </w:tr>
      <w:tr>
        <w:trPr>
          <w:trHeight w:hRule="exact" w:val="318"/>
        </w:trPr>
        <w:tc>
          <w:tcPr>
            <w:tcW w:type="dxa" w:w="203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6" w:after="0"/>
              <w:ind w:left="13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(midpoint)</w:t>
            </w:r>
          </w:p>
        </w:tc>
        <w:tc>
          <w:tcPr>
            <w:tcW w:type="dxa" w:w="9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0.5957</w:t>
            </w:r>
          </w:p>
        </w:tc>
        <w:tc>
          <w:tcPr>
            <w:tcW w:type="dxa" w:w="15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0.5835</w:t>
            </w:r>
          </w:p>
        </w:tc>
        <w:tc>
          <w:tcPr>
            <w:tcW w:type="dxa" w:w="8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0.57</w:t>
            </w:r>
          </w:p>
        </w:tc>
        <w:tc>
          <w:tcPr>
            <w:tcW w:type="dxa" w:w="856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280"/>
        </w:trPr>
        <w:tc>
          <w:tcPr>
            <w:tcW w:type="dxa" w:w="20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7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90.02%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89.82%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88%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56"/>
        </w:trPr>
        <w:tc>
          <w:tcPr>
            <w:tcW w:type="dxa" w:w="1805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95.01%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94.91%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≥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93%</w:t>
            </w:r>
          </w:p>
        </w:tc>
        <w:tc>
          <w:tcPr>
            <w:tcW w:type="dxa" w:w="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224"/>
        </w:trPr>
        <w:tc>
          <w:tcPr>
            <w:tcW w:type="dxa" w:w="20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805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17.83</w:t>
            </w:r>
            <w:r>
              <w:rPr>
                <w:w w:val="98.846087248429"/>
                <w:rFonts w:ascii="CMMI10" w:hAnsi="CMMI10" w:eastAsia="CMMI10"/>
                <w:b w:val="0"/>
                <w:i/>
                <w:color w:val="000000"/>
                <w:sz w:val="23"/>
              </w:rPr>
              <w:t xml:space="preserve"> &lt;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24.82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260"/>
        </w:trPr>
        <w:tc>
          <w:tcPr>
            <w:tcW w:type="dxa" w:w="2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Width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&lt; Width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71"/>
        </w:trPr>
        <w:tc>
          <w:tcPr>
            <w:tcW w:type="dxa" w:w="2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Q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0.124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w w:val="98.846087248429"/>
                <w:rFonts w:ascii="CMMI10" w:hAnsi="CMMI10" w:eastAsia="CMMI10"/>
                <w:b w:val="0"/>
                <w:i/>
                <w:color w:val="000000"/>
                <w:sz w:val="23"/>
              </w:rPr>
              <w:t>&gt;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0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351"/>
        </w:trPr>
        <w:tc>
          <w:tcPr>
            <w:tcW w:type="dxa" w:w="203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Q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92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52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3.623</w:t>
            </w:r>
          </w:p>
        </w:tc>
        <w:tc>
          <w:tcPr>
            <w:tcW w:type="dxa" w:w="88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w w:val="98.846087248429"/>
                <w:rFonts w:ascii="CMMI10" w:hAnsi="CMMI10" w:eastAsia="CMMI10"/>
                <w:b w:val="0"/>
                <w:i/>
                <w:color w:val="000000"/>
                <w:sz w:val="23"/>
              </w:rPr>
              <w:t>&gt;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0</w:t>
            </w:r>
          </w:p>
        </w:tc>
        <w:tc>
          <w:tcPr>
            <w:tcW w:type="dxa" w:w="856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62" w:lineRule="auto" w:before="672" w:after="42"/>
        <w:ind w:left="1780" w:right="0" w:firstLine="0"/>
        <w:jc w:val="left"/>
      </w:pPr>
      <w:r>
        <w:rPr>
          <w:w w:val="101.19199752807617"/>
          <w:rFonts w:ascii="DejaVu Serif" w:hAnsi="DejaVu Serif" w:eastAsia="DejaVu Serif"/>
          <w:b w:val="0"/>
          <w:i w:val="0"/>
          <w:color w:val="000000"/>
          <w:sz w:val="15"/>
        </w:rPr>
        <w:t>CQR R</w:t>
      </w:r>
      <w:r>
        <w:rPr>
          <w:w w:val="96.59235694191672"/>
          <w:rFonts w:ascii="DejaVu Sans" w:hAnsi="DejaVu Sans" w:eastAsia="DejaVu Sans"/>
          <w:b w:val="0"/>
          <w:i w:val="0"/>
          <w:color w:val="000000"/>
          <w:sz w:val="11"/>
        </w:rPr>
        <w:t>2</w:t>
      </w:r>
      <w:r>
        <w:rPr>
          <w:w w:val="101.19199752807617"/>
          <w:rFonts w:ascii="DejaVu Serif" w:hAnsi="DejaVu Serif" w:eastAsia="DejaVu Serif"/>
          <w:b w:val="0"/>
          <w:i w:val="0"/>
          <w:color w:val="000000"/>
          <w:sz w:val="15"/>
        </w:rPr>
        <w:t xml:space="preserve"> progression: only frozen-backbone training (T11) preserves accuracy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4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62" w:lineRule="auto" w:before="410" w:after="0"/>
              <w:ind w:left="0" w:right="12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4"/>
              </w:rPr>
              <w:t xml:space="preserve">Test </w:t>
            </w:r>
            <w:r>
              <w:rPr>
                <w:rFonts w:ascii="DejaVu Sans" w:hAnsi="DejaVu Sans" w:eastAsia="DejaVu Sans"/>
                <w:b w:val="0"/>
                <w:i/>
                <w:color w:val="000000"/>
                <w:sz w:val="14"/>
              </w:rPr>
              <w:t>R</w:t>
            </w:r>
            <w:r>
              <w:rPr>
                <w:w w:val="97.39729881286621"/>
                <w:rFonts w:ascii="DejaVu Sans" w:hAnsi="DejaVu Sans" w:eastAsia="DejaVu Sans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000000"/>
                <w:sz w:val="14"/>
              </w:rPr>
              <w:t xml:space="preserve"> (midpoint)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0" w:firstLine="0"/>
              <w:jc w:val="center"/>
            </w:pPr>
            <w:r>
              <w:rPr>
                <w:w w:val="97.3000012911283"/>
                <w:rFonts w:ascii="DejaVu Serif" w:hAnsi="DejaVu Serif" w:eastAsia="DejaVu Serif"/>
                <w:b w:val="0"/>
                <w:i w:val="0"/>
                <w:color w:val="000000"/>
                <w:sz w:val="13"/>
              </w:rPr>
              <w:t>0.7</w:t>
            </w:r>
          </w:p>
        </w:tc>
        <w:tc>
          <w:tcPr>
            <w:tcW w:type="dxa" w:w="736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  <w:gridCol w:w="409"/>
            </w:tblGrid>
            <w:tr>
              <w:trPr>
                <w:trHeight w:hRule="exact" w:val="46"/>
              </w:trPr>
              <w:tc>
                <w:tcPr>
                  <w:tcW w:type="dxa" w:w="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50"/>
                  <w:gridSpan w:val="3"/>
                  <w:tcBorders>
                    <w:top w:sz="5.059599876403809" w:val="single" w:color="#CBCCCB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>
                    <w:top w:sz="5.059599876403809" w:val="single" w:color="#CBCCCB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86"/>
                  <w:gridSpan w:val="5"/>
                  <w:tcBorders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44"/>
                  <w:gridSpan w:val="5"/>
                  <w:tcBorders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16"/>
                  <w:gridSpan w:val="3"/>
                  <w:tcBorders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14"/>
              </w:trPr>
              <w:tc>
                <w:tcPr>
                  <w:tcW w:type="dxa" w:w="62"/>
                  <w:vMerge w:val="restart"/>
                  <w:tcBorders>
                    <w:start w:sz="4.047679901123047" w:val="single" w:color="#333332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50"/>
                  <w:gridSpan w:val="3"/>
                  <w:tcBorders>
                    <w:start w:sz="5.059599876403809" w:val="single" w:color="#CBCCCB"/>
                    <w:top w:sz="2.5297999382019043" w:val="single" w:color="#CBCCCB"/>
                    <w:end w:sz="2.5297999382019043" w:val="single" w:color="#CBCCCB"/>
                    <w:bottom w:sz="5.059599876403809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0" w:after="0"/>
                    <w:ind w:left="0" w:right="0" w:firstLine="0"/>
                    <w:jc w:val="right"/>
                  </w:pPr>
                  <w:r>
                    <w:rPr>
                      <w:rFonts w:ascii="DejaVu Sans" w:hAnsi="DejaVu Sans" w:eastAsia="DejaVu Sans"/>
                      <w:b w:val="0"/>
                      <w:i/>
                      <w:color w:val="000000"/>
                      <w:sz w:val="12"/>
                    </w:rPr>
                    <w:t>R</w:t>
                  </w:r>
                  <w:r>
                    <w:rPr>
                      <w:w w:val="105.1448106765747"/>
                      <w:rFonts w:ascii="DejaVu Sans" w:hAnsi="DejaVu Sans" w:eastAsia="DejaVu Sans"/>
                      <w:b w:val="0"/>
                      <w:i w:val="0"/>
                      <w:color w:val="000000"/>
                      <w:sz w:val="8"/>
                    </w:rPr>
                    <w:t>2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000000"/>
                      <w:sz w:val="12"/>
                    </w:rPr>
                    <w:t>≥0.57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000000"/>
                      <w:sz w:val="12"/>
                    </w:rPr>
                    <w:t xml:space="preserve"> gate</w:t>
                  </w:r>
                </w:p>
              </w:tc>
              <w:tc>
                <w:tcPr>
                  <w:tcW w:type="dxa" w:w="2240"/>
                  <w:gridSpan w:val="6"/>
                  <w:vMerge w:val="restart"/>
                  <w:tcBorders>
                    <w:start w:sz="2.5297999382019043" w:val="single" w:color="#CBCCCB"/>
                    <w:top w:sz="2.5297999382019043" w:val="single" w:color="#CBCCCB"/>
                    <w:end w:sz="5.059599876403809" w:val="single" w:color="#CBCCCB"/>
                    <w:bottom w:sz="5.059599876403809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000000"/>
                      <w:sz w:val="12"/>
                    </w:rPr>
                    <w:t>e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378" w:after="0"/>
                    <w:ind w:left="0" w:right="0" w:firstLine="0"/>
                    <w:jc w:val="left"/>
                  </w:pPr>
                  <w:r>
                    <w:rPr>
                      <w:w w:val="97.3000012911283"/>
                      <w:rFonts w:ascii="DejaVu Serif" w:hAnsi="DejaVu Serif" w:eastAsia="DejaVu Serif"/>
                      <w:b/>
                      <w:i w:val="0"/>
                      <w:color w:val="222222"/>
                      <w:sz w:val="13"/>
                    </w:rPr>
                    <w:t>7</w:t>
                  </w:r>
                </w:p>
              </w:tc>
              <w:tc>
                <w:tcPr>
                  <w:tcW w:type="dxa" w:w="2244"/>
                  <w:gridSpan w:val="5"/>
                  <w:vMerge w:val="restart"/>
                  <w:tcBorders>
                    <w:start w:sz="2.5297999382019043" w:val="single" w:color="#CBCCCB"/>
                    <w:top w:sz="2.5297999382019043" w:val="single" w:color="#CBCCCB"/>
                    <w:end w:sz="2.5297999382019043" w:val="single" w:color="#CBCCCB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0" w:right="18" w:firstLine="0"/>
                    <w:jc w:val="right"/>
                  </w:pPr>
                  <w:r>
                    <w:rPr>
                      <w:w w:val="97.3000012911283"/>
                      <w:rFonts w:ascii="DejaVu Serif" w:hAnsi="DejaVu Serif" w:eastAsia="DejaVu Serif"/>
                      <w:b/>
                      <w:i w:val="0"/>
                      <w:color w:val="222222"/>
                      <w:sz w:val="13"/>
                    </w:rPr>
                    <w:t>0.5</w:t>
                  </w:r>
                </w:p>
              </w:tc>
              <w:tc>
                <w:tcPr>
                  <w:tcW w:type="dxa" w:w="1216"/>
                  <w:gridSpan w:val="3"/>
                  <w:vMerge w:val="restart"/>
                  <w:tcBorders>
                    <w:start w:sz="2.5297999382019043" w:val="single" w:color="#CBCCCB"/>
                    <w:top w:sz="2.5297999382019043" w:val="single" w:color="#CBCCCB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0" w:right="0" w:firstLine="0"/>
                    <w:jc w:val="left"/>
                  </w:pPr>
                  <w:r>
                    <w:rPr>
                      <w:w w:val="97.3000012911283"/>
                      <w:rFonts w:ascii="DejaVu Serif" w:hAnsi="DejaVu Serif" w:eastAsia="DejaVu Serif"/>
                      <w:b/>
                      <w:i w:val="0"/>
                      <w:color w:val="222222"/>
                      <w:sz w:val="13"/>
                    </w:rPr>
                    <w:t>835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409"/>
                  <w:vMerge/>
                  <w:tcBorders>
                    <w:start w:sz="4.047679901123047" w:val="single" w:color="#333332"/>
                  </w:tcBorders>
                </w:tcPr>
                <w:p/>
              </w:tc>
              <w:tc>
                <w:tcPr>
                  <w:tcW w:type="dxa" w:w="40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40"/>
                  <w:gridSpan w:val="6"/>
                  <w:vMerge/>
                  <w:tcBorders>
                    <w:start w:sz="2.5297999382019043" w:val="single" w:color="#CBCCCB"/>
                    <w:end w:sz="2.5297999382019043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68" w:after="0"/>
                    <w:ind w:left="0" w:right="0" w:firstLine="0"/>
                    <w:jc w:val="left"/>
                  </w:pPr>
                  <w:r>
                    <w:rPr>
                      <w:w w:val="97.3000012911283"/>
                      <w:rFonts w:ascii="DejaVu Serif" w:hAnsi="DejaVu Serif" w:eastAsia="DejaVu Serif"/>
                      <w:b/>
                      <w:i w:val="0"/>
                      <w:color w:val="222222"/>
                      <w:sz w:val="13"/>
                    </w:rPr>
                    <w:t>957</w:t>
                  </w:r>
                </w:p>
              </w:tc>
              <w:tc>
                <w:tcPr>
                  <w:tcW w:type="dxa" w:w="2045"/>
                  <w:gridSpan w:val="5"/>
                  <w:vMerge/>
                  <w:tcBorders>
                    <w:start w:sz="2.5297999382019043" w:val="single" w:color="#CBCCCB"/>
                    <w:top w:sz="2.5297999382019043" w:val="single" w:color="#CBCCCB"/>
                    <w:end w:sz="2.5297999382019043" w:val="single" w:color="#CBCCCB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1227"/>
                  <w:gridSpan w:val="3"/>
                  <w:vMerge/>
                  <w:tcBorders>
                    <w:start w:sz="2.5297999382019043" w:val="single" w:color="#CBCCCB"/>
                    <w:top w:sz="2.5297999382019043" w:val="single" w:color="#CBCCCB"/>
                    <w:bottom w:sz="2.5297999382019043" w:val="single" w:color="#CBCCCB"/>
                  </w:tcBorders>
                </w:tcPr>
                <w:p/>
              </w:tc>
            </w:tr>
            <w:tr>
              <w:trPr>
                <w:trHeight w:hRule="exact" w:val="78"/>
              </w:trPr>
              <w:tc>
                <w:tcPr>
                  <w:tcW w:type="dxa" w:w="314"/>
                  <w:gridSpan w:val="2"/>
                  <w:vMerge w:val="restart"/>
                  <w:tcBorders>
                    <w:start w:sz="4.047679901123047" w:val="single" w:color="#333332"/>
                    <w:top w:sz="2.5297999382019043" w:val="single" w:color="#CBCCCB"/>
                    <w:end w:sz="6.0715203285217285" w:val="single" w:color="#545554"/>
                    <w:bottom w:sz="5.059599876403809" w:val="single" w:color="#8788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8"/>
                  <w:gridSpan w:val="2"/>
                  <w:vMerge w:val="restart"/>
                  <w:tcBorders>
                    <w:start w:sz="6.0715203285217285" w:val="single" w:color="#545554"/>
                    <w:end w:sz="2.5297999382019043" w:val="single" w:color="#CBCCCB"/>
                    <w:bottom w:sz="5.059599876403809" w:val="single" w:color="#878887"/>
                  </w:tcBorders>
                  <w:shd w:fill="dad7c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6"/>
                  <w:gridSpan w:val="3"/>
                  <w:vMerge w:val="restart"/>
                  <w:tcBorders>
                    <w:start w:sz="2.5297999382019043" w:val="single" w:color="#CBCCCB"/>
                    <w:end w:sz="6.0715203285217285" w:val="single" w:color="#545554"/>
                    <w:bottom w:sz="5.059599876403809" w:val="single" w:color="#878887"/>
                  </w:tcBorders>
                  <w:shd w:fill="dad7c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4"/>
                  <w:gridSpan w:val="3"/>
                  <w:vMerge w:val="restart"/>
                  <w:tcBorders>
                    <w:start w:sz="6.0715203285217285" w:val="single" w:color="#545554"/>
                    <w:top w:sz="2.5297999382019043" w:val="single" w:color="#CBCCCB"/>
                    <w:end w:sz="2.5297999382019043" w:val="single" w:color="#CBCCCB"/>
                    <w:bottom w:sz="5.059599876403809" w:val="single" w:color="#8788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6"/>
                  <w:tcBorders>
                    <w:top w:sz="2.52979993820190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2"/>
                  <w:tcBorders>
                    <w:top w:sz="2.52979993820190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8"/>
                  <w:tcBorders>
                    <w:top w:sz="2.52979993820190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4"/>
                  <w:tcBorders>
                    <w:top w:sz="2.5297999382019043" w:val="single" w:color="#CBCCCB"/>
                    <w:bottom w:sz="6.0715203285217285" w:val="single" w:color="#54555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"/>
                  <w:tcBorders>
                    <w:top w:sz="2.5297999382019043" w:val="single" w:color="#CBCCCB"/>
                    <w:bottom w:sz="6.0715203285217285" w:val="single" w:color="#54555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16"/>
                  <w:gridSpan w:val="3"/>
                  <w:tcBorders>
                    <w:top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208" w:firstLine="0"/>
                    <w:jc w:val="right"/>
                  </w:pPr>
                  <w:r>
                    <w:rPr>
                      <w:w w:val="103.49181782115589"/>
                      <w:rFonts w:ascii="DejaVu Serif" w:hAnsi="DejaVu Serif" w:eastAsia="DejaVu Serif"/>
                      <w:b w:val="0"/>
                      <w:i w:val="0"/>
                      <w:color w:val="666666"/>
                      <w:sz w:val="11"/>
                    </w:rPr>
                    <w:t>Gate</w:t>
                  </w:r>
                </w:p>
              </w:tc>
            </w:tr>
            <w:tr>
              <w:trPr>
                <w:trHeight w:hRule="exact" w:val="74"/>
              </w:trPr>
              <w:tc>
                <w:tcPr>
                  <w:tcW w:type="dxa" w:w="818"/>
                  <w:gridSpan w:val="2"/>
                  <w:vMerge/>
                  <w:tcBorders>
                    <w:start w:sz="4.047679901123047" w:val="single" w:color="#333332"/>
                    <w:top w:sz="2.5297999382019043" w:val="single" w:color="#CBCCCB"/>
                    <w:end w:sz="6.0715203285217285" w:val="single" w:color="#545554"/>
                    <w:bottom w:sz="5.059599876403809" w:val="single" w:color="#878887"/>
                  </w:tcBorders>
                </w:tcPr>
                <w:p/>
              </w:tc>
              <w:tc>
                <w:tcPr>
                  <w:tcW w:type="dxa" w:w="818"/>
                  <w:gridSpan w:val="2"/>
                  <w:vMerge/>
                  <w:tcBorders>
                    <w:start w:sz="6.0715203285217285" w:val="single" w:color="#545554"/>
                    <w:end w:sz="2.5297999382019043" w:val="single" w:color="#CBCCCB"/>
                    <w:bottom w:sz="5.059599876403809" w:val="single" w:color="#878887"/>
                  </w:tcBorders>
                </w:tcPr>
                <w:p/>
              </w:tc>
              <w:tc>
                <w:tcPr>
                  <w:tcW w:type="dxa" w:w="1227"/>
                  <w:gridSpan w:val="3"/>
                  <w:vMerge/>
                  <w:tcBorders>
                    <w:start w:sz="2.5297999382019043" w:val="single" w:color="#CBCCCB"/>
                    <w:end w:sz="6.0715203285217285" w:val="single" w:color="#545554"/>
                    <w:bottom w:sz="5.059599876403809" w:val="single" w:color="#878887"/>
                  </w:tcBorders>
                </w:tcPr>
                <w:p/>
              </w:tc>
              <w:tc>
                <w:tcPr>
                  <w:tcW w:type="dxa" w:w="1227"/>
                  <w:gridSpan w:val="3"/>
                  <w:vMerge/>
                  <w:tcBorders>
                    <w:start w:sz="6.0715203285217285" w:val="single" w:color="#545554"/>
                    <w:top w:sz="2.5297999382019043" w:val="single" w:color="#CBCCCB"/>
                    <w:end w:sz="2.5297999382019043" w:val="single" w:color="#CBCCCB"/>
                    <w:bottom w:sz="5.059599876403809" w:val="single" w:color="#878887"/>
                  </w:tcBorders>
                </w:tcPr>
                <w:p/>
              </w:tc>
              <w:tc>
                <w:tcPr>
                  <w:tcW w:type="dxa" w:w="196"/>
                  <w:tcBorders>
                    <w:bottom w:sz="5.059599876403809" w:val="single" w:color="#87888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2"/>
                  <w:tcBorders>
                    <w:bottom w:sz="5.059599876403809" w:val="single" w:color="#87888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8"/>
                  <w:tcBorders>
                    <w:bottom w:sz="5.059599876403809" w:val="single" w:color="#87888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4"/>
                  <w:tcBorders>
                    <w:top w:sz="6.0715203285217285" w:val="single" w:color="#545554"/>
                    <w:bottom w:sz="5.059599876403809" w:val="single" w:color="#878887"/>
                  </w:tcBorders>
                  <w:shd w:fill="98c6ea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"/>
                  <w:tcBorders>
                    <w:top w:sz="6.0715203285217285" w:val="single" w:color="#545554"/>
                    <w:bottom w:sz="5.059599876403809" w:val="single" w:color="#878887"/>
                  </w:tcBorders>
                  <w:shd w:fill="98c6ea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6"/>
                  <w:gridSpan w:val="2"/>
                  <w:tcBorders>
                    <w:top w:sz="6.0715203285217285" w:val="single" w:color="#545554"/>
                    <w:bottom w:sz="5.059599876403809" w:val="single" w:color="#878887"/>
                  </w:tcBorders>
                  <w:shd w:fill="98c6ea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8"/>
              </w:trPr>
              <w:tc>
                <w:tcPr>
                  <w:tcW w:type="dxa" w:w="314"/>
                  <w:gridSpan w:val="2"/>
                  <w:tcBorders>
                    <w:start w:sz="4.047679901123047" w:val="single" w:color="#333332"/>
                    <w:top w:sz="5.059599876403809" w:val="single" w:color="#878887"/>
                    <w:end w:sz="6.0715203285217285" w:val="single" w:color="#545554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8"/>
                  <w:gridSpan w:val="2"/>
                  <w:tcBorders>
                    <w:start w:sz="6.0715203285217285" w:val="single" w:color="#545554"/>
                    <w:top w:sz="5.059599876403809" w:val="single" w:color="#878887"/>
                    <w:end w:sz="2.5297999382019043" w:val="single" w:color="#CBCCCB"/>
                    <w:bottom w:sz="2.5297999382019043" w:val="single" w:color="#CBCCCB"/>
                  </w:tcBorders>
                  <w:shd w:fill="dad7c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6"/>
                  <w:gridSpan w:val="3"/>
                  <w:tcBorders>
                    <w:start w:sz="2.5297999382019043" w:val="single" w:color="#CBCCCB"/>
                    <w:top w:sz="5.059599876403809" w:val="single" w:color="#878887"/>
                    <w:end w:sz="6.0715203285217285" w:val="single" w:color="#545554"/>
                    <w:bottom w:sz="2.5297999382019043" w:val="single" w:color="#CBCCCB"/>
                  </w:tcBorders>
                  <w:shd w:fill="dad7c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4"/>
                  <w:gridSpan w:val="3"/>
                  <w:tcBorders>
                    <w:start w:sz="6.0715203285217285" w:val="single" w:color="#545554"/>
                    <w:top w:sz="5.059599876403809" w:val="single" w:color="#878887"/>
                    <w:end w:sz="2.5297999382019043" w:val="single" w:color="#CBCCCB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6"/>
                  <w:gridSpan w:val="3"/>
                  <w:tcBorders>
                    <w:start w:sz="2.5297999382019043" w:val="single" w:color="#CBCCCB"/>
                    <w:top w:sz="5.059599876403809" w:val="single" w:color="#878887"/>
                    <w:end w:sz="6.0715203285217285" w:val="single" w:color="#545554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8"/>
                  <w:gridSpan w:val="2"/>
                  <w:tcBorders>
                    <w:start w:sz="6.0715203285217285" w:val="single" w:color="#545554"/>
                    <w:top w:sz="5.059599876403809" w:val="single" w:color="#878887"/>
                    <w:end w:sz="2.5297999382019043" w:val="single" w:color="#CBCCCB"/>
                    <w:bottom w:sz="2.5297999382019043" w:val="single" w:color="#CBCCCB"/>
                  </w:tcBorders>
                  <w:shd w:fill="98c6ea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6"/>
                  <w:gridSpan w:val="2"/>
                  <w:tcBorders>
                    <w:start w:sz="2.5297999382019043" w:val="single" w:color="#CBCCCB"/>
                    <w:top w:sz="5.059599876403809" w:val="single" w:color="#878887"/>
                    <w:end w:sz="6.0715203285217285" w:val="single" w:color="#545554"/>
                    <w:bottom w:sz="2.5297999382019043" w:val="single" w:color="#CBCCCB"/>
                  </w:tcBorders>
                  <w:shd w:fill="98c6ea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6.0715203285217285" w:val="single" w:color="#545554"/>
                    <w:top w:sz="5.059599876403809" w:val="single" w:color="#878887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26"/>
              </w:trPr>
              <w:tc>
                <w:tcPr>
                  <w:tcW w:type="dxa" w:w="314"/>
                  <w:gridSpan w:val="2"/>
                  <w:tcBorders>
                    <w:start w:sz="4.047679901123047" w:val="single" w:color="#333332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8"/>
                  <w:gridSpan w:val="2"/>
                  <w:tcBorders>
                    <w:start w:sz="6.0715203285217285" w:val="single" w:color="#545554"/>
                    <w:top w:sz="2.5297999382019043" w:val="single" w:color="#CBCCCB"/>
                    <w:end w:sz="2.5297999382019043" w:val="single" w:color="#CBCCCB"/>
                    <w:bottom w:sz="2.5297999382019043" w:val="single" w:color="#CBCCCB"/>
                  </w:tcBorders>
                  <w:shd w:fill="dad7c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6"/>
                  <w:gridSpan w:val="3"/>
                  <w:tcBorders>
                    <w:start w:sz="2.5297999382019043" w:val="single" w:color="#CBCCCB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shd w:fill="dad7c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4"/>
                  <w:gridSpan w:val="3"/>
                  <w:tcBorders>
                    <w:start w:sz="6.0715203285217285" w:val="single" w:color="#545554"/>
                    <w:top w:sz="2.5297999382019043" w:val="single" w:color="#CBCCCB"/>
                    <w:end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2" w:after="0"/>
                    <w:ind w:left="0" w:right="16" w:firstLine="0"/>
                    <w:jc w:val="right"/>
                  </w:pPr>
                  <w:r>
                    <w:rPr>
                      <w:w w:val="97.3000012911283"/>
                      <w:rFonts w:ascii="DejaVu Serif" w:hAnsi="DejaVu Serif" w:eastAsia="DejaVu Serif"/>
                      <w:b/>
                      <w:i w:val="0"/>
                      <w:color w:val="222222"/>
                      <w:sz w:val="13"/>
                    </w:rPr>
                    <w:t>0.4</w:t>
                  </w:r>
                </w:p>
              </w:tc>
              <w:tc>
                <w:tcPr>
                  <w:tcW w:type="dxa" w:w="1346"/>
                  <w:gridSpan w:val="3"/>
                  <w:tcBorders>
                    <w:start w:sz="2.5297999382019043" w:val="single" w:color="#CBCCCB"/>
                    <w:top w:sz="2.5297999382019043" w:val="single" w:color="#CBCCCB"/>
                    <w:end w:sz="6.0715203285217285" w:val="single" w:color="#545554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2" w:after="0"/>
                    <w:ind w:left="0" w:right="0" w:firstLine="0"/>
                    <w:jc w:val="left"/>
                  </w:pPr>
                  <w:r>
                    <w:rPr>
                      <w:w w:val="97.3000012911283"/>
                      <w:rFonts w:ascii="DejaVu Serif" w:hAnsi="DejaVu Serif" w:eastAsia="DejaVu Serif"/>
                      <w:b/>
                      <w:i w:val="0"/>
                      <w:color w:val="222222"/>
                      <w:sz w:val="13"/>
                    </w:rPr>
                    <w:t>057</w:t>
                  </w:r>
                </w:p>
              </w:tc>
              <w:tc>
                <w:tcPr>
                  <w:tcW w:type="dxa" w:w="898"/>
                  <w:gridSpan w:val="2"/>
                  <w:tcBorders>
                    <w:start w:sz="6.0715203285217285" w:val="single" w:color="#545554"/>
                    <w:top w:sz="2.5297999382019043" w:val="single" w:color="#CBCCCB"/>
                    <w:end w:sz="2.5297999382019043" w:val="single" w:color="#CBCCCB"/>
                    <w:bottom w:sz="2.5297999382019043" w:val="single" w:color="#CBCCCB"/>
                  </w:tcBorders>
                  <w:shd w:fill="98c6ea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6"/>
                  <w:gridSpan w:val="2"/>
                  <w:tcBorders>
                    <w:start w:sz="2.5297999382019043" w:val="single" w:color="#CBCCCB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shd w:fill="98c6ea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91"/>
              </w:trPr>
              <w:tc>
                <w:tcPr>
                  <w:tcW w:type="dxa" w:w="314"/>
                  <w:gridSpan w:val="2"/>
                  <w:vMerge w:val="restart"/>
                  <w:tcBorders>
                    <w:start w:sz="4.047679901123047" w:val="single" w:color="#333332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0"/>
                  <w:tcBorders>
                    <w:start w:sz="6.0715203285217285" w:val="single" w:color="#545554"/>
                    <w:top w:sz="2.5297999382019043" w:val="single" w:color="#CBCCCB"/>
                  </w:tcBorders>
                  <w:shd w:fill="dad7c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top w:sz="2.5297999382019043" w:val="single" w:color="#CBCCCB"/>
                    <w:end w:sz="2.5297999382019043" w:val="single" w:color="#CBCCCB"/>
                    <w:bottom w:sz="5.059599876403809" w:val="single" w:color="#878887"/>
                  </w:tcBorders>
                  <w:shd w:fill="dad7c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6"/>
                  <w:gridSpan w:val="3"/>
                  <w:tcBorders>
                    <w:start w:sz="2.5297999382019043" w:val="single" w:color="#CBCCCB"/>
                    <w:top w:sz="2.5297999382019043" w:val="single" w:color="#CBCCCB"/>
                    <w:end w:sz="6.0715203285217285" w:val="single" w:color="#545554"/>
                  </w:tcBorders>
                  <w:shd w:fill="dad7c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8"/>
                  <w:vMerge w:val="restart"/>
                  <w:tcBorders>
                    <w:start w:sz="6.0715203285217285" w:val="single" w:color="#545554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6"/>
                  <w:gridSpan w:val="2"/>
                  <w:vMerge w:val="restart"/>
                  <w:tcBorders>
                    <w:start w:sz="6.0715203285217285" w:val="single" w:color="#545554"/>
                    <w:end w:sz="2.5297999382019043" w:val="single" w:color="#CBCCCB"/>
                    <w:bottom w:sz="2.5297999382019043" w:val="single" w:color="#CBCCCB"/>
                  </w:tcBorders>
                  <w:shd w:fill="f4b18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8"/>
                  <w:gridSpan w:val="2"/>
                  <w:vMerge w:val="restart"/>
                  <w:tcBorders>
                    <w:start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shd w:fill="f4b18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8"/>
                  <w:vMerge w:val="restart"/>
                  <w:tcBorders>
                    <w:start w:sz="6.0715203285217285" w:val="single" w:color="#545554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8"/>
                  <w:gridSpan w:val="2"/>
                  <w:vMerge w:val="restart"/>
                  <w:tcBorders>
                    <w:start w:sz="6.0715203285217285" w:val="single" w:color="#545554"/>
                    <w:top w:sz="2.5297999382019043" w:val="single" w:color="#CBCCCB"/>
                    <w:end w:sz="2.5297999382019043" w:val="single" w:color="#CBCCCB"/>
                    <w:bottom w:sz="2.5297999382019043" w:val="single" w:color="#CBCCCB"/>
                  </w:tcBorders>
                  <w:shd w:fill="98c6ea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6"/>
                  <w:gridSpan w:val="2"/>
                  <w:tcBorders>
                    <w:start w:sz="2.5297999382019043" w:val="single" w:color="#CBCCCB"/>
                    <w:top w:sz="2.5297999382019043" w:val="single" w:color="#CBCCCB"/>
                    <w:end w:sz="6.0715203285217285" w:val="single" w:color="#545554"/>
                  </w:tcBorders>
                  <w:shd w:fill="98c6ea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vMerge w:val="restart"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5"/>
              </w:trPr>
              <w:tc>
                <w:tcPr>
                  <w:tcW w:type="dxa" w:w="818"/>
                  <w:gridSpan w:val="2"/>
                  <w:vMerge/>
                  <w:tcBorders>
                    <w:start w:sz="4.047679901123047" w:val="single" w:color="#333332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90"/>
                  <w:tcBorders>
                    <w:bottom w:sz="2.5297999382019043" w:val="single" w:color="#CBCCCB"/>
                  </w:tcBorders>
                  <w:shd w:fill="dad7c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top w:sz="5.059599876403809" w:val="single" w:color="#878887"/>
                    <w:bottom w:sz="2.5297999382019043" w:val="single" w:color="#CBCCCB"/>
                  </w:tcBorders>
                  <w:shd w:fill="dad7c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gridSpan w:val="2"/>
                  <w:tcBorders>
                    <w:top w:sz="5.059599876403809" w:val="single" w:color="#878887"/>
                    <w:bottom w:sz="2.5297999382019043" w:val="single" w:color="#CBCCCB"/>
                  </w:tcBorders>
                  <w:shd w:fill="dad7c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818"/>
                  <w:gridSpan w:val="2"/>
                  <w:vMerge/>
                  <w:tcBorders>
                    <w:start w:sz="6.0715203285217285" w:val="single" w:color="#545554"/>
                    <w:end w:sz="2.5297999382019043" w:val="single" w:color="#CBCCCB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818"/>
                  <w:gridSpan w:val="2"/>
                  <w:vMerge/>
                  <w:tcBorders>
                    <w:start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818"/>
                  <w:gridSpan w:val="2"/>
                  <w:vMerge/>
                  <w:tcBorders>
                    <w:start w:sz="6.0715203285217285" w:val="single" w:color="#545554"/>
                    <w:top w:sz="2.5297999382019043" w:val="single" w:color="#CBCCCB"/>
                    <w:end w:sz="2.5297999382019043" w:val="single" w:color="#CBCCCB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896"/>
                  <w:gridSpan w:val="2"/>
                  <w:tcBorders>
                    <w:bottom w:sz="2.5297999382019043" w:val="single" w:color="#CBCCCB"/>
                  </w:tcBorders>
                  <w:shd w:fill="98c6ea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</w:tcPr>
                <w:p/>
              </w:tc>
            </w:tr>
            <w:tr>
              <w:trPr>
                <w:trHeight w:hRule="exact" w:val="120"/>
              </w:trPr>
              <w:tc>
                <w:tcPr>
                  <w:tcW w:type="dxa" w:w="314"/>
                  <w:gridSpan w:val="2"/>
                  <w:vMerge w:val="restart"/>
                  <w:tcBorders>
                    <w:start w:sz="4.047679901123047" w:val="single" w:color="#333332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0"/>
                  <w:vMerge w:val="restart"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  <w:shd w:fill="dad7c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top w:sz="2.5297999382019043" w:val="single" w:color="#CBCCCB"/>
                    <w:end w:sz="2.5297999382019043" w:val="single" w:color="#CBCCCB"/>
                    <w:bottom w:sz="5.059599876403809" w:val="single" w:color="#878887"/>
                  </w:tcBorders>
                  <w:shd w:fill="dad7c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0" w:firstLine="0"/>
                    <w:jc w:val="center"/>
                  </w:pPr>
                  <w:r>
                    <w:rPr>
                      <w:w w:val="97.3000012911283"/>
                      <w:rFonts w:ascii="DejaVu Serif" w:hAnsi="DejaVu Serif" w:eastAsia="DejaVu Serif"/>
                      <w:b/>
                      <w:i w:val="0"/>
                      <w:color w:val="222222"/>
                      <w:sz w:val="13"/>
                    </w:rPr>
                    <w:t>BAS</w:t>
                  </w:r>
                </w:p>
              </w:tc>
              <w:tc>
                <w:tcPr>
                  <w:tcW w:type="dxa" w:w="408"/>
                  <w:gridSpan w:val="2"/>
                  <w:tcBorders>
                    <w:start w:sz="2.5297999382019043" w:val="single" w:color="#CBCCCB"/>
                    <w:top w:sz="2.5297999382019043" w:val="single" w:color="#CBCCCB"/>
                    <w:bottom w:sz="5.059599876403809" w:val="single" w:color="#878887"/>
                  </w:tcBorders>
                  <w:shd w:fill="dad7c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0" w:firstLine="0"/>
                    <w:jc w:val="center"/>
                  </w:pPr>
                  <w:r>
                    <w:rPr>
                      <w:w w:val="97.3000012911283"/>
                      <w:rFonts w:ascii="DejaVu Serif" w:hAnsi="DejaVu Serif" w:eastAsia="DejaVu Serif"/>
                      <w:b/>
                      <w:i w:val="0"/>
                      <w:color w:val="222222"/>
                      <w:sz w:val="13"/>
                    </w:rPr>
                    <w:t>LINE</w:t>
                  </w:r>
                </w:p>
              </w:tc>
              <w:tc>
                <w:tcPr>
                  <w:tcW w:type="dxa" w:w="488"/>
                  <w:vMerge w:val="restart"/>
                  <w:tcBorders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  <w:start w:sz="2.5297999382019043" w:val="single" w:color="#CBCCCB"/>
                  </w:tcBorders>
                  <w:shd w:fill="dad7c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8"/>
                  <w:vMerge w:val="restart"/>
                  <w:tcBorders>
                    <w:start w:sz="6.0715203285217285" w:val="single" w:color="#545554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2"/>
                  <w:tcBorders>
                    <w:start w:sz="6.0715203285217285" w:val="single" w:color="#545554"/>
                    <w:top w:sz="2.5297999382019043" w:val="single" w:color="#CBCCCB"/>
                  </w:tcBorders>
                  <w:shd w:fill="f4b18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"/>
                  <w:tcBorders>
                    <w:top w:sz="2.5297999382019043" w:val="single" w:color="#CBCCCB"/>
                    <w:end w:sz="2.5297999382019043" w:val="single" w:color="#CBCCCB"/>
                  </w:tcBorders>
                  <w:shd w:fill="f4b18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8"/>
                  <w:gridSpan w:val="2"/>
                  <w:vMerge w:val="restart"/>
                  <w:tcBorders>
                    <w:start w:sz="2.5297999382019043" w:val="single" w:color="#CBCCCB"/>
                    <w:top w:sz="2.5297999382019043" w:val="single" w:color="#CBCCCB"/>
                    <w:end w:sz="6.0715203285217285" w:val="single" w:color="#545554"/>
                  </w:tcBorders>
                  <w:shd w:fill="f4b18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8"/>
                  <w:vMerge w:val="restart"/>
                  <w:tcBorders>
                    <w:start w:sz="6.0715203285217285" w:val="single" w:color="#545554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4"/>
                  <w:vMerge w:val="restart"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  <w:shd w:fill="98c6ea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"/>
                  <w:tcBorders>
                    <w:start w:sz="5.059599876403809" w:val="single" w:color="#878887"/>
                    <w:top w:sz="2.5297999382019043" w:val="single" w:color="#CBCCCB"/>
                    <w:end w:sz="2.5297999382019043" w:val="single" w:color="#CBCCCB"/>
                    <w:bottom w:sz="5.059599876403809" w:val="single" w:color="#878887"/>
                  </w:tcBorders>
                  <w:shd w:fill="98c6e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0" w:firstLine="0"/>
                    <w:jc w:val="center"/>
                  </w:pPr>
                  <w:r>
                    <w:rPr>
                      <w:w w:val="97.3000012911283"/>
                      <w:rFonts w:ascii="DejaVu Serif" w:hAnsi="DejaVu Serif" w:eastAsia="DejaVu Serif"/>
                      <w:b/>
                      <w:i w:val="0"/>
                      <w:color w:val="222222"/>
                      <w:sz w:val="13"/>
                    </w:rPr>
                    <w:t>PA</w:t>
                  </w:r>
                </w:p>
              </w:tc>
              <w:tc>
                <w:tcPr>
                  <w:tcW w:type="dxa" w:w="212"/>
                  <w:tcBorders>
                    <w:start w:sz="2.5297999382019043" w:val="single" w:color="#CBCCCB"/>
                    <w:top w:sz="2.5297999382019043" w:val="single" w:color="#CBCCCB"/>
                    <w:end w:sz="5.059599876403809" w:val="single" w:color="#878887"/>
                    <w:bottom w:sz="5.059599876403809" w:val="single" w:color="#878887"/>
                  </w:tcBorders>
                  <w:shd w:fill="98c6e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0" w:firstLine="0"/>
                    <w:jc w:val="center"/>
                  </w:pPr>
                  <w:r>
                    <w:rPr>
                      <w:w w:val="97.3000012911283"/>
                      <w:rFonts w:ascii="DejaVu Serif" w:hAnsi="DejaVu Serif" w:eastAsia="DejaVu Serif"/>
                      <w:b/>
                      <w:i w:val="0"/>
                      <w:color w:val="222222"/>
                      <w:sz w:val="13"/>
                    </w:rPr>
                    <w:t>SS</w:t>
                  </w:r>
                </w:p>
              </w:tc>
              <w:tc>
                <w:tcPr>
                  <w:tcW w:type="dxa" w:w="684"/>
                  <w:vMerge w:val="restart"/>
                  <w:tcBorders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shd w:fill="98c6ea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vMerge w:val="restart"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2"/>
              </w:trPr>
              <w:tc>
                <w:tcPr>
                  <w:tcW w:type="dxa" w:w="818"/>
                  <w:gridSpan w:val="2"/>
                  <w:vMerge/>
                  <w:tcBorders>
                    <w:start w:sz="4.047679901123047" w:val="single" w:color="#333332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9"/>
                  <w:tcBorders>
                    <w:start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  <w:shd w:fill="dad7c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9"/>
                  <w:tcBorders>
                    <w:start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818"/>
                  <w:gridSpan w:val="2"/>
                  <w:vMerge/>
                  <w:tcBorders>
                    <w:start w:sz="2.5297999382019043" w:val="single" w:color="#CBCCCB"/>
                    <w:top w:sz="2.5297999382019043" w:val="single" w:color="#CBCCCB"/>
                    <w:end w:sz="6.0715203285217285" w:val="single" w:color="#545554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  <w:vMerge/>
                  <w:tcBorders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</w:tcPr>
                <w:p/>
              </w:tc>
            </w:tr>
            <w:tr>
              <w:tc>
                <w:tcPr>
                  <w:tcW w:type="dxa" w:w="818"/>
                  <w:gridSpan w:val="2"/>
                  <w:vMerge/>
                  <w:tcBorders>
                    <w:start w:sz="4.047679901123047" w:val="single" w:color="#333332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  <w:tcBorders>
                    <w:start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tcBorders>
                    <w:start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  <w:vMerge/>
                  <w:tcBorders>
                    <w:top w:sz="2.5297999382019043" w:val="single" w:color="#CBCCCB"/>
                    <w:end w:sz="6.0715203285217285" w:val="single" w:color="#545554"/>
                    <w:bottom w:sz="2.5297999382019043" w:val="single" w:color="#CBCCCB"/>
                  </w:tcBorders>
                </w:tcPr>
                <w:p/>
              </w:tc>
              <w:tc>
                <w:tcPr>
                  <w:tcW w:type="dxa" w:w="409"/>
                  <w:vMerge/>
                  <w:tcBorders>
                    <w:start w:sz="6.0715203285217285" w:val="single" w:color="#545554"/>
                    <w:top w:sz="2.5297999382019043" w:val="single" w:color="#CBCCCB"/>
                    <w:bottom w:sz="2.5297999382019043" w:val="single" w:color="#CBCCCB"/>
                  </w:tcBorders>
                </w:tcPr>
                <w:p/>
              </w:tc>
            </w:tr>
            <w:tr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</w:tr>
            <w:tr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</w:tr>
            <w:tr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  <w:tc>
                <w:tcPr>
                  <w:tcW w:type="dxa" w:w="409"/>
                </w:tcPr>
                <w:p/>
              </w:tc>
            </w:tr>
          </w:tbl>
          <w:p/>
        </w:tc>
      </w:tr>
      <w:tr>
        <w:tc>
          <w:tcPr>
            <w:tcW w:type="dxa" w:w="1805"/>
            <w:vMerge/>
            <w:tcBorders/>
          </w:tcPr>
          <w:p/>
        </w:tc>
        <w:tc>
          <w:tcPr>
            <w:tcW w:type="dxa" w:w="1805"/>
          </w:tcPr>
          <w:p/>
        </w:tc>
        <w:tc>
          <w:tcPr>
            <w:tcW w:type="dxa" w:w="5415"/>
            <w:gridSpan w:val="3"/>
            <w:vMerge/>
            <w:tcBorders/>
          </w:tcPr>
          <w:p/>
        </w:tc>
      </w:tr>
      <w:tr>
        <w:tc>
          <w:tcPr>
            <w:tcW w:type="dxa" w:w="1805"/>
            <w:vMerge/>
            <w:tcBorders/>
          </w:tcPr>
          <w:p/>
        </w:tc>
        <w:tc>
          <w:tcPr>
            <w:tcW w:type="dxa" w:w="1805"/>
          </w:tcPr>
          <w:p/>
        </w:tc>
        <w:tc>
          <w:tcPr>
            <w:tcW w:type="dxa" w:w="5415"/>
            <w:gridSpan w:val="3"/>
            <w:vMerge/>
            <w:tcBorders/>
          </w:tcPr>
          <w:p/>
        </w:tc>
      </w:tr>
      <w:tr>
        <w:tc>
          <w:tcPr>
            <w:tcW w:type="dxa" w:w="1805"/>
            <w:vMerge/>
            <w:tcBorders/>
          </w:tcPr>
          <w:p/>
        </w:tc>
        <w:tc>
          <w:tcPr>
            <w:tcW w:type="dxa" w:w="1805"/>
          </w:tcPr>
          <w:p/>
        </w:tc>
        <w:tc>
          <w:tcPr>
            <w:tcW w:type="dxa" w:w="5415"/>
            <w:gridSpan w:val="3"/>
            <w:vMerge/>
            <w:tcBorders/>
          </w:tcPr>
          <w:p/>
        </w:tc>
      </w:tr>
      <w:tr>
        <w:tc>
          <w:tcPr>
            <w:tcW w:type="dxa" w:w="1805"/>
            <w:vMerge/>
            <w:tcBorders/>
          </w:tcPr>
          <w:p/>
        </w:tc>
        <w:tc>
          <w:tcPr>
            <w:tcW w:type="dxa" w:w="1805"/>
          </w:tcPr>
          <w:p/>
        </w:tc>
        <w:tc>
          <w:tcPr>
            <w:tcW w:type="dxa" w:w="5415"/>
            <w:gridSpan w:val="3"/>
            <w:vMerge/>
            <w:tcBorders/>
          </w:tcPr>
          <w:p/>
        </w:tc>
      </w:tr>
      <w:tr>
        <w:tc>
          <w:tcPr>
            <w:tcW w:type="dxa" w:w="1805"/>
            <w:vMerge/>
            <w:tcBorders/>
          </w:tcPr>
          <w:p/>
        </w:tc>
        <w:tc>
          <w:tcPr>
            <w:tcW w:type="dxa" w:w="1805"/>
          </w:tcPr>
          <w:p/>
        </w:tc>
        <w:tc>
          <w:tcPr>
            <w:tcW w:type="dxa" w:w="5415"/>
            <w:gridSpan w:val="3"/>
            <w:vMerge/>
            <w:tcBorders/>
          </w:tcPr>
          <w:p/>
        </w:tc>
      </w:tr>
      <w:tr>
        <w:tc>
          <w:tcPr>
            <w:tcW w:type="dxa" w:w="1805"/>
            <w:vMerge/>
            <w:tcBorders/>
          </w:tcPr>
          <w:p/>
        </w:tc>
        <w:tc>
          <w:tcPr>
            <w:tcW w:type="dxa" w:w="1805"/>
          </w:tcPr>
          <w:p/>
        </w:tc>
        <w:tc>
          <w:tcPr>
            <w:tcW w:type="dxa" w:w="5415"/>
            <w:gridSpan w:val="3"/>
            <w:vMerge/>
            <w:tcBorders/>
          </w:tcPr>
          <w:p/>
        </w:tc>
      </w:tr>
      <w:tr>
        <w:tc>
          <w:tcPr>
            <w:tcW w:type="dxa" w:w="1805"/>
            <w:vMerge/>
            <w:tcBorders/>
          </w:tcPr>
          <w:p/>
        </w:tc>
        <w:tc>
          <w:tcPr>
            <w:tcW w:type="dxa" w:w="1805"/>
          </w:tcPr>
          <w:p/>
        </w:tc>
        <w:tc>
          <w:tcPr>
            <w:tcW w:type="dxa" w:w="5415"/>
            <w:gridSpan w:val="3"/>
            <w:vMerge/>
            <w:tcBorders/>
          </w:tcPr>
          <w:p/>
        </w:tc>
      </w:tr>
      <w:tr>
        <w:tc>
          <w:tcPr>
            <w:tcW w:type="dxa" w:w="1805"/>
            <w:vMerge/>
            <w:tcBorders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  <w:tr>
        <w:tc>
          <w:tcPr>
            <w:tcW w:type="dxa" w:w="1805"/>
            <w:vMerge/>
            <w:tcBorders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  <w:tr>
        <w:tc>
          <w:tcPr>
            <w:tcW w:type="dxa" w:w="1805"/>
            <w:vMerge/>
            <w:tcBorders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</w:tbl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316" w:lineRule="exact" w:before="458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5.10. Stratified UQ by</w:t>
      </w:r>
      <w:r>
        <w:rPr>
          <w:rFonts w:ascii="CMSY10" w:hAnsi="CMSY10" w:eastAsia="CMSY10"/>
          <w:b w:val="0"/>
          <w:i/>
          <w:color w:val="000000"/>
          <w:sz w:val="30"/>
        </w:rPr>
        <w:t xml:space="preserve"> |</w:t>
      </w:r>
      <w:r>
        <w:rPr>
          <w:w w:val="98.93931027116447"/>
          <w:rFonts w:ascii="PazoMath" w:hAnsi="PazoMath" w:eastAsia="PazoMath"/>
          <w:b w:val="0"/>
          <w:i w:val="0"/>
          <w:color w:val="000000"/>
          <w:sz w:val="29"/>
        </w:rPr>
        <w:t>∆</w:t>
      </w:r>
      <w:r>
        <w:rPr>
          <w:w w:val="98.93931027116447"/>
          <w:rFonts w:ascii="URWPalladioL" w:hAnsi="URWPalladioL" w:eastAsia="URWPalladioL"/>
          <w:b w:val="0"/>
          <w:i/>
          <w:color w:val="000000"/>
          <w:sz w:val="29"/>
        </w:rPr>
        <w:t>v</w:t>
      </w:r>
      <w:r>
        <w:rPr>
          <w:rFonts w:ascii="CMSY10" w:hAnsi="CMSY10" w:eastAsia="CMSY10"/>
          <w:b w:val="0"/>
          <w:i/>
          <w:color w:val="000000"/>
          <w:sz w:val="30"/>
        </w:rPr>
        <w:t>|</w:t>
      </w: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 xml:space="preserve"> Quartile</w:t>
      </w:r>
    </w:p>
    <w:p>
      <w:pPr>
        <w:autoSpaceDN w:val="0"/>
        <w:autoSpaceDE w:val="0"/>
        <w:widowControl/>
        <w:spacing w:line="284" w:lineRule="exact" w:before="220" w:after="0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Rank-based quartiles of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(790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875 nodes each) show a sharp regime dependence.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Q1 contains the segments where the policy has no effect at all (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 throughout),</w:t>
      </w:r>
    </w:p>
    <w:p>
      <w:pPr>
        <w:autoSpaceDN w:val="0"/>
        <w:autoSpaceDE w:val="0"/>
        <w:widowControl/>
        <w:spacing w:line="284" w:lineRule="exact" w:before="0" w:after="0"/>
        <w:ind w:left="340" w:right="342" w:firstLine="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and Q4 contains the segments with the largest absolute response, up to about 230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veh/h. Within-quartile Spearman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between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error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falls from 0.721 on Q1 to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0.100 on Q4 (Figure 5.7), and MAE rises from 1.24 to 10.08 veh/h. The high Q1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partly a mechanical artefact: when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is exactly zero, both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error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reduce to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functions of the model’s small output magnitude on unchanged segments, and their</w:t>
      </w:r>
    </w:p>
    <w:p>
      <w:pPr>
        <w:autoSpaceDN w:val="0"/>
        <w:autoSpaceDE w:val="0"/>
        <w:widowControl/>
        <w:spacing w:line="218" w:lineRule="exact" w:before="6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correlation reflects that shared dependence as much as a genuine ranking signal. The</w:t>
      </w:r>
    </w:p>
    <w:p>
      <w:pPr>
        <w:autoSpaceDN w:val="0"/>
        <w:autoSpaceDE w:val="0"/>
        <w:widowControl/>
        <w:spacing w:line="218" w:lineRule="exact" w:before="68" w:after="0"/>
        <w:ind w:left="0" w:right="0" w:firstLine="0"/>
        <w:jc w:val="center"/>
      </w:pP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>substantive degradation on Q4 is real, and the contributing mechanisms are discussed</w:t>
      </w:r>
    </w:p>
    <w:p>
      <w:pPr>
        <w:autoSpaceDN w:val="0"/>
        <w:autoSpaceDE w:val="0"/>
        <w:widowControl/>
        <w:spacing w:line="218" w:lineRule="exact" w:before="66" w:after="0"/>
        <w:ind w:left="34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in Section 6.3.</w:t>
      </w:r>
    </w:p>
    <w:p>
      <w:pPr>
        <w:autoSpaceDN w:val="0"/>
        <w:autoSpaceDE w:val="0"/>
        <w:widowControl/>
        <w:spacing w:line="240" w:lineRule="auto" w:before="198" w:after="46"/>
        <w:ind w:left="0" w:right="0" w:firstLine="0"/>
        <w:jc w:val="center"/>
      </w:pPr>
      <w:r>
        <w:rPr>
          <w:w w:val="98.6299991607666"/>
          <w:rFonts w:ascii="DejaVu Serif" w:hAnsi="DejaVu Serif" w:eastAsia="DejaVu Serif"/>
          <w:b w:val="0"/>
          <w:i w:val="0"/>
          <w:color w:val="000000"/>
          <w:sz w:val="12"/>
        </w:rPr>
        <w:t>Stratified UQ analysis (T8): how MAE, ranking quality, target magnitude, and uncertainty vary across quartiles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182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1092" w:firstLine="0"/>
              <w:jc w:val="right"/>
            </w:pPr>
            <w:r>
              <w:rPr>
                <w:w w:val="98.63000349564986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>MAE (veh/h)</w:t>
            </w:r>
          </w:p>
        </w:tc>
        <w:tc>
          <w:tcPr>
            <w:tcW w:type="dxa" w:w="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50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10</w:t>
            </w:r>
          </w:p>
        </w:tc>
        <w:tc>
          <w:tcPr>
            <w:tcW w:type="dxa" w:w="38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(a) Prediction error by quartile</w:t>
            </w:r>
          </w:p>
        </w:tc>
        <w:tc>
          <w:tcPr>
            <w:tcW w:type="dxa" w:w="20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06" w:right="0" w:firstLine="0"/>
              <w:jc w:val="left"/>
            </w:pPr>
            <w:r>
              <w:rPr>
                <w:w w:val="98.63000349564986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 xml:space="preserve">Spearman </w:t>
            </w:r>
            <w:r>
              <w:rPr>
                <w:w w:val="98.63000349564986"/>
                <w:rFonts w:ascii="DejaVu Sans" w:hAnsi="DejaVu Sans" w:eastAsia="DejaVu Sans"/>
                <w:b w:val="0"/>
                <w:i/>
                <w:color w:val="000000"/>
                <w:sz w:val="11"/>
              </w:rPr>
              <w:t>ρ</w:t>
            </w:r>
            <w:r>
              <w:rPr>
                <w:w w:val="98.63000349564986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 xml:space="preserve"> within quartile</w:t>
            </w:r>
          </w:p>
        </w:tc>
        <w:tc>
          <w:tcPr>
            <w:tcW w:type="dxa" w:w="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34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0.8</w:t>
            </w:r>
          </w:p>
        </w:tc>
        <w:tc>
          <w:tcPr>
            <w:tcW w:type="dxa" w:w="39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10" w:right="0" w:firstLine="0"/>
              <w:jc w:val="lef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>(b) Uncertainty ranking quality by quartile</w:t>
            </w:r>
          </w:p>
        </w:tc>
      </w:tr>
      <w:tr>
        <w:trPr>
          <w:trHeight w:hRule="exact" w:val="62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800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292"/>
              <w:gridCol w:w="292"/>
              <w:gridCol w:w="292"/>
              <w:gridCol w:w="292"/>
              <w:gridCol w:w="292"/>
              <w:gridCol w:w="292"/>
              <w:gridCol w:w="292"/>
              <w:gridCol w:w="292"/>
              <w:gridCol w:w="292"/>
              <w:gridCol w:w="292"/>
              <w:gridCol w:w="292"/>
              <w:gridCol w:w="292"/>
              <w:gridCol w:w="292"/>
            </w:tblGrid>
            <w:tr>
              <w:trPr>
                <w:trHeight w:hRule="exact" w:val="385"/>
              </w:trPr>
              <w:tc>
                <w:tcPr>
                  <w:tcW w:type="dxa" w:w="522"/>
                  <w:gridSpan w:val="2"/>
                  <w:tcBorders>
                    <w:start w:sz="3.1561601161956787" w:val="single" w:color="#333332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tcBorders>
                    <w:start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3"/>
                  <w:tcBorders>
                    <w:start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tcBorders>
                    <w:start w:sz="1.972599983215332" w:val="single" w:color="#CBCCCB"/>
                    <w:end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42" w:after="0"/>
                    <w:ind w:left="0" w:right="14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10</w:t>
                  </w:r>
                </w:p>
              </w:tc>
              <w:tc>
                <w:tcPr>
                  <w:tcW w:type="dxa" w:w="526"/>
                  <w:gridSpan w:val="2"/>
                  <w:tcBorders>
                    <w:start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42" w:after="0"/>
                    <w:ind w:left="0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.08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22"/>
                  <w:gridSpan w:val="2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11"/>
              </w:trPr>
              <w:tc>
                <w:tcPr>
                  <w:tcW w:type="dxa" w:w="522"/>
                  <w:gridSpan w:val="2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12"/>
              </w:trPr>
              <w:tc>
                <w:tcPr>
                  <w:tcW w:type="dxa" w:w="522"/>
                  <w:gridSpan w:val="2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6"/>
              </w:trPr>
              <w:tc>
                <w:tcPr>
                  <w:tcW w:type="dxa" w:w="522"/>
                  <w:gridSpan w:val="2"/>
                  <w:vMerge w:val="restart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90" w:after="0"/>
                    <w:ind w:left="0" w:right="16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1.</w:t>
                  </w:r>
                </w:p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6"/>
                  <w:tcBorders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1.972599983215332" w:val="single" w:color="#CBCCCB"/>
                    <w:end w:sz="1.972599983215332" w:val="single" w:color="#CBCCCB"/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10" w:after="0"/>
                    <w:ind w:left="0" w:right="14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2.</w:t>
                  </w:r>
                </w:p>
              </w:tc>
              <w:tc>
                <w:tcPr>
                  <w:tcW w:type="dxa" w:w="532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10" w:after="0"/>
                    <w:ind w:left="0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80</w:t>
                  </w:r>
                </w:p>
              </w:tc>
              <w:tc>
                <w:tcPr>
                  <w:tcW w:type="dxa" w:w="354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4"/>
              </w:trPr>
              <w:tc>
                <w:tcPr>
                  <w:tcW w:type="dxa" w:w="584"/>
                  <w:gridSpan w:val="2"/>
                  <w:vMerge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876"/>
                  <w:gridSpan w:val="3"/>
                  <w:vMerge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6" w:after="0"/>
                    <w:ind w:left="48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7</w:t>
                  </w:r>
                </w:p>
              </w:tc>
              <w:tc>
                <w:tcPr>
                  <w:tcW w:type="dxa" w:w="176"/>
                  <w:tcBorders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4.7342400550842285" w:val="single" w:color="#767776"/>
                    <w:end w:sz="1.972599983215332" w:val="single" w:color="#CBCCCB"/>
                    <w:bottom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"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  <w:bottom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2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</w:tcPr>
                <w:p/>
              </w:tc>
            </w:tr>
            <w:tr>
              <w:trPr>
                <w:trHeight w:hRule="exact" w:val="68"/>
              </w:trPr>
              <w:tc>
                <w:tcPr>
                  <w:tcW w:type="dxa" w:w="168"/>
                  <w:tcBorders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1.972599983215332" w:val="single" w:color="#CBCCCB"/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0"/>
                  <w:gridSpan w:val="2"/>
                  <w:tcBorders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shd w:fill="6ca4d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6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shd w:fill="ed7d3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vMerge w:val="restart"/>
                  <w:tcBorders>
                    <w:start w:sz="4.7342400550842285" w:val="single" w:color="#767776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"/>
              </w:trPr>
              <w:tc>
                <w:tcPr>
                  <w:tcW w:type="dxa" w:w="16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18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1.</w:t>
                  </w:r>
                </w:p>
              </w:tc>
              <w:tc>
                <w:tcPr>
                  <w:tcW w:type="dxa" w:w="354"/>
                  <w:tcBorders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52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4</w:t>
                  </w:r>
                </w:p>
              </w:tc>
              <w:tc>
                <w:tcPr>
                  <w:tcW w:type="dxa" w:w="1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4.7342400550842285" w:val="single" w:color="#767776"/>
                    <w:top w:sz="4.7342400550842285" w:val="single" w:color="#767776"/>
                    <w:end w:sz="1.972599983215332" w:val="single" w:color="#CBCCCB"/>
                  </w:tcBorders>
                  <w:shd w:fill="8ab6dd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</w:tcBorders>
                  <w:shd w:fill="8ab6dd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2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4.7342400550842285" w:val="single" w:color="#767776"/>
                    <w:top w:sz="1.972599983215332" w:val="single" w:color="#CBCCCB"/>
                  </w:tcBorders>
                </w:tcPr>
                <w:p/>
              </w:tc>
            </w:tr>
            <w:tr>
              <w:trPr>
                <w:trHeight w:hRule="exact" w:val="234"/>
              </w:trPr>
              <w:tc>
                <w:tcPr>
                  <w:tcW w:type="dxa" w:w="168"/>
                  <w:tcBorders>
                    <w:start w:sz="3.1561601161956787" w:val="single" w:color="#333332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4.7342400550842285" w:val="single" w:color="#767776"/>
                    <w:end w:sz="1.972599983215332" w:val="single" w:color="#CBCCCB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2"/>
                  <w:vMerge/>
                  <w:tcBorders>
                    <w:start w:sz="4.7342400550842285" w:val="single" w:color="#767776"/>
                    <w:top w:sz="4.7342400550842285" w:val="single" w:color="#767776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2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92"/>
                  <w:vMerge/>
                  <w:tcBorders>
                    <w:start w:sz="4.7342400550842285" w:val="single" w:color="#767776"/>
                    <w:top w:sz="1.972599983215332" w:val="single" w:color="#CBCCCB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920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hRule="exact" w:val="160"/>
              </w:trPr>
              <w:tc>
                <w:tcPr>
                  <w:tcW w:type="dxa" w:w="522"/>
                  <w:gridSpan w:val="2"/>
                  <w:vMerge w:val="restart"/>
                  <w:tcBorders>
                    <w:start w:sz="3.1561601161956787" w:val="single" w:color="#333332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vMerge w:val="restart"/>
                  <w:tcBorders>
                    <w:start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vMerge w:val="restart"/>
                  <w:tcBorders>
                    <w:start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vMerge w:val="restart"/>
                  <w:tcBorders>
                    <w:start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18"/>
                  <w:gridSpan w:val="3"/>
                  <w:tcBorders>
                    <w:start w:sz="3.945199966430664" w:val="single" w:color="#CBCCCB"/>
                    <w:top w:sz="3.945199966430664" w:val="single" w:color="#CBCCCB"/>
                    <w:end w:sz="1.972599983215332" w:val="single" w:color="#CBCCCB"/>
                    <w:bottom w:sz="3.945199966430664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4" w:after="0"/>
                    <w:ind w:left="0" w:right="0" w:firstLine="0"/>
                    <w:jc w:val="right"/>
                  </w:pPr>
                  <w:r>
                    <w:rPr>
                      <w:w w:val="98.62999386257596"/>
                      <w:rFonts w:ascii="DejaVu Serif" w:hAnsi="DejaVu Serif" w:eastAsia="DejaVu Serif"/>
                      <w:b w:val="0"/>
                      <w:i w:val="0"/>
                      <w:color w:val="000000"/>
                      <w:sz w:val="9"/>
                    </w:rPr>
                    <w:t xml:space="preserve">Aggregate </w:t>
                  </w:r>
                  <w:r>
                    <w:rPr>
                      <w:w w:val="98.62999386257596"/>
                      <w:rFonts w:ascii="DejaVu Sans" w:hAnsi="DejaVu Sans" w:eastAsia="DejaVu Sans"/>
                      <w:b w:val="0"/>
                      <w:i/>
                      <w:color w:val="000000"/>
                      <w:sz w:val="9"/>
                    </w:rPr>
                    <w:t>ρ</w:t>
                  </w:r>
                </w:p>
              </w:tc>
              <w:tc>
                <w:tcPr>
                  <w:tcW w:type="dxa" w:w="478"/>
                  <w:gridSpan w:val="2"/>
                  <w:tcBorders>
                    <w:start w:sz="1.972599983215332" w:val="single" w:color="#CBCCCB"/>
                    <w:top w:sz="3.945199966430664" w:val="single" w:color="#CBCCCB"/>
                    <w:end w:sz="3.945199966430664" w:val="single" w:color="#CBCCCB"/>
                    <w:bottom w:sz="3.945199966430664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4" w:after="0"/>
                    <w:ind w:left="0" w:right="0" w:firstLine="0"/>
                    <w:jc w:val="center"/>
                  </w:pPr>
                  <w:r>
                    <w:rPr>
                      <w:w w:val="98.62999386257596"/>
                      <w:rFonts w:ascii="DejaVu Sans" w:hAnsi="DejaVu Sans" w:eastAsia="DejaVu Sans"/>
                      <w:b w:val="0"/>
                      <w:i w:val="0"/>
                      <w:color w:val="000000"/>
                      <w:sz w:val="9"/>
                    </w:rPr>
                    <w:t xml:space="preserve"> = 0.4820</w:t>
                  </w:r>
                </w:p>
              </w:tc>
            </w:tr>
            <w:tr>
              <w:trPr>
                <w:trHeight w:hRule="exact" w:val="68"/>
              </w:trPr>
              <w:tc>
                <w:tcPr>
                  <w:tcW w:type="dxa" w:w="560"/>
                  <w:gridSpan w:val="2"/>
                  <w:vMerge/>
                  <w:tcBorders>
                    <w:start w:sz="3.1561601161956787" w:val="single" w:color="#333332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840"/>
                  <w:gridSpan w:val="3"/>
                  <w:vMerge/>
                  <w:tcBorders>
                    <w:start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840"/>
                  <w:gridSpan w:val="3"/>
                  <w:vMerge/>
                  <w:tcBorders>
                    <w:start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1.972599983215332" w:val="single" w:color="#CBCCCB"/>
                  </w:tcBorders>
                </w:tcPr>
                <w:p/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8"/>
                  <w:gridSpan w:val="2"/>
                  <w:tcBorders>
                    <w:top w:sz="3.945199966430664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14"/>
              </w:trPr>
              <w:tc>
                <w:tcPr>
                  <w:tcW w:type="dxa" w:w="168"/>
                  <w:tcBorders>
                    <w:start w:sz="3.1561601161956787" w:val="single" w:color="#333332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1.972599983215332" w:val="single" w:color="#CBCCCB"/>
                    <w:end w:sz="1.972599983215332" w:val="single" w:color="#CBCCCB"/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2" w:after="0"/>
                    <w:ind w:left="0" w:right="0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0.7</w:t>
                  </w:r>
                </w:p>
              </w:tc>
              <w:tc>
                <w:tcPr>
                  <w:tcW w:type="dxa" w:w="886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2" w:after="0"/>
                    <w:ind w:left="16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21</w:t>
                  </w:r>
                </w:p>
              </w:tc>
              <w:tc>
                <w:tcPr>
                  <w:tcW w:type="dxa" w:w="886"/>
                  <w:gridSpan w:val="3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4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8"/>
                  <w:gridSpan w:val="2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8"/>
              </w:trPr>
              <w:tc>
                <w:tcPr>
                  <w:tcW w:type="dxa" w:w="168"/>
                  <w:tcBorders>
                    <w:start w:sz="3.1561601161956787" w:val="single" w:color="#333332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4.7342400550842285" w:val="single" w:color="#767776"/>
                    <w:end w:sz="1.972599983215332" w:val="single" w:color="#CBCCCB"/>
                    <w:bottom w:sz="1.972599983215332" w:val="single" w:color="#CBCCCB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  <w:bottom w:sz="1.972599983215332" w:val="single" w:color="#CBCCCB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0"/>
                  <w:gridSpan w:val="3"/>
                  <w:vMerge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1120"/>
                  <w:gridSpan w:val="4"/>
                  <w:vMerge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560"/>
                  <w:gridSpan w:val="2"/>
                  <w:vMerge/>
                  <w:tcBorders>
                    <w:start w:sz="1.972599983215332" w:val="single" w:color="#CBCCCB"/>
                    <w:top w:sz="1.972599983215332" w:val="single" w:color="#CBCCCB"/>
                    <w:bottom w:sz="1.972599983215332" w:val="single" w:color="#CBCCCB"/>
                  </w:tcBorders>
                </w:tcPr>
                <w:p/>
              </w:tc>
            </w:tr>
            <w:tr>
              <w:trPr>
                <w:trHeight w:hRule="exact" w:val="194"/>
              </w:trPr>
              <w:tc>
                <w:tcPr>
                  <w:tcW w:type="dxa" w:w="168"/>
                  <w:vMerge w:val="restart"/>
                  <w:tcBorders>
                    <w:start w:sz="3.1561601161956787" w:val="single" w:color="#333332"/>
                    <w:top w:sz="1.972599983215332" w:val="single" w:color="#CBCCCB"/>
                    <w:end w:sz="4.7342400550842285" w:val="single" w:color="#767776"/>
                    <w:bottom w:sz="3.945199966430664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3.945199966430664" w:val="single" w:color="#989998"/>
                  </w:tcBorders>
                  <w:shd w:fill="a8c8e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3.945199966430664" w:val="single" w:color="#989998"/>
                  </w:tcBorders>
                  <w:shd w:fill="a8c8e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>
                    <w:start w:sz="4.7342400550842285" w:val="single" w:color="#767776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1.972599983215332" w:val="single" w:color="#CBCCCB"/>
                    <w:end w:sz="1.972599983215332" w:val="single" w:color="#CBCCCB"/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0.5</w:t>
                  </w:r>
                </w:p>
              </w:tc>
              <w:tc>
                <w:tcPr>
                  <w:tcW w:type="dxa" w:w="886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14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29</w:t>
                  </w:r>
                </w:p>
              </w:tc>
              <w:tc>
                <w:tcPr>
                  <w:tcW w:type="dxa" w:w="884"/>
                  <w:gridSpan w:val="4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3.945199966430664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8"/>
                  <w:gridSpan w:val="2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bottom w:sz="3.945199966430664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26"/>
              </w:trPr>
              <w:tc>
                <w:tcPr>
                  <w:tcW w:type="dxa" w:w="280"/>
                  <w:vMerge/>
                  <w:tcBorders>
                    <w:start w:sz="3.1561601161956787" w:val="single" w:color="#333332"/>
                    <w:top w:sz="1.972599983215332" w:val="single" w:color="#CBCCCB"/>
                    <w:end w:sz="4.7342400550842285" w:val="single" w:color="#767776"/>
                    <w:bottom w:sz="3.945199966430664" w:val="single" w:color="#989998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3.945199966430664" w:val="single" w:color="#989998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3.945199966430664" w:val="single" w:color="#989998"/>
                  </w:tcBorders>
                </w:tcPr>
                <w:p/>
              </w:tc>
              <w:tc>
                <w:tcPr>
                  <w:tcW w:type="dxa" w:w="178"/>
                  <w:tcBorders>
                    <w:start w:sz="4.7342400550842285" w:val="single" w:color="#767776"/>
                    <w:end w:sz="4.7342400550842285" w:val="single" w:color="#767776"/>
                    <w:bottom w:sz="3.945199966430664" w:val="single" w:color="#98999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4.7342400550842285" w:val="single" w:color="#767776"/>
                    <w:end w:sz="1.972599983215332" w:val="single" w:color="#CBCCCB"/>
                    <w:bottom w:sz="3.945199966430664" w:val="single" w:color="#989998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  <w:bottom w:sz="3.945199966430664" w:val="single" w:color="#989998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20"/>
                  <w:gridSpan w:val="4"/>
                  <w:vMerge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3.945199966430664" w:val="single" w:color="#989998"/>
                  </w:tcBorders>
                </w:tcPr>
                <w:p/>
              </w:tc>
              <w:tc>
                <w:tcPr>
                  <w:tcW w:type="dxa" w:w="560"/>
                  <w:gridSpan w:val="2"/>
                  <w:vMerge/>
                  <w:tcBorders>
                    <w:start w:sz="1.972599983215332" w:val="single" w:color="#CBCCCB"/>
                    <w:top w:sz="1.972599983215332" w:val="single" w:color="#CBCCCB"/>
                    <w:bottom w:sz="3.945199966430664" w:val="single" w:color="#989998"/>
                  </w:tcBorders>
                </w:tcPr>
                <w:p/>
              </w:tc>
            </w:tr>
            <w:tr>
              <w:trPr>
                <w:trHeight w:hRule="exact" w:val="224"/>
              </w:trPr>
              <w:tc>
                <w:tcPr>
                  <w:tcW w:type="dxa" w:w="168"/>
                  <w:tcBorders>
                    <w:start w:sz="3.1561601161956787" w:val="single" w:color="#333332"/>
                    <w:top w:sz="3.945199966430664" w:val="single" w:color="#989998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3.945199966430664" w:val="single" w:color="#989998"/>
                    <w:end w:sz="1.972599983215332" w:val="single" w:color="#CBCCCB"/>
                    <w:bottom w:sz="1.972599983215332" w:val="single" w:color="#CBCCCB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3.945199966430664" w:val="single" w:color="#989998"/>
                    <w:end w:sz="4.7342400550842285" w:val="single" w:color="#767776"/>
                    <w:bottom w:sz="1.972599983215332" w:val="single" w:color="#CBCCCB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>
                    <w:start w:sz="4.7342400550842285" w:val="single" w:color="#767776"/>
                    <w:top w:sz="3.945199966430664" w:val="single" w:color="#989998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3.945199966430664" w:val="single" w:color="#989998"/>
                    <w:end w:sz="1.972599983215332" w:val="single" w:color="#CBCCCB"/>
                    <w:bottom w:sz="1.972599983215332" w:val="single" w:color="#CBCCCB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3.945199966430664" w:val="single" w:color="#989998"/>
                    <w:end w:sz="4.7342400550842285" w:val="single" w:color="#767776"/>
                    <w:bottom w:sz="1.972599983215332" w:val="single" w:color="#CBCCCB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gridSpan w:val="2"/>
                  <w:tcBorders>
                    <w:start w:sz="4.7342400550842285" w:val="single" w:color="#767776"/>
                    <w:top w:sz="3.945199966430664" w:val="single" w:color="#989998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4"/>
                  <w:tcBorders>
                    <w:start w:sz="1.972599983215332" w:val="single" w:color="#CBCCCB"/>
                    <w:top w:sz="3.945199966430664" w:val="single" w:color="#989998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8"/>
                  <w:gridSpan w:val="2"/>
                  <w:tcBorders>
                    <w:start w:sz="1.972599983215332" w:val="single" w:color="#CBCCCB"/>
                    <w:top w:sz="3.945199966430664" w:val="single" w:color="#989998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2"/>
              </w:trPr>
              <w:tc>
                <w:tcPr>
                  <w:tcW w:type="dxa" w:w="168"/>
                  <w:tcBorders>
                    <w:start w:sz="3.1561601161956787" w:val="single" w:color="#333332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gridSpan w:val="2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4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8"/>
                  <w:gridSpan w:val="2"/>
                  <w:tcBorders>
                    <w:start w:sz="1.972599983215332" w:val="single" w:color="#CBCCCB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02"/>
              </w:trPr>
              <w:tc>
                <w:tcPr>
                  <w:tcW w:type="dxa" w:w="168"/>
                  <w:vMerge w:val="restart"/>
                  <w:tcBorders>
                    <w:start w:sz="3.1561601161956787" w:val="single" w:color="#333332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  <w:shd w:fill="a8c8e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shd w:fill="a8c8e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  <w:shd w:fill="8ab6dd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shd w:fill="8ab6dd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6"/>
                  <w:tcBorders>
                    <w:start w:sz="4.7342400550842285" w:val="single" w:color="#767776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"/>
                  <w:tcBorders>
                    <w:top w:sz="1.972599983215332" w:val="single" w:color="#CBCCCB"/>
                    <w:end w:sz="1.972599983215332" w:val="single" w:color="#CBCCCB"/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0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0.1</w:t>
                  </w:r>
                </w:p>
              </w:tc>
              <w:tc>
                <w:tcPr>
                  <w:tcW w:type="dxa" w:w="884"/>
                  <w:gridSpan w:val="4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14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62</w:t>
                  </w:r>
                </w:p>
              </w:tc>
              <w:tc>
                <w:tcPr>
                  <w:tcW w:type="dxa" w:w="478"/>
                  <w:gridSpan w:val="2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38" w:after="0"/>
                    <w:ind w:left="16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00</w:t>
                  </w:r>
                </w:p>
              </w:tc>
            </w:tr>
            <w:tr>
              <w:trPr>
                <w:trHeight w:hRule="exact" w:val="170"/>
              </w:trPr>
              <w:tc>
                <w:tcPr>
                  <w:tcW w:type="dxa" w:w="280"/>
                  <w:vMerge/>
                  <w:tcBorders>
                    <w:start w:sz="3.1561601161956787" w:val="single" w:color="#333332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176"/>
                  <w:tcBorders>
                    <w:start w:sz="4.7342400550842285" w:val="single" w:color="#767776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"/>
                  <w:tcBorders>
                    <w:start w:sz="4.7342400550842285" w:val="single" w:color="#767776"/>
                    <w:top w:sz="4.7342400550842285" w:val="single" w:color="#767776"/>
                    <w:end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2"/>
                  <w:gridSpan w:val="2"/>
                  <w:vMerge w:val="restart"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</w:tcBorders>
                  <w:shd w:fill="6ca4d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gridSpan w:val="2"/>
                  <w:vMerge/>
                  <w:tcBorders>
                    <w:start w:sz="1.972599983215332" w:val="single" w:color="#CBCCCB"/>
                    <w:top w:sz="1.972599983215332" w:val="single" w:color="#CBCCCB"/>
                    <w:bottom w:sz="4.7342400550842285" w:val="single" w:color="#767776"/>
                  </w:tcBorders>
                </w:tcPr>
                <w:p/>
              </w:tc>
            </w:tr>
            <w:tr>
              <w:trPr>
                <w:trHeight w:hRule="exact" w:val="250"/>
              </w:trPr>
              <w:tc>
                <w:tcPr>
                  <w:tcW w:type="dxa" w:w="280"/>
                  <w:vMerge/>
                  <w:tcBorders>
                    <w:start w:sz="3.1561601161956787" w:val="single" w:color="#333332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280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176"/>
                  <w:tcBorders>
                    <w:start w:sz="4.7342400550842285" w:val="single" w:color="#767776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"/>
                  <w:tcBorders>
                    <w:start w:sz="4.7342400550842285" w:val="single" w:color="#767776"/>
                    <w:end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0"/>
                  <w:gridSpan w:val="2"/>
                  <w:vMerge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4.7342400550842285" w:val="single" w:color="#767776"/>
                    <w:end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8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4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0.6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90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6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3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0.4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0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0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0.2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6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0.0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0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1280" w:firstLine="0"/>
              <w:jc w:val="right"/>
            </w:pPr>
            <w:r>
              <w:rPr>
                <w:w w:val="98.63000349564986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 xml:space="preserve">Mean </w:t>
            </w:r>
            <w:r>
              <w:rPr>
                <w:w w:val="98.63000349564986"/>
                <w:rFonts w:ascii="DejaVu Sans" w:hAnsi="DejaVu Sans" w:eastAsia="DejaVu Sans"/>
                <w:b w:val="0"/>
                <w:i w:val="0"/>
                <w:color w:val="000000"/>
                <w:sz w:val="11"/>
              </w:rPr>
              <w:t>|Δ</w:t>
            </w:r>
            <w:r>
              <w:rPr>
                <w:w w:val="98.63000349564986"/>
                <w:rFonts w:ascii="DejaVu Sans" w:hAnsi="DejaVu Sans" w:eastAsia="DejaVu Sans"/>
                <w:b w:val="0"/>
                <w:i/>
                <w:color w:val="000000"/>
                <w:sz w:val="11"/>
              </w:rPr>
              <w:t>v</w:t>
            </w:r>
            <w:r>
              <w:rPr>
                <w:w w:val="98.63000349564986"/>
                <w:rFonts w:ascii="DejaVu Sans" w:hAnsi="DejaVu Sans" w:eastAsia="DejaVu Sans"/>
                <w:b w:val="0"/>
                <w:i w:val="0"/>
                <w:color w:val="000000"/>
                <w:sz w:val="11"/>
              </w:rPr>
              <w:t>|</w:t>
            </w:r>
            <w:r>
              <w:rPr>
                <w:w w:val="98.63000349564986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 xml:space="preserve"> (veh/h)</w:t>
            </w:r>
          </w:p>
        </w:tc>
        <w:tc>
          <w:tcPr>
            <w:tcW w:type="dxa" w:w="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86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16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Q1</w:t>
            </w:r>
          </w:p>
        </w:tc>
        <w:tc>
          <w:tcPr>
            <w:tcW w:type="dxa" w:w="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370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Q2</w:t>
            </w:r>
          </w:p>
        </w:tc>
        <w:tc>
          <w:tcPr>
            <w:tcW w:type="dxa" w:w="1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602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Q3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140" w:right="0" w:firstLine="0"/>
              <w:jc w:val="lef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Q4</w:t>
            </w:r>
          </w:p>
        </w:tc>
        <w:tc>
          <w:tcPr>
            <w:tcW w:type="dxa" w:w="20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348" w:firstLine="0"/>
              <w:jc w:val="right"/>
            </w:pPr>
            <w:r>
              <w:rPr>
                <w:w w:val="98.63000349564986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 xml:space="preserve">Mean </w:t>
            </w:r>
            <w:r>
              <w:rPr>
                <w:w w:val="98.63000349564986"/>
                <w:rFonts w:ascii="DejaVu Sans" w:hAnsi="DejaVu Sans" w:eastAsia="DejaVu Sans"/>
                <w:b w:val="0"/>
                <w:i/>
                <w:color w:val="000000"/>
                <w:sz w:val="11"/>
              </w:rPr>
              <w:t>σ</w:t>
            </w:r>
            <w:r>
              <w:rPr>
                <w:w w:val="98.63000349564986"/>
                <w:rFonts w:ascii="DejaVu Serif" w:hAnsi="DejaVu Serif" w:eastAsia="DejaVu Serif"/>
                <w:b w:val="0"/>
                <w:i w:val="0"/>
                <w:color w:val="000000"/>
                <w:sz w:val="11"/>
              </w:rPr>
              <w:t xml:space="preserve"> (veh/h)</w:t>
            </w:r>
          </w:p>
        </w:tc>
        <w:tc>
          <w:tcPr>
            <w:tcW w:type="dxa" w:w="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6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2.5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Q1</w:t>
            </w:r>
          </w:p>
        </w:tc>
        <w:tc>
          <w:tcPr>
            <w:tcW w:type="dxa" w:w="7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370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Q2</w:t>
            </w:r>
          </w:p>
        </w:tc>
        <w:tc>
          <w:tcPr>
            <w:tcW w:type="dxa" w:w="11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612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Q3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130" w:right="0" w:firstLine="0"/>
              <w:jc w:val="lef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Q4</w:t>
            </w:r>
          </w:p>
        </w:tc>
      </w:tr>
      <w:tr>
        <w:trPr>
          <w:trHeight w:hRule="exact" w:val="178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(smallest |Δv|)</w:t>
            </w:r>
          </w:p>
        </w:tc>
        <w:tc>
          <w:tcPr>
            <w:tcW w:type="dxa" w:w="2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242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(largest |Δv|)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(smallest |Δv|)</w:t>
            </w:r>
          </w:p>
        </w:tc>
        <w:tc>
          <w:tcPr>
            <w:tcW w:type="dxa" w:w="2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72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(largest |Δv|)</w:t>
            </w:r>
          </w:p>
        </w:tc>
      </w:tr>
      <w:tr>
        <w:trPr>
          <w:trHeight w:hRule="exact" w:val="266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8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 xml:space="preserve">(c) Mean true </w:t>
            </w:r>
            <w:r>
              <w:rPr>
                <w:w w:val="98.6299991607666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|Δ</w:t>
            </w:r>
            <w:r>
              <w:rPr>
                <w:w w:val="98.6299991607666"/>
                <w:rFonts w:ascii="DejaVu Sans" w:hAnsi="DejaVu Sans" w:eastAsia="DejaVu Sans"/>
                <w:b w:val="0"/>
                <w:i/>
                <w:color w:val="000000"/>
                <w:sz w:val="12"/>
              </w:rPr>
              <w:t>v</w:t>
            </w:r>
            <w:r>
              <w:rPr>
                <w:w w:val="98.6299991607666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|</w:t>
            </w: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 xml:space="preserve"> per quartile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9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4" w:after="0"/>
              <w:ind w:left="800" w:right="0" w:firstLine="0"/>
              <w:jc w:val="lef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 xml:space="preserve">(d) Mean MC Dropout </w:t>
            </w:r>
            <w:r>
              <w:rPr>
                <w:w w:val="98.6299991607666"/>
                <w:rFonts w:ascii="DejaVu Sans" w:hAnsi="DejaVu Sans" w:eastAsia="DejaVu Sans"/>
                <w:b w:val="0"/>
                <w:i/>
                <w:color w:val="000000"/>
                <w:sz w:val="12"/>
              </w:rPr>
              <w:t>σ</w:t>
            </w: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2"/>
              </w:rPr>
              <w:t xml:space="preserve"> per quartile</w:t>
            </w:r>
          </w:p>
        </w:tc>
      </w:tr>
      <w:tr>
        <w:trPr>
          <w:trHeight w:hRule="exact" w:val="226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800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</w:tblGrid>
            <w:tr>
              <w:trPr>
                <w:trHeight w:hRule="exact" w:val="283"/>
              </w:trPr>
              <w:tc>
                <w:tcPr>
                  <w:tcW w:type="dxa" w:w="522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36" w:after="0"/>
                    <w:ind w:left="0" w:right="14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14</w:t>
                  </w:r>
                </w:p>
              </w:tc>
              <w:tc>
                <w:tcPr>
                  <w:tcW w:type="dxa" w:w="526"/>
                  <w:gridSpan w:val="2"/>
                  <w:tcBorders>
                    <w:start w:sz="1.972599983215332" w:val="single" w:color="#CBCCCB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36" w:after="0"/>
                    <w:ind w:left="0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.14</w:t>
                  </w:r>
                </w:p>
              </w:tc>
            </w:tr>
            <w:tr>
              <w:trPr>
                <w:trHeight w:hRule="exact" w:val="303"/>
              </w:trPr>
              <w:tc>
                <w:tcPr>
                  <w:tcW w:type="dxa" w:w="522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3"/>
              </w:trPr>
              <w:tc>
                <w:tcPr>
                  <w:tcW w:type="dxa" w:w="522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3"/>
              </w:trPr>
              <w:tc>
                <w:tcPr>
                  <w:tcW w:type="dxa" w:w="522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3"/>
              </w:trPr>
              <w:tc>
                <w:tcPr>
                  <w:tcW w:type="dxa" w:w="522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3"/>
              </w:trPr>
              <w:tc>
                <w:tcPr>
                  <w:tcW w:type="dxa" w:w="522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4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27"/>
              </w:trPr>
              <w:tc>
                <w:tcPr>
                  <w:tcW w:type="dxa" w:w="522"/>
                  <w:vMerge w:val="restart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2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6"/>
                  <w:tcBorders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1.972599983215332" w:val="single" w:color="#CBCCCB"/>
                    <w:end w:sz="1.972599983215332" w:val="single" w:color="#CBCCCB"/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0" w:after="0"/>
                    <w:ind w:left="0" w:right="14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2.</w:t>
                  </w:r>
                </w:p>
              </w:tc>
              <w:tc>
                <w:tcPr>
                  <w:tcW w:type="dxa" w:w="532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0" w:after="0"/>
                    <w:ind w:left="0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46</w:t>
                  </w:r>
                </w:p>
              </w:tc>
              <w:tc>
                <w:tcPr>
                  <w:tcW w:type="dxa" w:w="354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6"/>
              </w:trPr>
              <w:tc>
                <w:tcPr>
                  <w:tcW w:type="dxa" w:w="345"/>
                  <w:vMerge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690"/>
                  <w:gridSpan w:val="2"/>
                  <w:vMerge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354"/>
                  <w:tcBorders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6"/>
                  <w:tcBorders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4.7342400550842285" w:val="single" w:color="#767776"/>
                    <w:bottom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"/>
                  <w:tcBorders>
                    <w:top w:sz="4.7342400550842285" w:val="single" w:color="#767776"/>
                    <w:bottom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5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345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345"/>
                  <w:vMerge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</w:tcPr>
                <w:p/>
              </w:tc>
            </w:tr>
            <w:tr>
              <w:trPr>
                <w:trHeight w:hRule="exact" w:val="244"/>
              </w:trPr>
              <w:tc>
                <w:tcPr>
                  <w:tcW w:type="dxa" w:w="522"/>
                  <w:vMerge w:val="restart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58" w:after="0"/>
                    <w:ind w:left="0" w:right="16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0.</w:t>
                  </w:r>
                </w:p>
              </w:tc>
              <w:tc>
                <w:tcPr>
                  <w:tcW w:type="dxa" w:w="532"/>
                  <w:tcBorders>
                    <w:start w:sz="1.972599983215332" w:val="single" w:color="#CBCCCB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26" w:after="0"/>
                    <w:ind w:left="0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00</w:t>
                  </w:r>
                </w:p>
              </w:tc>
              <w:tc>
                <w:tcPr>
                  <w:tcW w:type="dxa" w:w="354"/>
                  <w:tcBorders>
                    <w:top w:sz="1.972599983215332" w:val="single" w:color="#CBCCCB"/>
                    <w:end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2" w:after="0"/>
                    <w:ind w:left="0" w:right="16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0.</w:t>
                  </w:r>
                </w:p>
              </w:tc>
              <w:tc>
                <w:tcPr>
                  <w:tcW w:type="dxa" w:w="530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2" w:after="0"/>
                    <w:ind w:left="0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45</w:t>
                  </w:r>
                </w:p>
              </w:tc>
              <w:tc>
                <w:tcPr>
                  <w:tcW w:type="dxa" w:w="354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shd w:fill="6ca4d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6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shd w:fill="ed7d3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vMerge w:val="restart"/>
                  <w:tcBorders>
                    <w:start w:sz="4.7342400550842285" w:val="single" w:color="#767776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0"/>
              </w:trPr>
              <w:tc>
                <w:tcPr>
                  <w:tcW w:type="dxa" w:w="345"/>
                  <w:vMerge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5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345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345"/>
                  <w:vMerge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345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345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</w:tcPr>
                <w:p/>
              </w:tc>
              <w:tc>
                <w:tcPr>
                  <w:tcW w:type="dxa" w:w="345"/>
                  <w:vMerge/>
                  <w:tcBorders>
                    <w:start w:sz="4.7342400550842285" w:val="single" w:color="#767776"/>
                    <w:top w:sz="1.972599983215332" w:val="single" w:color="#CBCCCB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920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302"/>
              <w:gridCol w:w="302"/>
              <w:gridCol w:w="302"/>
              <w:gridCol w:w="302"/>
              <w:gridCol w:w="302"/>
              <w:gridCol w:w="302"/>
              <w:gridCol w:w="302"/>
              <w:gridCol w:w="302"/>
              <w:gridCol w:w="302"/>
              <w:gridCol w:w="302"/>
              <w:gridCol w:w="302"/>
              <w:gridCol w:w="302"/>
              <w:gridCol w:w="302"/>
            </w:tblGrid>
            <w:tr>
              <w:trPr>
                <w:trHeight w:hRule="exact" w:val="409"/>
              </w:trPr>
              <w:tc>
                <w:tcPr>
                  <w:tcW w:type="dxa" w:w="522"/>
                  <w:gridSpan w:val="2"/>
                  <w:vMerge w:val="restart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2"/>
                  <w:tcBorders>
                    <w:start w:sz="1.972599983215332" w:val="single" w:color="#CBCCCB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1.972599983215332" w:val="single" w:color="#CBCCCB"/>
                    <w:end w:sz="1.972599983215332" w:val="single" w:color="#CBCCCB"/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74" w:after="0"/>
                    <w:ind w:left="0" w:right="16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2.</w:t>
                  </w:r>
                </w:p>
              </w:tc>
              <w:tc>
                <w:tcPr>
                  <w:tcW w:type="dxa" w:w="526"/>
                  <w:gridSpan w:val="2"/>
                  <w:tcBorders>
                    <w:start w:sz="1.972599983215332" w:val="single" w:color="#CBCCCB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74" w:after="0"/>
                    <w:ind w:left="0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07</w:t>
                  </w:r>
                </w:p>
              </w:tc>
            </w:tr>
            <w:tr>
              <w:trPr>
                <w:trHeight w:hRule="exact" w:val="64"/>
              </w:trPr>
              <w:tc>
                <w:tcPr>
                  <w:tcW w:type="dxa" w:w="604"/>
                  <w:gridSpan w:val="2"/>
                  <w:vMerge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906"/>
                  <w:gridSpan w:val="3"/>
                  <w:vMerge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906"/>
                  <w:gridSpan w:val="3"/>
                  <w:vMerge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352"/>
                  <w:tcBorders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73"/>
              </w:trPr>
              <w:tc>
                <w:tcPr>
                  <w:tcW w:type="dxa" w:w="522"/>
                  <w:gridSpan w:val="2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6"/>
                  <w:gridSpan w:val="3"/>
                  <w:tcBorders>
                    <w:start w:sz="1.972599983215332" w:val="single" w:color="#CBCCCB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0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17"/>
              </w:trPr>
              <w:tc>
                <w:tcPr>
                  <w:tcW w:type="dxa" w:w="522"/>
                  <w:gridSpan w:val="2"/>
                  <w:vMerge w:val="restart"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66" w:after="0"/>
                    <w:ind w:left="0" w:right="16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0.</w:t>
                  </w:r>
                </w:p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top w:sz="1.972599983215332" w:val="single" w:color="#CBCCCB"/>
                    <w:end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6"/>
                  <w:tcBorders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"/>
                  <w:tcBorders>
                    <w:top w:sz="1.972599983215332" w:val="single" w:color="#CBCCCB"/>
                    <w:end w:sz="1.972599983215332" w:val="single" w:color="#CBCCCB"/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4" w:after="0"/>
                    <w:ind w:left="0" w:right="16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1.</w:t>
                  </w:r>
                </w:p>
              </w:tc>
              <w:tc>
                <w:tcPr>
                  <w:tcW w:type="dxa" w:w="530"/>
                  <w:gridSpan w:val="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4" w:after="0"/>
                    <w:ind w:left="0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27</w:t>
                  </w:r>
                </w:p>
              </w:tc>
              <w:tc>
                <w:tcPr>
                  <w:tcW w:type="dxa" w:w="354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vMerge w:val="restart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vMerge w:val="restart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8"/>
              </w:trPr>
              <w:tc>
                <w:tcPr>
                  <w:tcW w:type="dxa" w:w="604"/>
                  <w:gridSpan w:val="2"/>
                  <w:vMerge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3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18" w:firstLine="0"/>
                    <w:jc w:val="righ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1.</w:t>
                  </w:r>
                </w:p>
              </w:tc>
              <w:tc>
                <w:tcPr>
                  <w:tcW w:type="dxa" w:w="354"/>
                  <w:tcBorders>
                    <w:bottom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17</w:t>
                  </w:r>
                </w:p>
              </w:tc>
              <w:tc>
                <w:tcPr>
                  <w:tcW w:type="dxa" w:w="1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"/>
                  <w:vMerge w:val="restart"/>
                  <w:tcBorders>
                    <w:start w:sz="4.7342400550842285" w:val="single" w:color="#767776"/>
                    <w:top w:sz="4.7342400550842285" w:val="single" w:color="#767776"/>
                    <w:end w:sz="1.972599983215332" w:val="single" w:color="#CBCCCB"/>
                    <w:bottom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2"/>
                  <w:vMerge w:val="restart"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  <w:bottom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302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302"/>
                  <w:vMerge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</w:tcPr>
                <w:p/>
              </w:tc>
            </w:tr>
            <w:tr>
              <w:trPr>
                <w:trHeight w:hRule="exact" w:val="171"/>
              </w:trPr>
              <w:tc>
                <w:tcPr>
                  <w:tcW w:type="dxa" w:w="604"/>
                  <w:gridSpan w:val="2"/>
                  <w:vMerge/>
                  <w:tcBorders>
                    <w:start w:sz="3.1561601161956787" w:val="single" w:color="#333332"/>
                    <w:top w:sz="1.972599983215332" w:val="single" w:color="#CBCCCB"/>
                    <w:end w:sz="1.972599983215332" w:val="single" w:color="#CBCCCB"/>
                  </w:tcBorders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left"/>
                  </w:pPr>
                  <w:r>
                    <w:rPr>
                      <w:w w:val="98.6299991607666"/>
                      <w:rFonts w:ascii="DejaVu Serif" w:hAnsi="DejaVu Serif" w:eastAsia="DejaVu Serif"/>
                      <w:b/>
                      <w:i w:val="0"/>
                      <w:color w:val="000000"/>
                      <w:sz w:val="10"/>
                    </w:rPr>
                    <w:t>97</w:t>
                  </w:r>
                </w:p>
              </w:tc>
              <w:tc>
                <w:tcPr>
                  <w:tcW w:type="dxa" w:w="178"/>
                  <w:tcBorders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4.7342400550842285" w:val="single" w:color="#767776"/>
                    <w:end w:sz="1.972599983215332" w:val="single" w:color="#CBCCCB"/>
                    <w:bottom w:sz="1.972599983215332" w:val="single" w:color="#CBCCCB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  <w:bottom w:sz="1.972599983215332" w:val="single" w:color="#CBCCCB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vMerge/>
                  <w:tcBorders>
                    <w:start w:sz="4.7342400550842285" w:val="single" w:color="#767776"/>
                    <w:top w:sz="4.7342400550842285" w:val="single" w:color="#767776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302"/>
                  <w:vMerge/>
                  <w:tcBorders>
                    <w:start w:sz="1.972599983215332" w:val="single" w:color="#CBCCCB"/>
                    <w:top w:sz="4.7342400550842285" w:val="single" w:color="#767776"/>
                    <w:end w:sz="4.7342400550842285" w:val="single" w:color="#767776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vMerge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302"/>
                  <w:vMerge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</w:tcPr>
                <w:p/>
              </w:tc>
              <w:tc>
                <w:tcPr>
                  <w:tcW w:type="dxa" w:w="302"/>
                  <w:vMerge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</w:tcPr>
                <w:p/>
              </w:tc>
            </w:tr>
            <w:tr>
              <w:trPr>
                <w:trHeight w:hRule="exact" w:val="459"/>
              </w:trPr>
              <w:tc>
                <w:tcPr>
                  <w:tcW w:type="dxa" w:w="168"/>
                  <w:tcBorders>
                    <w:start w:sz="3.1561601161956787" w:val="single" w:color="#333332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end w:sz="1.972599983215332" w:val="single" w:color="#CBCCCB"/>
                    <w:bottom w:sz="1.972599983215332" w:val="single" w:color="#CBCCCB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6"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  <w:bottom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tcBorders>
                    <w:start w:sz="4.7342400550842285" w:val="single" w:color="#767776"/>
                    <w:top w:sz="1.972599983215332" w:val="single" w:color="#CBCCCB"/>
                    <w:bottom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54"/>
              </w:trPr>
              <w:tc>
                <w:tcPr>
                  <w:tcW w:type="dxa" w:w="168"/>
                  <w:tcBorders>
                    <w:start w:sz="3.1561601161956787" w:val="single" w:color="#333332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shd w:fill="a8c8e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shd w:fill="8ab6d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6"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6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  <w:shd w:fill="6ca4d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2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shd w:fill="6ca4d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"/>
                  <w:tcBorders>
                    <w:start w:sz="4.7342400550842285" w:val="single" w:color="#767776"/>
                    <w:top w:sz="1.972599983215332" w:val="single" w:color="#CBCCCB"/>
                    <w:end w:sz="4.7342400550842285" w:val="single" w:color="#76777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7342400550842285" w:val="single" w:color="#767776"/>
                    <w:top w:sz="1.972599983215332" w:val="single" w:color="#CBCCCB"/>
                    <w:end w:sz="1.972599983215332" w:val="single" w:color="#CBCCCB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1.972599983215332" w:val="single" w:color="#CBCCCB"/>
                    <w:top w:sz="1.972599983215332" w:val="single" w:color="#CBCCCB"/>
                    <w:end w:sz="4.7342400550842285" w:val="single" w:color="#767776"/>
                  </w:tcBorders>
                  <w:shd w:fill="ed7d31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2"/>
                  <w:tcBorders>
                    <w:start w:sz="4.7342400550842285" w:val="single" w:color="#767776"/>
                    <w:top w:sz="1.972599983215332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0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14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2.0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0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12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10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2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1.5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8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6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1.0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6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1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0.5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0.0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752"/>
            <w:vMerge/>
            <w:tcBorders/>
          </w:tcPr>
          <w:p/>
        </w:tc>
        <w:tc>
          <w:tcPr>
            <w:tcW w:type="dxa" w:w="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3008"/>
            <w:gridSpan w:val="4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008"/>
            <w:gridSpan w:val="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Q1</w:t>
            </w:r>
          </w:p>
        </w:tc>
        <w:tc>
          <w:tcPr>
            <w:tcW w:type="dxa" w:w="7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370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Q2</w:t>
            </w:r>
          </w:p>
        </w:tc>
        <w:tc>
          <w:tcPr>
            <w:tcW w:type="dxa" w:w="1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602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Q3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40" w:right="0" w:firstLine="0"/>
              <w:jc w:val="lef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Q4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Q1</w:t>
            </w:r>
          </w:p>
        </w:tc>
        <w:tc>
          <w:tcPr>
            <w:tcW w:type="dxa" w:w="7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370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Q2</w:t>
            </w:r>
          </w:p>
        </w:tc>
        <w:tc>
          <w:tcPr>
            <w:tcW w:type="dxa" w:w="11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612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Q3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30" w:right="0" w:firstLine="0"/>
              <w:jc w:val="lef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Q4</w:t>
            </w:r>
          </w:p>
        </w:tc>
      </w:tr>
      <w:tr>
        <w:trPr>
          <w:trHeight w:hRule="exact" w:val="184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(smallest |Δv|)</w:t>
            </w:r>
          </w:p>
        </w:tc>
        <w:tc>
          <w:tcPr>
            <w:tcW w:type="dxa" w:w="2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242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(largest |Δv|)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(smallest |Δv|)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372" w:firstLine="0"/>
              <w:jc w:val="right"/>
            </w:pPr>
            <w:r>
              <w:rPr>
                <w:w w:val="98.6299991607666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(largest |Δv|)</w:t>
            </w:r>
          </w:p>
        </w:tc>
      </w:tr>
    </w:tbl>
    <w:p>
      <w:pPr>
        <w:autoSpaceDN w:val="0"/>
        <w:autoSpaceDE w:val="0"/>
        <w:widowControl/>
        <w:spacing w:line="260" w:lineRule="exact" w:before="19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Figure 5.7.: Stratified UQ: MAE rises and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falls as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grows.</w:t>
      </w:r>
    </w:p>
    <w:p>
      <w:pPr>
        <w:autoSpaceDN w:val="0"/>
        <w:autoSpaceDE w:val="0"/>
        <w:widowControl/>
        <w:spacing w:line="218" w:lineRule="exact" w:before="1622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30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286" w:lineRule="exact" w:before="482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5.11. Non-GNN Baselines</w:t>
      </w:r>
    </w:p>
    <w:p>
      <w:pPr>
        <w:autoSpaceDN w:val="0"/>
        <w:autoSpaceDE w:val="0"/>
        <w:widowControl/>
        <w:spacing w:line="284" w:lineRule="exact" w:before="220" w:after="0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Three non-GNN baselines on the same five node features and the same scenario-level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held-out test set as T8: Random Forest (cuML defaults,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n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est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100, max depth 16 [40]),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XGBoost (GPU, default hyperparameters + early-stopping budget of 10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000 rounds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on the T8 validation set [41]), and a single-hidden-layer MLP (sklearn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MLPRegressor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architecture [42], implemented in PyTorch with AdamW and batch size 4096 for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25M-row training set). All three treat each segment as an independent tabular row, so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they do not use the graph topology. Both tree baselines exceed T8 on point accuracy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(Table 5.9); the MLP, flat-tabular and without the GNN message passing, falls below T8.</w:t>
      </w:r>
    </w:p>
    <w:p>
      <w:pPr>
        <w:autoSpaceDN w:val="0"/>
        <w:autoSpaceDE w:val="0"/>
        <w:widowControl/>
        <w:spacing w:line="284" w:lineRule="exact" w:before="418" w:after="42"/>
        <w:ind w:left="1358" w:right="346" w:hanging="1018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5.9.: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Non-GNN baselines on the same 100-graph scenario-level held-out test set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500 nodes). The baselines use default-style configurations from each </w:t>
      </w:r>
      <w:r>
        <w:rPr>
          <w:w w:val="98.9750862121582"/>
          <w:rFonts w:ascii="URWPalladioL" w:hAnsi="URWPalladioL" w:eastAsia="URWPalladioL"/>
          <w:b w:val="0"/>
          <w:i w:val="0"/>
          <w:color w:val="000000"/>
          <w:sz w:val="22"/>
        </w:rPr>
        <w:t xml:space="preserve">model’s official documentation; XGBoost adds an early-stopping budget 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same scenario-level held-out validation set used by T8, and the MLP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is a PyTorch implementation of the sklearn-default architecture with the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documented optimisation and batch-size deviations of Section 5.11. XGBoost </w:t>
      </w:r>
      <w:r>
        <w:rPr>
          <w:rFonts w:ascii="F409" w:hAnsi="F409" w:eastAsia="F409"/>
          <w:b w:val="0"/>
          <w:i w:val="0"/>
          <w:color w:val="000000"/>
          <w:sz w:val="22"/>
        </w:rPr>
        <w:t>best_iteration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reached the 10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000-round budget cap; the validation curve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was effectively flat over the last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000 rounds and the result is reported at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budget cap rather than at a triggered early stop.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0"/>
        </w:trPr>
        <w:tc>
          <w:tcPr>
            <w:tcW w:type="dxa" w:w="4280"/>
            <w:gridSpan w:val="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Model</w:t>
            </w:r>
          </w:p>
        </w:tc>
        <w:tc>
          <w:tcPr>
            <w:tcW w:type="dxa" w:w="84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6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MAE (veh/h)</w:t>
            </w:r>
          </w:p>
        </w:tc>
        <w:tc>
          <w:tcPr>
            <w:tcW w:type="dxa" w:w="1666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RMSE (veh/h)</w:t>
            </w:r>
          </w:p>
        </w:tc>
      </w:tr>
      <w:tr>
        <w:trPr>
          <w:trHeight w:hRule="exact" w:val="352"/>
        </w:trPr>
        <w:tc>
          <w:tcPr>
            <w:tcW w:type="dxa" w:w="4280"/>
            <w:gridSpan w:val="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T8 (GNN, primary UQ base)</w:t>
            </w:r>
          </w:p>
        </w:tc>
        <w:tc>
          <w:tcPr>
            <w:tcW w:type="dxa" w:w="84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0.5957</w:t>
            </w:r>
          </w:p>
        </w:tc>
        <w:tc>
          <w:tcPr>
            <w:tcW w:type="dxa" w:w="156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3.957</w:t>
            </w:r>
          </w:p>
        </w:tc>
        <w:tc>
          <w:tcPr>
            <w:tcW w:type="dxa" w:w="1666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7.118</w:t>
            </w:r>
          </w:p>
        </w:tc>
      </w:tr>
      <w:tr>
        <w:trPr>
          <w:trHeight w:hRule="exact" w:val="324"/>
        </w:trPr>
        <w:tc>
          <w:tcPr>
            <w:tcW w:type="dxa" w:w="4280"/>
            <w:gridSpan w:val="2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Deep Ensemble (GNN, 5 members)</w:t>
            </w:r>
          </w:p>
        </w:tc>
        <w:tc>
          <w:tcPr>
            <w:tcW w:type="dxa" w:w="840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0.6841</w:t>
            </w:r>
          </w:p>
        </w:tc>
        <w:tc>
          <w:tcPr>
            <w:tcW w:type="dxa" w:w="1560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3.485</w:t>
            </w:r>
          </w:p>
        </w:tc>
        <w:tc>
          <w:tcPr>
            <w:tcW w:type="dxa" w:w="1666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6.293</w:t>
            </w:r>
          </w:p>
        </w:tc>
      </w:tr>
      <w:tr>
        <w:trPr>
          <w:trHeight w:hRule="exact" w:val="356"/>
        </w:trPr>
        <w:tc>
          <w:tcPr>
            <w:tcW w:type="dxa" w:w="4280"/>
            <w:gridSpan w:val="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Random Forest (cuML, default-style)</w:t>
            </w:r>
          </w:p>
        </w:tc>
        <w:tc>
          <w:tcPr>
            <w:tcW w:type="dxa" w:w="84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0.6612</w:t>
            </w:r>
          </w:p>
        </w:tc>
        <w:tc>
          <w:tcPr>
            <w:tcW w:type="dxa" w:w="156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3.263</w:t>
            </w:r>
          </w:p>
        </w:tc>
        <w:tc>
          <w:tcPr>
            <w:tcW w:type="dxa" w:w="1666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6.516</w:t>
            </w:r>
          </w:p>
        </w:tc>
      </w:tr>
      <w:tr>
        <w:trPr>
          <w:trHeight w:hRule="exact" w:val="280"/>
        </w:trPr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XGBoost (default-style + early stop)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0.7414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2.774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5.693</w:t>
            </w:r>
          </w:p>
        </w:tc>
      </w:tr>
      <w:tr>
        <w:trPr>
          <w:trHeight w:hRule="exact" w:val="330"/>
        </w:trPr>
        <w:tc>
          <w:tcPr>
            <w:tcW w:type="dxa" w:w="4280"/>
            <w:gridSpan w:val="2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MLP (sklearn-style architecture, PyTorch)</w:t>
            </w:r>
          </w:p>
        </w:tc>
        <w:tc>
          <w:tcPr>
            <w:tcW w:type="dxa" w:w="84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0.4928</w:t>
            </w:r>
          </w:p>
        </w:tc>
        <w:tc>
          <w:tcPr>
            <w:tcW w:type="dxa" w:w="156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3.883</w:t>
            </w:r>
          </w:p>
        </w:tc>
        <w:tc>
          <w:tcPr>
            <w:tcW w:type="dxa" w:w="1666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7.973</w:t>
            </w:r>
          </w:p>
        </w:tc>
      </w:tr>
      <w:tr>
        <w:trPr>
          <w:trHeight w:hRule="exact" w:val="900"/>
        </w:trPr>
        <w:tc>
          <w:tcPr>
            <w:tcW w:type="dxa" w:w="3140"/>
            <w:tcBorders>
              <w:top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40" w:after="0"/>
              <w:ind w:left="6" w:right="0" w:firstLine="0"/>
              <w:jc w:val="left"/>
            </w:pPr>
            <w:r>
              <w:rPr>
                <w:w w:val="98.37704571810636"/>
                <w:rFonts w:ascii="URWPalladioL" w:hAnsi="URWPalladioL" w:eastAsia="URWPalladioL"/>
                <w:b/>
                <w:i w:val="0"/>
                <w:color w:val="000000"/>
                <w:sz w:val="22"/>
              </w:rPr>
              <w:t>Conformal on Random Forest.</w:t>
            </w:r>
          </w:p>
        </w:tc>
        <w:tc>
          <w:tcPr>
            <w:tcW w:type="dxa" w:w="5206"/>
            <w:gridSpan w:val="4"/>
            <w:tcBorders>
              <w:top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42" w:after="0"/>
              <w:ind w:left="140" w:right="0" w:firstLine="0"/>
              <w:jc w:val="left"/>
            </w:pPr>
            <w:r>
              <w:rPr>
                <w:w w:val="98.37704571810636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Split conformal on the RF point predictions (random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46" w:right="342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50/50 node-level partition, seed 42 – a marginal-coverage sanity check rather than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 scenario-level held-out comparison) reaches near-nominal marginal coverage with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tighter radii than T8 (Table 5.10), reflecting RF’s smaller residuals rather than a stronger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UQ method.</w:t>
      </w:r>
    </w:p>
    <w:p>
      <w:pPr>
        <w:autoSpaceDN w:val="0"/>
        <w:tabs>
          <w:tab w:pos="1274" w:val="left"/>
        </w:tabs>
        <w:autoSpaceDE w:val="0"/>
        <w:widowControl/>
        <w:spacing w:line="294" w:lineRule="exact" w:before="322" w:after="0"/>
        <w:ind w:left="346" w:right="288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Scope.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Tree baselines dominate point accuracy on this sparse target, as expected for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tabular data with 88.7% zero-mass response [43, 44]. The per-prediction UQ pipeline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evaluated in this thesis – MC Dropout, regression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-scaling, the heteroscedastic and</w:t>
      </w:r>
    </w:p>
    <w:p>
      <w:pPr>
        <w:autoSpaceDN w:val="0"/>
        <w:autoSpaceDE w:val="0"/>
        <w:widowControl/>
        <w:spacing w:line="218" w:lineRule="exact" w:before="782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31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284" w:lineRule="exact" w:before="648" w:after="44"/>
        <w:ind w:left="1476" w:right="288" w:hanging="113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5.10.: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Split conformal on top of the Random Forest, compared with T8 split 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>conformal from Section 5.3. The RF split is at the</w:t>
      </w:r>
      <w:r>
        <w:rPr>
          <w:w w:val="98.62667430530895"/>
          <w:rFonts w:ascii="URWPalladioL" w:hAnsi="URWPalladioL" w:eastAsia="URWPalladioL"/>
          <w:b w:val="0"/>
          <w:i/>
          <w:color w:val="000000"/>
          <w:sz w:val="22"/>
        </w:rPr>
        <w:t xml:space="preserve"> node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 level (random 50/50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partition of the 3.16M-node test set, seed 42), unlike the T8 scenario-level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split, so the RF conformal numbers are a marginal-coverage sanity check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rather than a scenario-level held-out comparison; see the caveat above.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Both methods achieve near-nominal marginal coverage on their respective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evaluation halves; RF’s tighter intervals reflect its smaller residuals, not a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stronger uncertainty method.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98"/>
        </w:trPr>
        <w:tc>
          <w:tcPr>
            <w:tcW w:type="dxa" w:w="3466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Model</w:t>
            </w:r>
          </w:p>
        </w:tc>
        <w:tc>
          <w:tcPr>
            <w:tcW w:type="dxa" w:w="13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q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(veh/h)</w:t>
            </w:r>
          </w:p>
        </w:tc>
        <w:tc>
          <w:tcPr>
            <w:tcW w:type="dxa" w:w="9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13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q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(veh/h)</w:t>
            </w:r>
          </w:p>
        </w:tc>
        <w:tc>
          <w:tcPr>
            <w:tcW w:type="dxa" w:w="93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PICP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</w:p>
        </w:tc>
      </w:tr>
      <w:tr>
        <w:trPr>
          <w:trHeight w:hRule="exact" w:val="350"/>
        </w:trPr>
        <w:tc>
          <w:tcPr>
            <w:tcW w:type="dxa" w:w="3466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T8 (GNN) + split conformal</w:t>
            </w:r>
          </w:p>
        </w:tc>
        <w:tc>
          <w:tcPr>
            <w:tcW w:type="dxa" w:w="13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9.920</w:t>
            </w:r>
          </w:p>
        </w:tc>
        <w:tc>
          <w:tcPr>
            <w:tcW w:type="dxa" w:w="9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90.02%</w:t>
            </w:r>
          </w:p>
        </w:tc>
        <w:tc>
          <w:tcPr>
            <w:tcW w:type="dxa" w:w="13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14.677</w:t>
            </w:r>
          </w:p>
        </w:tc>
        <w:tc>
          <w:tcPr>
            <w:tcW w:type="dxa" w:w="93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95.01%</w:t>
            </w:r>
          </w:p>
        </w:tc>
      </w:tr>
      <w:tr>
        <w:trPr>
          <w:trHeight w:hRule="exact" w:val="332"/>
        </w:trPr>
        <w:tc>
          <w:tcPr>
            <w:tcW w:type="dxa" w:w="3466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Random Forest + split conformal</w:t>
            </w:r>
          </w:p>
        </w:tc>
        <w:tc>
          <w:tcPr>
            <w:tcW w:type="dxa" w:w="132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8.737</w:t>
            </w:r>
          </w:p>
        </w:tc>
        <w:tc>
          <w:tcPr>
            <w:tcW w:type="dxa" w:w="92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89.98%</w:t>
            </w:r>
          </w:p>
        </w:tc>
        <w:tc>
          <w:tcPr>
            <w:tcW w:type="dxa" w:w="132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12.964</w:t>
            </w:r>
          </w:p>
        </w:tc>
        <w:tc>
          <w:tcPr>
            <w:tcW w:type="dxa" w:w="932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94.98%</w:t>
            </w:r>
          </w:p>
        </w:tc>
      </w:tr>
    </w:tbl>
    <w:p>
      <w:pPr>
        <w:autoSpaceDN w:val="0"/>
        <w:autoSpaceDE w:val="0"/>
        <w:widowControl/>
        <w:spacing w:line="284" w:lineRule="exact" w:before="394" w:after="0"/>
        <w:ind w:left="346" w:right="288" w:firstLine="0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CQR heads of Trials 9–11 – is not directly applicable to the default tree baselines because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those methods rely on architectural dropout, soft probabilistic outputs, and a differ-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entiable backbone. Tree-native UQ extensions (quantile regression forests, NGBoost)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are plausible competitors and a natural follow-up; this thesis does not test them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therefore makes no claim about their relative quality.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5.12. An Illustrative Decision Framework</w:t>
      </w:r>
    </w:p>
    <w:p>
      <w:pPr>
        <w:autoSpaceDN w:val="0"/>
        <w:autoSpaceDE w:val="0"/>
        <w:widowControl/>
        <w:spacing w:line="288" w:lineRule="exact" w:before="216" w:after="0"/>
        <w:ind w:left="33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Figure 5.8 sketches one way to combine the chapter’s findings into an ac-</w:t>
      </w:r>
      <w:r>
        <w:rPr>
          <w:w w:val="98.27701395208184"/>
          <w:rFonts w:ascii="URWPalladioL" w:hAnsi="URWPalladioL" w:eastAsia="URWPalladioL"/>
          <w:b w:val="0"/>
          <w:i w:val="0"/>
          <w:color w:val="000000"/>
          <w:sz w:val="22"/>
        </w:rPr>
        <w:t>cept/review/reject decision rule based on the predicted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w w:val="98.27701395208184"/>
          <w:rFonts w:ascii="URWPalladioL" w:hAnsi="URWPalladioL" w:eastAsia="URWPalladioL"/>
          <w:b w:val="0"/>
          <w:i w:val="0"/>
          <w:color w:val="000000"/>
          <w:sz w:val="22"/>
        </w:rPr>
        <w:t xml:space="preserve"> percentile. The framework is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illustrative: thresholds, costs and risk tolerances would need to be calibrated against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planner’s tolerances and the specific decision cost trade-offs before any real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deployment. The stratified caveat from Section 5.10 also applies: uncertainty ranking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weakens on the largest-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segments, exactly the regime where policy effects are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biggest; high-impact decisions should still go through MATSim regardless of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3462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32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5. Results</w:t>
      </w:r>
    </w:p>
    <w:p>
      <w:pPr>
        <w:autoSpaceDN w:val="0"/>
        <w:autoSpaceDE w:val="0"/>
        <w:widowControl/>
        <w:spacing w:line="240" w:lineRule="auto" w:before="4320" w:after="270"/>
        <w:ind w:left="0" w:right="0" w:firstLine="0"/>
        <w:jc w:val="center"/>
      </w:pPr>
      <w:r>
        <w:rPr>
          <w:w w:val="101.91600105979226"/>
          <w:rFonts w:ascii="DejaVu Serif" w:hAnsi="DejaVu Serif" w:eastAsia="DejaVu Serif"/>
          <w:b w:val="0"/>
          <w:i w:val="0"/>
          <w:color w:val="000000"/>
          <w:sz w:val="11"/>
        </w:rPr>
        <w:t>Three-tier deployment policy based on uncertainty percentile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0.0" w:type="dxa"/>
      </w:tblPr>
      <w:tblGrid>
        <w:gridCol w:w="3009"/>
        <w:gridCol w:w="3009"/>
        <w:gridCol w:w="3009"/>
      </w:tblGrid>
      <w:tr>
        <w:trPr>
          <w:trHeight w:hRule="exact" w:val="243"/>
        </w:trPr>
        <w:tc>
          <w:tcPr>
            <w:tcW w:type="dxa" w:w="1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97.66950607299805"/>
                <w:rFonts w:ascii="DejaVu Serif" w:hAnsi="DejaVu Serif" w:eastAsia="DejaVu Serif"/>
                <w:b/>
                <w:i w:val="0"/>
                <w:color w:val="000000"/>
                <w:sz w:val="12"/>
              </w:rPr>
              <w:t>ACCEPT</w:t>
            </w:r>
          </w:p>
        </w:tc>
        <w:tc>
          <w:tcPr>
            <w:tcW w:type="dxa" w:w="1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340" w:right="0" w:firstLine="0"/>
              <w:jc w:val="left"/>
            </w:pPr>
            <w:r>
              <w:rPr>
                <w:w w:val="97.66950607299805"/>
                <w:rFonts w:ascii="DejaVu Serif" w:hAnsi="DejaVu Serif" w:eastAsia="DejaVu Serif"/>
                <w:b/>
                <w:i w:val="0"/>
                <w:color w:val="000000"/>
                <w:sz w:val="12"/>
              </w:rPr>
              <w:t>FLAG FOR REVIEW</w:t>
            </w:r>
          </w:p>
        </w:tc>
        <w:tc>
          <w:tcPr>
            <w:tcW w:type="dxa" w:w="2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422" w:firstLine="0"/>
              <w:jc w:val="right"/>
            </w:pPr>
            <w:r>
              <w:rPr>
                <w:w w:val="97.66950607299805"/>
                <w:rFonts w:ascii="DejaVu Serif" w:hAnsi="DejaVu Serif" w:eastAsia="DejaVu Serif"/>
                <w:b/>
                <w:i w:val="0"/>
                <w:color w:val="000000"/>
                <w:sz w:val="12"/>
              </w:rPr>
              <w:t>REJECT</w:t>
            </w:r>
          </w:p>
        </w:tc>
      </w:tr>
      <w:tr>
        <w:trPr>
          <w:trHeight w:hRule="exact" w:val="320"/>
        </w:trPr>
        <w:tc>
          <w:tcPr>
            <w:tcW w:type="dxa" w:w="1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101.91600587632921"/>
                <w:rFonts w:ascii="DejaVu Serif" w:hAnsi="DejaVu Serif" w:eastAsia="DejaVu Serif"/>
                <w:b w:val="0"/>
                <w:i w:val="0"/>
                <w:color w:val="000000"/>
                <w:sz w:val="18"/>
              </w:rPr>
              <w:t>OK</w:t>
            </w:r>
          </w:p>
        </w:tc>
        <w:tc>
          <w:tcPr>
            <w:tcW w:type="dxa" w:w="1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736" w:firstLine="0"/>
              <w:jc w:val="right"/>
            </w:pPr>
            <w:r>
              <w:rPr>
                <w:w w:val="101.91600587632921"/>
                <w:rFonts w:ascii="DejaVu Serif" w:hAnsi="DejaVu Serif" w:eastAsia="DejaVu Serif"/>
                <w:b w:val="0"/>
                <w:i w:val="0"/>
                <w:color w:val="000000"/>
                <w:sz w:val="18"/>
              </w:rPr>
              <w:t>!</w:t>
            </w:r>
          </w:p>
        </w:tc>
        <w:tc>
          <w:tcPr>
            <w:tcW w:type="dxa" w:w="2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1612" w:firstLine="0"/>
              <w:jc w:val="right"/>
            </w:pPr>
            <w:r>
              <w:rPr>
                <w:w w:val="101.91600587632921"/>
                <w:rFonts w:ascii="DejaVu Serif" w:hAnsi="DejaVu Serif" w:eastAsia="DejaVu Serif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00"/>
        </w:trPr>
        <w:tc>
          <w:tcPr>
            <w:tcW w:type="dxa" w:w="1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96.8202018737793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0% to 50% percentile</w:t>
            </w:r>
          </w:p>
        </w:tc>
        <w:tc>
          <w:tcPr>
            <w:tcW w:type="dxa" w:w="1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18" w:right="0" w:firstLine="0"/>
              <w:jc w:val="left"/>
            </w:pPr>
            <w:r>
              <w:rPr>
                <w:w w:val="96.8202018737793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50% to 90% percentile</w:t>
            </w:r>
          </w:p>
        </w:tc>
        <w:tc>
          <w:tcPr>
            <w:tcW w:type="dxa" w:w="2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386" w:right="0" w:firstLine="0"/>
              <w:jc w:val="left"/>
            </w:pPr>
            <w:r>
              <w:rPr>
                <w:w w:val="96.8202018737793"/>
                <w:rFonts w:ascii="DejaVu Serif" w:hAnsi="DejaVu Serif" w:eastAsia="DejaVu Serif"/>
                <w:b w:val="0"/>
                <w:i w:val="0"/>
                <w:color w:val="000000"/>
                <w:sz w:val="10"/>
              </w:rPr>
              <w:t>90% to 100% percentile</w:t>
            </w:r>
          </w:p>
        </w:tc>
      </w:tr>
      <w:tr>
        <w:trPr>
          <w:trHeight w:hRule="exact" w:val="244"/>
        </w:trPr>
        <w:tc>
          <w:tcPr>
            <w:tcW w:type="dxa" w:w="1546"/>
            <w:tcBorders>
              <w:bottom w:sz="2.8536479473114014" w:val="single" w:color="#A4A5A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0" w:right="0" w:firstLine="0"/>
              <w:jc w:val="center"/>
            </w:pPr>
            <w:r>
              <w:rPr>
                <w:w w:val="101.91600587632921"/>
                <w:rFonts w:ascii="DejaVu Serif" w:hAnsi="DejaVu Serif" w:eastAsia="DejaVu Serif"/>
                <w:b w:val="0"/>
                <w:i/>
                <w:color w:val="404040"/>
                <w:sz w:val="9"/>
              </w:rPr>
              <w:t>Use prediction directly</w:t>
            </w:r>
          </w:p>
        </w:tc>
        <w:tc>
          <w:tcPr>
            <w:tcW w:type="dxa" w:w="1750"/>
            <w:tcBorders>
              <w:bottom w:sz="2.8536479473114014" w:val="single" w:color="#A4A5A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354" w:right="0" w:firstLine="0"/>
              <w:jc w:val="left"/>
            </w:pPr>
            <w:r>
              <w:rPr>
                <w:w w:val="101.91600587632921"/>
                <w:rFonts w:ascii="DejaVu Serif" w:hAnsi="DejaVu Serif" w:eastAsia="DejaVu Serif"/>
                <w:b w:val="0"/>
                <w:i/>
                <w:color w:val="404040"/>
                <w:sz w:val="9"/>
              </w:rPr>
              <w:t>Send to expert verification</w:t>
            </w:r>
          </w:p>
        </w:tc>
        <w:tc>
          <w:tcPr>
            <w:tcW w:type="dxa" w:w="2654"/>
            <w:tcBorders>
              <w:bottom w:sz="2.8536479473114014" w:val="single" w:color="#A4A5A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348" w:right="0" w:firstLine="0"/>
              <w:jc w:val="left"/>
            </w:pPr>
            <w:r>
              <w:rPr>
                <w:w w:val="101.91600587632921"/>
                <w:rFonts w:ascii="DejaVu Serif" w:hAnsi="DejaVu Serif" w:eastAsia="DejaVu Serif"/>
                <w:b w:val="0"/>
                <w:i/>
                <w:color w:val="404040"/>
                <w:sz w:val="9"/>
              </w:rPr>
              <w:t>Re-run MATSim simulation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2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655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2256"/>
        <w:gridCol w:w="2256"/>
        <w:gridCol w:w="2256"/>
        <w:gridCol w:w="2256"/>
      </w:tblGrid>
      <w:tr>
        <w:trPr>
          <w:trHeight w:hRule="exact" w:val="17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736" w:firstLine="0"/>
              <w:jc w:val="right"/>
            </w:pPr>
            <w:r>
              <w:rPr>
                <w:w w:val="96.25399907430014"/>
                <w:rFonts w:ascii="DejaVu Serif" w:hAnsi="DejaVu Serif" w:eastAsia="DejaVu Serif"/>
                <w:b w:val="0"/>
                <w:i w:val="0"/>
                <w:color w:val="404040"/>
                <w:sz w:val="9"/>
              </w:rPr>
              <w:t>0%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96.25399907430014"/>
                <w:rFonts w:ascii="DejaVu Serif" w:hAnsi="DejaVu Serif" w:eastAsia="DejaVu Serif"/>
                <w:b w:val="0"/>
                <w:i w:val="0"/>
                <w:color w:val="404040"/>
                <w:sz w:val="9"/>
              </w:rPr>
              <w:t>50%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96.25399907430014"/>
                <w:rFonts w:ascii="DejaVu Serif" w:hAnsi="DejaVu Serif" w:eastAsia="DejaVu Serif"/>
                <w:b w:val="0"/>
                <w:i w:val="0"/>
                <w:color w:val="404040"/>
                <w:sz w:val="9"/>
              </w:rPr>
              <w:t>90%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902" w:firstLine="0"/>
              <w:jc w:val="right"/>
            </w:pPr>
            <w:r>
              <w:rPr>
                <w:w w:val="96.25399907430014"/>
                <w:rFonts w:ascii="DejaVu Serif" w:hAnsi="DejaVu Serif" w:eastAsia="DejaVu Serif"/>
                <w:b w:val="0"/>
                <w:i w:val="0"/>
                <w:color w:val="404040"/>
                <w:sz w:val="9"/>
              </w:rPr>
              <w:t>100%</w:t>
            </w:r>
          </w:p>
        </w:tc>
      </w:tr>
    </w:tbl>
    <w:p>
      <w:pPr>
        <w:autoSpaceDN w:val="0"/>
        <w:autoSpaceDE w:val="0"/>
        <w:widowControl/>
        <w:spacing w:line="238" w:lineRule="auto" w:before="48" w:after="0"/>
        <w:ind w:left="0" w:right="0" w:firstLine="0"/>
        <w:jc w:val="center"/>
      </w:pPr>
      <w:r>
        <w:rPr>
          <w:w w:val="101.91600799560547"/>
          <w:rFonts w:ascii="DejaVu Serif" w:hAnsi="DejaVu Serif" w:eastAsia="DejaVu Serif"/>
          <w:b w:val="0"/>
          <w:i/>
          <w:color w:val="404040"/>
          <w:sz w:val="10"/>
        </w:rPr>
        <w:t>Increasing predicted uncertainty</w:t>
      </w:r>
    </w:p>
    <w:p>
      <w:pPr>
        <w:autoSpaceDN w:val="0"/>
        <w:autoSpaceDE w:val="0"/>
        <w:widowControl/>
        <w:spacing w:line="242" w:lineRule="exact" w:before="55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Figure 5.8.: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Illustrative three-tier framework: bottom 50% accepted (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41.2% MAE,</w:t>
      </w:r>
    </w:p>
    <w:p>
      <w:pPr>
        <w:autoSpaceDN w:val="0"/>
        <w:autoSpaceDE w:val="0"/>
        <w:widowControl/>
        <w:spacing w:line="240" w:lineRule="exact" w:before="46" w:after="0"/>
        <w:ind w:left="148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Fig. 5.3), middle 40% reviewed, top 10% rejected (AUROC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0.7548, Sec-</w:t>
      </w:r>
    </w:p>
    <w:p>
      <w:pPr>
        <w:autoSpaceDN w:val="0"/>
        <w:autoSpaceDE w:val="0"/>
        <w:widowControl/>
        <w:spacing w:line="218" w:lineRule="exact" w:before="66" w:after="0"/>
        <w:ind w:left="148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tion 5.5). Thresholds need calibration against the planner’s cost trade-offs.</w:t>
      </w:r>
    </w:p>
    <w:p>
      <w:pPr>
        <w:autoSpaceDN w:val="0"/>
        <w:autoSpaceDE w:val="0"/>
        <w:widowControl/>
        <w:spacing w:line="218" w:lineRule="exact" w:before="461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33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6. Discussion</w:t>
      </w:r>
    </w:p>
    <w:p>
      <w:pPr>
        <w:autoSpaceDN w:val="0"/>
        <w:autoSpaceDE w:val="0"/>
        <w:widowControl/>
        <w:spacing w:line="288" w:lineRule="exact" w:before="546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6.1. Freezing the Backbone: An Empirical Observation</w:t>
      </w:r>
    </w:p>
    <w:p>
      <w:pPr>
        <w:autoSpaceDN w:val="0"/>
        <w:autoSpaceDE w:val="0"/>
        <w:widowControl/>
        <w:spacing w:line="284" w:lineRule="exact" w:before="218" w:after="0"/>
        <w:ind w:left="288" w:right="288" w:firstLine="0"/>
        <w:jc w:val="center"/>
      </w:pP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>Trials 10 and 11 share head, loss, data, calibration protocol and learning rate (5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×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 10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4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inherited from T8 in both cases); the only design difference is whether the backbone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is fine-tuned end-to-end (T10) or frozen (T11). T10 collapses to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0.4057 and fails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three of the six gates; T11 reaches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0.5835 and passes all six (Tables 5.7, 5.8). T9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(frozen backbone, heteroscedastic head, NLL loss) reaches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2.84 – four times better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than T8 – but misses the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gate at 0.4991, consistent with the NLL/MSE trade-off of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Section 2.3.3. Within the scope of this thesis (PointNetTransfGAT, the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000-scenario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subset, the loss and head pairings tested), the backbone-trainability flag alone is enough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to flip the CQR result; we report this as an empirical observation, not a general principle.</w:t>
      </w:r>
    </w:p>
    <w:p>
      <w:pPr>
        <w:autoSpaceDN w:val="0"/>
        <w:autoSpaceDE w:val="0"/>
        <w:widowControl/>
        <w:spacing w:line="284" w:lineRule="exact" w:before="238" w:after="0"/>
        <w:ind w:left="892" w:right="864" w:hanging="10"/>
        <w:jc w:val="left"/>
      </w:pP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When adding an uncertainty-aware head on top of an MSE-trained backbone,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freezing the backbone and training only the head appears to be the safer choice in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the experimental setting studied here.</w:t>
      </w:r>
    </w:p>
    <w:p>
      <w:pPr>
        <w:autoSpaceDN w:val="0"/>
        <w:autoSpaceDE w:val="0"/>
        <w:widowControl/>
        <w:spacing w:line="286" w:lineRule="exact" w:before="468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6.2. The Layered Calibration Hierarchy</w:t>
      </w:r>
    </w:p>
    <w:p>
      <w:pPr>
        <w:autoSpaceDN w:val="0"/>
        <w:autoSpaceDE w:val="0"/>
        <w:widowControl/>
        <w:spacing w:line="278" w:lineRule="exact" w:before="244" w:after="0"/>
        <w:ind w:left="346" w:right="288" w:hanging="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The four post-hoc treatments of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compose into a layered pipeline (Table 6.1). MC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Dropout supplies the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ranking,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-scaling gives a quick approximate 1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probability,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and adaptive conformal gives the deployment interval with near-nominal empirical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marginal coverage on the held-out scenarios.</w:t>
      </w:r>
    </w:p>
    <w:p>
      <w:pPr>
        <w:autoSpaceDN w:val="0"/>
        <w:autoSpaceDE w:val="0"/>
        <w:widowControl/>
        <w:spacing w:line="342" w:lineRule="exact" w:before="436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6.3. Stratified UQ: Why</w:t>
      </w:r>
      <w:r>
        <w:rPr>
          <w:w w:val="98.93931027116447"/>
          <w:rFonts w:ascii="PazoMath" w:hAnsi="PazoMath" w:eastAsia="PazoMath"/>
          <w:b w:val="0"/>
          <w:i/>
          <w:color w:val="000000"/>
          <w:sz w:val="29"/>
        </w:rPr>
        <w:t xml:space="preserve"> ρ</w:t>
      </w: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 xml:space="preserve"> Drops on Large</w:t>
      </w:r>
      <w:r>
        <w:rPr>
          <w:rFonts w:ascii="CMSY10" w:hAnsi="CMSY10" w:eastAsia="CMSY10"/>
          <w:b w:val="0"/>
          <w:i/>
          <w:color w:val="000000"/>
          <w:sz w:val="30"/>
        </w:rPr>
        <w:t xml:space="preserve"> |</w:t>
      </w:r>
      <w:r>
        <w:rPr>
          <w:w w:val="98.93931027116447"/>
          <w:rFonts w:ascii="PazoMath" w:hAnsi="PazoMath" w:eastAsia="PazoMath"/>
          <w:b w:val="0"/>
          <w:i w:val="0"/>
          <w:color w:val="000000"/>
          <w:sz w:val="29"/>
        </w:rPr>
        <w:t>∆</w:t>
      </w:r>
      <w:r>
        <w:rPr>
          <w:w w:val="98.93931027116447"/>
          <w:rFonts w:ascii="URWPalladioL" w:hAnsi="URWPalladioL" w:eastAsia="URWPalladioL"/>
          <w:b w:val="0"/>
          <w:i/>
          <w:color w:val="000000"/>
          <w:sz w:val="29"/>
        </w:rPr>
        <w:t>v</w:t>
      </w:r>
      <w:r>
        <w:rPr>
          <w:rFonts w:ascii="CMSY10" w:hAnsi="CMSY10" w:eastAsia="CMSY10"/>
          <w:b w:val="0"/>
          <w:i/>
          <w:color w:val="000000"/>
          <w:sz w:val="30"/>
        </w:rPr>
        <w:t>|</w:t>
      </w:r>
    </w:p>
    <w:p>
      <w:pPr>
        <w:autoSpaceDN w:val="0"/>
        <w:autoSpaceDE w:val="0"/>
        <w:widowControl/>
        <w:spacing w:line="282" w:lineRule="exact" w:before="212" w:after="0"/>
        <w:ind w:left="288" w:right="288" w:firstLine="0"/>
        <w:jc w:val="center"/>
      </w:pP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>The Q1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→</w:t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>Q4 contrast (</w:t>
      </w:r>
      <w:r>
        <w:rPr>
          <w:rFonts w:ascii="PazoMath" w:hAnsi="PazoMath" w:eastAsia="PazoMath"/>
          <w:b w:val="0"/>
          <w:i/>
          <w:color w:val="000000"/>
          <w:sz w:val="22"/>
        </w:rPr>
        <w:t>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 xml:space="preserve"> 0.721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→</w:t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>0.100) is best read as “MC Dropout works mechan-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ically on trivial segments and breaks on hard ones” rather than as “MC Dropout is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highly informative on easy regimes”: Q1 is dominated by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 segments where 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error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 and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 both reduce to functions of small output magnitudes, so the high Q1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 is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partly an artefact of shared dependence. The substantive Q4 degradation is real and has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three contributing mechanisms: (i)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dynamic range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– Q4 has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¯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 ≈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14 veh/h and MAE</w:t>
      </w:r>
    </w:p>
    <w:p>
      <w:pPr>
        <w:autoSpaceDN w:val="0"/>
        <w:autoSpaceDE w:val="0"/>
        <w:widowControl/>
        <w:spacing w:line="218" w:lineRule="exact" w:before="85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34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6. Discussion</w:t>
      </w:r>
    </w:p>
    <w:p>
      <w:pPr>
        <w:autoSpaceDN w:val="0"/>
        <w:tabs>
          <w:tab w:pos="1366" w:val="left"/>
        </w:tabs>
        <w:autoSpaceDE w:val="0"/>
        <w:widowControl/>
        <w:spacing w:line="284" w:lineRule="exact" w:before="648" w:after="44"/>
        <w:ind w:left="340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6.1.: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 Layered calibration hierarchy: each row adds one capability. Numbers from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Sections 5.2–5.5.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42"/>
        </w:trPr>
        <w:tc>
          <w:tcPr>
            <w:tcW w:type="dxa" w:w="2034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Layer</w:t>
            </w:r>
          </w:p>
        </w:tc>
        <w:tc>
          <w:tcPr>
            <w:tcW w:type="dxa" w:w="96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Ranking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ρ</w:t>
            </w:r>
          </w:p>
        </w:tc>
        <w:tc>
          <w:tcPr>
            <w:tcW w:type="dxa" w:w="56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ECE</w:t>
            </w:r>
          </w:p>
        </w:tc>
        <w:tc>
          <w:tcPr>
            <w:tcW w:type="dxa" w:w="7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cov.</w:t>
            </w:r>
          </w:p>
        </w:tc>
        <w:tc>
          <w:tcPr>
            <w:tcW w:type="dxa" w:w="160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90% marginal cov.</w:t>
            </w:r>
          </w:p>
        </w:tc>
        <w:tc>
          <w:tcPr>
            <w:tcW w:type="dxa" w:w="198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Conditional cov. range</w:t>
            </w:r>
          </w:p>
        </w:tc>
      </w:tr>
      <w:tr>
        <w:trPr>
          <w:trHeight w:hRule="exact" w:val="292"/>
        </w:trPr>
        <w:tc>
          <w:tcPr>
            <w:tcW w:type="dxa" w:w="2034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Raw MC Dropout</w:t>
            </w:r>
          </w:p>
        </w:tc>
        <w:tc>
          <w:tcPr>
            <w:tcW w:type="dxa" w:w="96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0.4820</w:t>
            </w:r>
          </w:p>
        </w:tc>
        <w:tc>
          <w:tcPr>
            <w:tcW w:type="dxa" w:w="56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0.356</w:t>
            </w:r>
          </w:p>
        </w:tc>
        <w:tc>
          <w:tcPr>
            <w:tcW w:type="dxa" w:w="7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32.7%</w:t>
            </w:r>
          </w:p>
        </w:tc>
        <w:tc>
          <w:tcPr>
            <w:tcW w:type="dxa" w:w="160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48.55%</w:t>
            </w:r>
          </w:p>
        </w:tc>
        <w:tc>
          <w:tcPr>
            <w:tcW w:type="dxa" w:w="19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rPr>
          <w:trHeight w:hRule="exact" w:val="200"/>
        </w:trPr>
        <w:tc>
          <w:tcPr>
            <w:tcW w:type="dxa" w:w="20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" w:after="0"/>
              <w:ind w:left="0" w:right="0" w:firstLine="0"/>
              <w:jc w:val="center"/>
            </w:pP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-scaling 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T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2.887)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0.4820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0.034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68.0%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rPr>
          <w:trHeight w:hRule="exact" w:val="42"/>
        </w:trPr>
        <w:tc>
          <w:tcPr>
            <w:tcW w:type="dxa" w:w="1504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0.4820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90.02%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59.0%, 98.1%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]</w:t>
            </w:r>
          </w:p>
        </w:tc>
      </w:tr>
      <w:tr>
        <w:trPr>
          <w:trHeight w:hRule="exact" w:val="198"/>
        </w:trPr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Standard conformal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2034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Adaptive conformal</w:t>
            </w:r>
          </w:p>
        </w:tc>
        <w:tc>
          <w:tcPr>
            <w:tcW w:type="dxa" w:w="96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0.4820</w:t>
            </w:r>
          </w:p>
        </w:tc>
        <w:tc>
          <w:tcPr>
            <w:tcW w:type="dxa" w:w="56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72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0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89.87%</w:t>
            </w:r>
          </w:p>
        </w:tc>
        <w:tc>
          <w:tcPr>
            <w:tcW w:type="dxa" w:w="198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83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.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7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%,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 xml:space="preserve"> 96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.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4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%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Each row reports the metric native to that calibration layer.</w:t>
      </w:r>
      <w:r>
        <w:rPr>
          <w:rFonts w:ascii="PazoMath" w:hAnsi="PazoMath" w:eastAsia="PazoMath"/>
          <w:b w:val="0"/>
          <w:i/>
          <w:color w:val="000000"/>
          <w:sz w:val="18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-scaling targets the 1</w:t>
      </w:r>
      <w:r>
        <w:rPr>
          <w:rFonts w:ascii="PazoMath" w:hAnsi="PazoMath" w:eastAsia="PazoMath"/>
          <w:b w:val="0"/>
          <w:i/>
          <w:color w:val="000000"/>
          <w:sz w:val="18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Gaussian probability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and leaves the conformal residual quantile untouched; conformal prediction targets the marginal 90%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interval and does not change the underlying</w:t>
      </w:r>
      <w:r>
        <w:rPr>
          <w:rFonts w:ascii="PazoMath" w:hAnsi="PazoMath" w:eastAsia="PazoMath"/>
          <w:b w:val="0"/>
          <w:i/>
          <w:color w:val="000000"/>
          <w:sz w:val="18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84" w:lineRule="exact" w:before="380" w:after="0"/>
        <w:ind w:left="346" w:right="338" w:hanging="12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10.08 vs Q1’s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¯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y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 ≈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0 and MAE 1.24, so absolute error spans a much wider range than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absolute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 Spearman noise dominates; (ii)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near-capacity saturation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– many Q4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segments sit near the knee of the flow–density curve where small policy changes trigger 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 xml:space="preserve">non-linear equilibrium shifts that MC Dropout variance does not capture (informed by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traffic-equilibrium domain knowledge, not measured directly here); (iii)</w:t>
      </w:r>
      <w:r>
        <w:rPr>
          <w:w w:val="98.1768868186257"/>
          <w:rFonts w:ascii="URWPalladioL" w:hAnsi="URWPalladioL" w:eastAsia="URWPalladioL"/>
          <w:b/>
          <w:i w:val="0"/>
          <w:color w:val="000000"/>
          <w:sz w:val="22"/>
        </w:rPr>
        <w:t xml:space="preserve"> sparse training </w:t>
      </w:r>
      <w:r>
        <w:rPr>
          <w:w w:val="98.1768868186257"/>
          <w:rFonts w:ascii="URWPalladioL" w:hAnsi="URWPalladioL" w:eastAsia="URWPalladioL"/>
          <w:b/>
          <w:i w:val="0"/>
          <w:color w:val="000000"/>
          <w:sz w:val="22"/>
        </w:rPr>
        <w:t>coverage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– large-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segments are rare in the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000-scenario subset. Mitigations include </w:t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 xml:space="preserve">heteroscedastic heads (T9 captures aleatoric uncertainty, dominant here), explicit OOD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detectors, and feature-conditional conformal methods.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6.4. The Exchangeability Assumption</w:t>
      </w:r>
    </w:p>
    <w:p>
      <w:pPr>
        <w:autoSpaceDN w:val="0"/>
        <w:autoSpaceDE w:val="0"/>
        <w:widowControl/>
        <w:spacing w:line="284" w:lineRule="exact" w:before="220" w:after="0"/>
        <w:ind w:left="336" w:right="308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Every conformal statement in this thesis rests on exchangeability, which is not strictly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satisfied at the node level: nodes within a single graph share the same policy input 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 xml:space="preserve">and sit in a spatially correlated road network. The calibration and evaluation splits are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therefore at the</w:t>
      </w:r>
      <w:r>
        <w:rPr>
          <w:w w:val="98.1768868186257"/>
          <w:rFonts w:ascii="URWPalladioL" w:hAnsi="URWPalladioL" w:eastAsia="URWPalladioL"/>
          <w:b w:val="0"/>
          <w:i/>
          <w:color w:val="000000"/>
          <w:sz w:val="22"/>
        </w:rPr>
        <w:t xml:space="preserve"> scenario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level (50 calibration / 50 evaluation graphs, randomly assigned 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 xml:space="preserve">with seed 42). Exchangeability is enforced by splitting scenarios, and is more plausible </w:t>
      </w:r>
      <w:r>
        <w:rPr>
          <w:w w:val="98.27701395208184"/>
          <w:rFonts w:ascii="URWPalladioL" w:hAnsi="URWPalladioL" w:eastAsia="URWPalladioL"/>
          <w:b w:val="0"/>
          <w:i w:val="0"/>
          <w:color w:val="000000"/>
          <w:sz w:val="22"/>
        </w:rPr>
        <w:t xml:space="preserve">at the scenario level than at the node level; node-level dependence remains within each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graph and is not removed by the scenario split. The coverage guarantee should therefore </w:t>
      </w:r>
      <w:r>
        <w:rPr>
          <w:w w:val="98.92539111050692"/>
          <w:rFonts w:ascii="URWPalladioL" w:hAnsi="URWPalladioL" w:eastAsia="URWPalladioL"/>
          <w:b w:val="0"/>
          <w:i w:val="0"/>
          <w:color w:val="000000"/>
          <w:sz w:val="22"/>
        </w:rPr>
        <w:t xml:space="preserve">be read as a marginal-over-scenarios statement: averaged across scenarios (and within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 scenario, across nodes), at least 90% or 95% of residuals fall inside the conformal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interval, as the observed 90.02% and 95.01% confirm. Within a single scenario, coverage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can deviate; the per-graph standard-conformal coverage range is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80.5%, 93.7%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at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90% target. A natural extension is graph-level nonconformity scoring (aggregating </w:t>
      </w:r>
      <w:r>
        <w:rPr>
          <w:w w:val="98.57678846879439"/>
          <w:rFonts w:ascii="URWPalladioL" w:hAnsi="URWPalladioL" w:eastAsia="URWPalladioL"/>
          <w:b w:val="0"/>
          <w:i w:val="0"/>
          <w:color w:val="000000"/>
          <w:sz w:val="22"/>
        </w:rPr>
        <w:t xml:space="preserve">residuals to a per-graph score before computing the conformal quantile), which would </w:t>
      </w:r>
      <w:r>
        <w:rPr>
          <w:w w:val="98.37704571810636"/>
          <w:rFonts w:ascii="URWPalladioL" w:hAnsi="URWPalladioL" w:eastAsia="URWPalladioL"/>
          <w:b w:val="0"/>
          <w:i w:val="0"/>
          <w:color w:val="000000"/>
          <w:sz w:val="22"/>
        </w:rPr>
        <w:t>restore strict exchangeability at the node-aggregate level at the cost of coarser intervals.</w:t>
      </w:r>
    </w:p>
    <w:p>
      <w:pPr>
        <w:autoSpaceDN w:val="0"/>
        <w:autoSpaceDE w:val="0"/>
        <w:widowControl/>
        <w:spacing w:line="218" w:lineRule="exact" w:before="133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35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6. Discussion</w:t>
      </w:r>
    </w:p>
    <w:p>
      <w:pPr>
        <w:autoSpaceDN w:val="0"/>
        <w:autoSpaceDE w:val="0"/>
        <w:widowControl/>
        <w:spacing w:line="286" w:lineRule="exact" w:before="482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6.5. The PIT Diagnostic and CRPS/MAE Ratio</w:t>
      </w:r>
    </w:p>
    <w:p>
      <w:pPr>
        <w:autoSpaceDN w:val="0"/>
        <w:autoSpaceDE w:val="0"/>
        <w:widowControl/>
        <w:spacing w:line="290" w:lineRule="exact" w:before="214" w:after="24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PIT mean 0.433 (ideal 0.500) and first-bin mass 28.4% indicate asymmetric underdis-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persion with an upward bias in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-scaling reduces the PIT KS from 0.245 to 0.104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but cannot shift the predictive centre, so conformal prediction handles the residual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tails because its intervals expand around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regardless of where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ˆ</w:t>
      </w:r>
      <w:r>
        <w:rPr>
          <w:rFonts w:ascii="PazoMath" w:hAnsi="PazoMath" w:eastAsia="PazoMath"/>
          <w:b w:val="0"/>
          <w:i/>
          <w:color w:val="000000"/>
          <w:sz w:val="22"/>
        </w:rPr>
        <w:t>µ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sits; CQR (Trial 11)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026"/>
      </w:tblGrid>
      <w:tr>
        <w:trPr>
          <w:trHeight w:hRule="exact" w:val="546"/>
        </w:trPr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w w:val="98.72634194113992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supports asymmetric intervals when the residual distribution itself is asymmetric. The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√</w:t>
            </w:r>
          </w:p>
          <w:p>
            <w:pPr>
              <w:autoSpaceDN w:val="0"/>
              <w:tabs>
                <w:tab w:pos="7326" w:val="left"/>
              </w:tabs>
              <w:autoSpaceDE w:val="0"/>
              <w:widowControl/>
              <w:spacing w:line="218" w:lineRule="exact" w:before="0" w:after="0"/>
              <w:ind w:left="18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CRPS/MAE ratio of 0.857 exceeds the Gaussian-calibrated optimum 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/ </w:t>
            </w:r>
            <w:r>
              <w:tab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2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≈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0.707 by</w:t>
            </w:r>
          </w:p>
        </w:tc>
      </w:tr>
    </w:tbl>
    <w:p>
      <w:pPr>
        <w:autoSpaceDN w:val="0"/>
        <w:autoSpaceDE w:val="0"/>
        <w:widowControl/>
        <w:spacing w:line="260" w:lineRule="exact" w:before="22" w:after="0"/>
        <w:ind w:left="348" w:right="0" w:firstLine="0"/>
        <w:jc w:val="left"/>
      </w:pP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≈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21%, quantifying the calibration cost of underdispersed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86" w:lineRule="exact" w:before="448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6.6. Answers to the Research Questions</w:t>
      </w:r>
    </w:p>
    <w:p>
      <w:pPr>
        <w:autoSpaceDN w:val="0"/>
        <w:autoSpaceDE w:val="0"/>
        <w:widowControl/>
        <w:spacing w:line="286" w:lineRule="exact" w:before="216" w:after="0"/>
        <w:ind w:left="346" w:right="288" w:firstLine="0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Each answer below is structured the same way: a direct answer, the supporting evidence,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and the main limitation.</w:t>
      </w:r>
    </w:p>
    <w:p>
      <w:pPr>
        <w:autoSpaceDN w:val="0"/>
        <w:autoSpaceDE w:val="0"/>
        <w:widowControl/>
        <w:spacing w:line="284" w:lineRule="exact" w:before="2" w:after="0"/>
        <w:ind w:left="346" w:right="288" w:firstLine="218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>RQ1. How effectively does MC Dropout capture epistemic uncertainty?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MC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Dropout works as a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ranking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signal on Trial 8 but is not a calibrated probability model.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Evidence: pooled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0.4820 between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and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error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; mean per-graph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0.464 with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bootstrap 95% CI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0.460, 0.469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; AUROC for top-10% error detection 0.7548; retaining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50% most confident predictions reduces MAE by 41.2%. Limitation: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11.66 vs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Gaussian 1.96, so raw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is not a calibrated standard deviation without an additional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scaling or conformal step (RQ4).</w:t>
      </w:r>
    </w:p>
    <w:p>
      <w:pPr>
        <w:autoSpaceDN w:val="0"/>
        <w:autoSpaceDE w:val="0"/>
        <w:widowControl/>
        <w:spacing w:line="284" w:lineRule="exact" w:before="0" w:after="0"/>
        <w:ind w:left="336" w:right="288" w:firstLine="228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>RQ2. How does MC Dropout compare with ensemble-based UQ?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Deep Ensemble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wins on point accuracy, MC Dropout on uncertainty ranking. Evidence: Deep Ensemble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0.6841 at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0.3997,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15.18; MC Dropout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0.4820,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11.66. Limitation: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only one architecture family tested; architecturally diverse ensembles could change this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trade-off and were not evaluated.</w:t>
      </w:r>
    </w:p>
    <w:p>
      <w:pPr>
        <w:autoSpaceDN w:val="0"/>
        <w:autoSpaceDE w:val="0"/>
        <w:widowControl/>
        <w:spacing w:line="284" w:lineRule="exact" w:before="0" w:after="0"/>
        <w:ind w:left="346" w:right="288" w:firstLine="218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RQ3. Does combining MC Dropout with seed-ensemble variance add benefit?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Essentially no: quadrature gives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0.4909 vs 0.4908 for MC Dropout alone, within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sampling noise. The useful signal in seed-ensemble variance is already captured by MC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Dropout itself. Limitation: null result is specific to single-architecture ensembling; cross-</w:t>
      </w:r>
      <w:r>
        <w:rPr>
          <w:w w:val="98.57678846879439"/>
          <w:rFonts w:ascii="URWPalladioL" w:hAnsi="URWPalladioL" w:eastAsia="URWPalladioL"/>
          <w:b w:val="0"/>
          <w:i w:val="0"/>
          <w:color w:val="000000"/>
          <w:sz w:val="22"/>
        </w:rPr>
        <w:t xml:space="preserve">family ensembles (GAT + GraphSAGE + GCN) might yield independent disagreement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signals.</w:t>
      </w:r>
    </w:p>
    <w:p>
      <w:pPr>
        <w:autoSpaceDN w:val="0"/>
        <w:autoSpaceDE w:val="0"/>
        <w:widowControl/>
        <w:spacing w:line="284" w:lineRule="exact" w:before="0" w:after="0"/>
        <w:ind w:left="346" w:right="288" w:firstLine="218"/>
        <w:jc w:val="left"/>
      </w:pPr>
      <w:r>
        <w:rPr>
          <w:w w:val="98.77614107998934"/>
          <w:rFonts w:ascii="URWPalladioL" w:hAnsi="URWPalladioL" w:eastAsia="URWPalladioL"/>
          <w:b/>
          <w:i w:val="0"/>
          <w:color w:val="000000"/>
          <w:sz w:val="22"/>
        </w:rPr>
        <w:t>RQ4. Can distribution-free methods deliver trustworthy intervals without retrain-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>ing?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Yes, in an empirical marginal sense: the layered framework (MC Dropout +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-scaling + adaptive conformal) requires no backbone retraining. Evidence: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90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90.02%,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PICP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95.01% on T8;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-scaling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2.887 reduces ECE by 90.5% and 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>hits Gaussian 1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 xml:space="preserve"> within 0.3 pp; adaptive conformal narrows conditional coverage from 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[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59.0%, 98.1%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to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83.7%, 96.4%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; Winkler scores 49.68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35.78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→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32.32. Limitation:</w:t>
      </w:r>
    </w:p>
    <w:p>
      <w:pPr>
        <w:autoSpaceDN w:val="0"/>
        <w:autoSpaceDE w:val="0"/>
        <w:widowControl/>
        <w:spacing w:line="218" w:lineRule="exact" w:before="97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36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6. Discussion</w:t>
      </w:r>
    </w:p>
    <w:p>
      <w:pPr>
        <w:autoSpaceDN w:val="0"/>
        <w:autoSpaceDE w:val="0"/>
        <w:widowControl/>
        <w:spacing w:line="218" w:lineRule="exact" w:before="53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marginal coverage is averaged over scenarios; the formal exchangeability guarantee is</w:t>
      </w:r>
    </w:p>
    <w:p>
      <w:pPr>
        <w:autoSpaceDN w:val="0"/>
        <w:autoSpaceDE w:val="0"/>
        <w:widowControl/>
        <w:spacing w:line="216" w:lineRule="exact" w:before="68" w:after="0"/>
        <w:ind w:left="0" w:right="0" w:firstLine="0"/>
        <w:jc w:val="center"/>
      </w:pP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>only approximated within a single graph (Section 6.4), so strong UQ metrics do not by</w:t>
      </w:r>
    </w:p>
    <w:p>
      <w:pPr>
        <w:autoSpaceDN w:val="0"/>
        <w:autoSpaceDE w:val="0"/>
        <w:widowControl/>
        <w:spacing w:line="218" w:lineRule="exact" w:before="66" w:after="0"/>
        <w:ind w:left="34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themselves imply policy-level reliability for any individual scenario.</w:t>
      </w:r>
    </w:p>
    <w:p>
      <w:pPr>
        <w:autoSpaceDN w:val="0"/>
        <w:autoSpaceDE w:val="0"/>
        <w:widowControl/>
        <w:spacing w:line="216" w:lineRule="exact" w:before="66" w:after="0"/>
        <w:ind w:left="564" w:right="0" w:firstLine="0"/>
        <w:jc w:val="left"/>
      </w:pPr>
      <w:r>
        <w:rPr>
          <w:w w:val="98.1768868186257"/>
          <w:rFonts w:ascii="URWPalladioL" w:hAnsi="URWPalladioL" w:eastAsia="URWPalladioL"/>
          <w:b/>
          <w:i w:val="0"/>
          <w:color w:val="000000"/>
          <w:sz w:val="22"/>
        </w:rPr>
        <w:t>RQ5. Can uncertainty-aware training extensions improve native UQ while preserv-</w:t>
      </w:r>
    </w:p>
    <w:p>
      <w:pPr>
        <w:autoSpaceDN w:val="0"/>
        <w:autoSpaceDE w:val="0"/>
        <w:widowControl/>
        <w:spacing w:line="284" w:lineRule="exact" w:before="4" w:after="0"/>
        <w:ind w:left="288" w:right="288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22"/>
        </w:rPr>
        <w:t>ing accuracy?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Yes, but only when the MSE-trained backbone is kept frozen. Evidence: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T9 (heteroscedastic, frozen) reaches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2.84 but misses the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gate at 0.4991; T10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(CQR, full backbone unfrozen, learning rate 5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×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10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) collapses to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0.4057 and</w:t>
      </w:r>
    </w:p>
    <w:p>
      <w:pPr>
        <w:autoSpaceDN w:val="0"/>
        <w:autoSpaceDE w:val="0"/>
        <w:widowControl/>
        <w:spacing w:line="284" w:lineRule="exact" w:before="0" w:after="0"/>
        <w:ind w:left="288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fails three of six gates; T11 (same CQR head, frozen, identical learning rate) passes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all six gates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0.5835. The T10/T11 contrast isolates a single design knob –</w:t>
      </w:r>
    </w:p>
    <w:p>
      <w:pPr>
        <w:autoSpaceDN w:val="0"/>
        <w:autoSpaceDE w:val="0"/>
        <w:widowControl/>
        <w:spacing w:line="216" w:lineRule="exact" w:before="68" w:after="0"/>
        <w:ind w:left="0" w:right="0" w:firstLine="0"/>
        <w:jc w:val="center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backbone trainability – and is the strongest empirical evidence for the freezing observa-</w:t>
      </w:r>
    </w:p>
    <w:p>
      <w:pPr>
        <w:autoSpaceDN w:val="0"/>
        <w:autoSpaceDE w:val="0"/>
        <w:widowControl/>
        <w:spacing w:line="220" w:lineRule="exact" w:before="6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tion. Limitation: reported here as an observation specific to PointNetTransfGAT, the</w:t>
      </w:r>
    </w:p>
    <w:p>
      <w:pPr>
        <w:autoSpaceDN w:val="0"/>
        <w:autoSpaceDE w:val="0"/>
        <w:widowControl/>
        <w:spacing w:line="218" w:lineRule="exact" w:before="66" w:after="0"/>
        <w:ind w:left="33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1,000-scenario subset and the loss/head pairings tested, not as a universal principle.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6.7. Primary Findings</w:t>
      </w:r>
    </w:p>
    <w:p>
      <w:pPr>
        <w:autoSpaceDN w:val="0"/>
        <w:autoSpaceDE w:val="0"/>
        <w:widowControl/>
        <w:spacing w:line="284" w:lineRule="exact" w:before="236" w:after="0"/>
        <w:ind w:left="892" w:right="288" w:hanging="27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1.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MC Dropout works as a ranking signal at modest cost.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For T8,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0.4820 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>between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 xml:space="preserve"> and absolute error, with AUROC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 xml:space="preserve"> 0.7548 for top-10% error detection.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Across all 100 test scenarios no graph drops below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0.41.</w:t>
      </w:r>
    </w:p>
    <w:p>
      <w:pPr>
        <w:autoSpaceDN w:val="0"/>
        <w:autoSpaceDE w:val="0"/>
        <w:widowControl/>
        <w:spacing w:line="284" w:lineRule="exact" w:before="162" w:after="0"/>
        <w:ind w:left="892" w:right="346" w:hanging="27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2.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The calibration cascade closes the gap to near-nominal empirical marginal 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>coverage.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Raw MC Dropout requires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11.66 for 95% coverage; regression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-scaling at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2.887 brings this to 4.04 and reduces ECE by 90.5% (from 0.356 to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0.034). Adaptive conformal then narrows conditional coverage from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59.0%, 98.1%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]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to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[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83.7%, 96.4%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across uncertainty deciles.</w:t>
      </w:r>
    </w:p>
    <w:p>
      <w:pPr>
        <w:autoSpaceDN w:val="0"/>
        <w:autoSpaceDE w:val="0"/>
        <w:widowControl/>
        <w:spacing w:line="222" w:lineRule="exact" w:before="242" w:after="0"/>
        <w:ind w:left="61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In these experiments, freezing the MSE-trained backbone is the strongest</w:t>
      </w:r>
    </w:p>
    <w:p>
      <w:pPr>
        <w:autoSpaceDN w:val="0"/>
        <w:autoSpaceDE w:val="0"/>
        <w:widowControl/>
        <w:spacing w:line="222" w:lineRule="exact" w:before="62" w:after="0"/>
        <w:ind w:left="892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2"/>
        </w:rPr>
        <w:t>observed design choice when adding an uncertainty-aware head.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T9 (frozen,</w:t>
      </w:r>
    </w:p>
    <w:p>
      <w:pPr>
        <w:autoSpaceDN w:val="0"/>
        <w:autoSpaceDE w:val="0"/>
        <w:widowControl/>
        <w:spacing w:line="284" w:lineRule="exact" w:before="0" w:after="0"/>
        <w:ind w:left="892" w:right="346" w:firstLine="0"/>
        <w:jc w:val="both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heteroscedastic head) is a partial positive; T10 (CQR, unfrozen backbone, learning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rate 5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×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10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from T8) collapses to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0.4057; T11 (same CQR head, identical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learning rate, backbone frozen) clears all six gates with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0.5835. Since T10</w:t>
      </w:r>
    </w:p>
    <w:p>
      <w:pPr>
        <w:autoSpaceDN w:val="0"/>
        <w:autoSpaceDE w:val="0"/>
        <w:widowControl/>
        <w:spacing w:line="216" w:lineRule="exact" w:before="68" w:after="0"/>
        <w:ind w:left="892" w:right="0" w:firstLine="0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and T11 share head, loss, data, calibration protocol and learning rate, the contrast</w:t>
      </w:r>
    </w:p>
    <w:p>
      <w:pPr>
        <w:autoSpaceDN w:val="0"/>
        <w:autoSpaceDE w:val="0"/>
        <w:widowControl/>
        <w:spacing w:line="222" w:lineRule="exact" w:before="64" w:after="0"/>
        <w:ind w:left="89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isolates a single design knob – the backbone-trainability flag. This is reported</w:t>
      </w:r>
    </w:p>
    <w:p>
      <w:pPr>
        <w:autoSpaceDN w:val="0"/>
        <w:autoSpaceDE w:val="0"/>
        <w:widowControl/>
        <w:spacing w:line="220" w:lineRule="exact" w:before="64" w:after="0"/>
        <w:ind w:left="89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as an observation that holds for the architecture, the data subset, and the loss</w:t>
      </w:r>
    </w:p>
    <w:p>
      <w:pPr>
        <w:autoSpaceDN w:val="0"/>
        <w:autoSpaceDE w:val="0"/>
        <w:widowControl/>
        <w:spacing w:line="220" w:lineRule="exact" w:before="64" w:after="0"/>
        <w:ind w:left="89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and head pairings tested in this thesis, and not as a general principle for all</w:t>
      </w:r>
    </w:p>
    <w:p>
      <w:pPr>
        <w:autoSpaceDN w:val="0"/>
        <w:autoSpaceDE w:val="0"/>
        <w:widowControl/>
        <w:spacing w:line="218" w:lineRule="exact" w:before="66" w:after="0"/>
        <w:ind w:left="89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MSE-trained surrogates.</w:t>
      </w:r>
    </w:p>
    <w:p>
      <w:pPr>
        <w:autoSpaceDN w:val="0"/>
        <w:autoSpaceDE w:val="0"/>
        <w:widowControl/>
        <w:spacing w:line="222" w:lineRule="exact" w:before="242" w:after="0"/>
        <w:ind w:left="61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Deep ensembling and MC Dropout are complementary, not competing.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The</w:t>
      </w:r>
    </w:p>
    <w:p>
      <w:pPr>
        <w:autoSpaceDN w:val="0"/>
        <w:autoSpaceDE w:val="0"/>
        <w:widowControl/>
        <w:spacing w:line="282" w:lineRule="exact" w:before="4" w:after="0"/>
        <w:ind w:left="864" w:right="288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five-member Deep Ensemble achieves the project’s highest GNN-based, UQ-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capable point accuracy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0.6841,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+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14.8% over T8) but its weakest UQ ranking</w:t>
      </w:r>
    </w:p>
    <w:p>
      <w:pPr>
        <w:autoSpaceDN w:val="0"/>
        <w:autoSpaceDE w:val="0"/>
        <w:widowControl/>
        <w:spacing w:line="218" w:lineRule="exact" w:before="958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37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6. Discussion</w:t>
      </w:r>
    </w:p>
    <w:p>
      <w:pPr>
        <w:autoSpaceDN w:val="0"/>
        <w:autoSpaceDE w:val="0"/>
        <w:widowControl/>
        <w:spacing w:line="266" w:lineRule="exact" w:before="504" w:after="0"/>
        <w:ind w:left="892" w:right="288" w:hanging="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(</w:t>
      </w:r>
      <w:r>
        <w:rPr>
          <w:rFonts w:ascii="PazoMath" w:hAnsi="PazoMath" w:eastAsia="PazoMath"/>
          <w:b w:val="0"/>
          <w:i/>
          <w:color w:val="000000"/>
          <w:sz w:val="22"/>
        </w:rPr>
        <w:t>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0.3997). MC Dropout sits on the opposite corner of the trade-off. Pairing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both at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≈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5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×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training compute gives the best of both.</w:t>
      </w:r>
    </w:p>
    <w:p>
      <w:pPr>
        <w:autoSpaceDN w:val="0"/>
        <w:autoSpaceDE w:val="0"/>
        <w:widowControl/>
        <w:spacing w:line="284" w:lineRule="exact" w:before="180" w:after="0"/>
        <w:ind w:left="894" w:right="288" w:hanging="276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5.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Stratified UQ has two regimes that should not be conflated.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On the smallest-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quartile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0.721, but Q1 is dominated by segments with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 (no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policy effect at all), so the high correlation is partly a mechanical artefact. 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largest-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quartile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0.100, a real breakdown driven by dynamic range, 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>saturation effects, and sparse training-data coverage in the high-response regime.</w:t>
      </w:r>
    </w:p>
    <w:p>
      <w:pPr>
        <w:autoSpaceDN w:val="0"/>
        <w:autoSpaceDE w:val="0"/>
        <w:widowControl/>
        <w:spacing w:line="218" w:lineRule="exact" w:before="6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Uncertainty-guided filtering works best where the model is already good.</w:t>
      </w:r>
    </w:p>
    <w:p>
      <w:pPr>
        <w:autoSpaceDN w:val="0"/>
        <w:autoSpaceDE w:val="0"/>
        <w:widowControl/>
        <w:spacing w:line="286" w:lineRule="exact" w:before="466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6.8. What the Existing Trials Do and Do Not Prove</w:t>
      </w:r>
    </w:p>
    <w:p>
      <w:pPr>
        <w:autoSpaceDN w:val="0"/>
        <w:autoSpaceDE w:val="0"/>
        <w:widowControl/>
        <w:spacing w:line="284" w:lineRule="exact" w:before="216" w:after="0"/>
        <w:ind w:left="346" w:right="338" w:hanging="6"/>
        <w:jc w:val="both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The thesis runs many trials, but only a subset of design questions is directly answered by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them; for the others, confounders remain. Table 6.2 summarises the main questions, the </w:t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 xml:space="preserve">empirical answer reached here, the trial that supplies the evidence, and the confounds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that remain. This is intended as a check on over-interpretation rather than a new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experiment.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6.9. Limitations and Future Directions</w:t>
      </w:r>
    </w:p>
    <w:p>
      <w:pPr>
        <w:autoSpaceDN w:val="0"/>
        <w:autoSpaceDE w:val="0"/>
        <w:widowControl/>
        <w:spacing w:line="284" w:lineRule="exact" w:before="218" w:after="0"/>
        <w:ind w:left="892" w:right="288" w:hanging="242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•</w:t>
      </w:r>
      <w:r>
        <w:rPr>
          <w:w w:val="98.1768868186257"/>
          <w:rFonts w:ascii="URWPalladioL" w:hAnsi="URWPalladioL" w:eastAsia="URWPalladioL"/>
          <w:b/>
          <w:i w:val="0"/>
          <w:color w:val="000000"/>
          <w:sz w:val="22"/>
        </w:rPr>
        <w:t xml:space="preserve"> Data scale.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000 of 10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000 scenarios, reused across all eleven trials so that method-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to-method comparisons sit on identical data. The resulting 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500 node-level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test predictions give per-graph Spearman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standard deviation 0.023 (bootstrap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95% CI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±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0.005 on the mean), which is the relevant precision for the relative UQ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rankings that are this thesis’s contribution. The absolute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>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0.5957 on T8 is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below the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846087248429"/>
          <w:rFonts w:ascii="CMMI10" w:hAnsi="CMMI10" w:eastAsia="CMMI10"/>
          <w:b w:val="0"/>
          <w:i/>
          <w:color w:val="000000"/>
          <w:sz w:val="23"/>
        </w:rPr>
        <w:t>&gt;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0.9 reported by Natterer, Rao, Tejada Lapuerta, et al. [4] at full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scale; replicating the UQ comparisons at full scale is the most direct piece of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future work.</w:t>
      </w:r>
    </w:p>
    <w:p>
      <w:pPr>
        <w:autoSpaceDN w:val="0"/>
        <w:autoSpaceDE w:val="0"/>
        <w:widowControl/>
        <w:spacing w:line="284" w:lineRule="exact" w:before="180" w:after="0"/>
        <w:ind w:left="892" w:right="346" w:hanging="242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•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T1 vs T8 confounds.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Final layer (Linear vs GATConv), batch size (32 vs 8)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learning rate (10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vs 5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 xml:space="preserve"> ×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10</w:t>
      </w:r>
      <w:r>
        <w:rPr>
          <w:w w:val="97.70470787497128"/>
          <w:rFonts w:ascii="CMSY10" w:hAnsi="CMSY10" w:eastAsia="CMSY10"/>
          <w:b w:val="0"/>
          <w:i/>
          <w:color w:val="000000"/>
          <w:sz w:val="17"/>
        </w:rPr>
        <w:t>−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) all differ. T1 has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use_dropout=False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so MC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Dropout is undefined; T8 is the strongest UQ-compatible base (Table 5.2).</w:t>
      </w:r>
    </w:p>
    <w:p>
      <w:pPr>
        <w:autoSpaceDN w:val="0"/>
        <w:tabs>
          <w:tab w:pos="892" w:val="left"/>
        </w:tabs>
        <w:autoSpaceDE w:val="0"/>
        <w:widowControl/>
        <w:spacing w:line="284" w:lineRule="exact" w:before="182" w:after="0"/>
        <w:ind w:left="650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•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Single network, single policy type.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Paris + capacity-reduction only; generalisa-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tion to other cities and policy types is untested.</w:t>
      </w:r>
    </w:p>
    <w:p>
      <w:pPr>
        <w:autoSpaceDN w:val="0"/>
        <w:tabs>
          <w:tab w:pos="892" w:val="left"/>
        </w:tabs>
        <w:autoSpaceDE w:val="0"/>
        <w:widowControl/>
        <w:spacing w:line="284" w:lineRule="exact" w:before="180" w:after="0"/>
        <w:ind w:left="650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•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Non-GNN baseline scope.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RF, XGBoost and MLP reported (Section 5.11); tree-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native UQ extensions (quantile regression forests, NGBoost) not evaluated.</w:t>
      </w:r>
    </w:p>
    <w:p>
      <w:pPr>
        <w:autoSpaceDN w:val="0"/>
        <w:autoSpaceDE w:val="0"/>
        <w:widowControl/>
        <w:spacing w:line="218" w:lineRule="exact" w:before="123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38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6. Discussion</w:t>
      </w:r>
    </w:p>
    <w:p>
      <w:pPr>
        <w:autoSpaceDN w:val="0"/>
        <w:autoSpaceDE w:val="0"/>
        <w:widowControl/>
        <w:spacing w:line="284" w:lineRule="exact" w:before="1254" w:after="44"/>
        <w:ind w:left="1366" w:right="346" w:hanging="1026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6.2.:</w:t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 xml:space="preserve"> Summary of which design questions are answered by the existing trials, the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answer in the present setting, and the remaining confounders that should be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controlled in any follow-up.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8.0000000000001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78"/>
        </w:trPr>
        <w:tc>
          <w:tcPr>
            <w:tcW w:type="dxa" w:w="222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Design question</w:t>
            </w:r>
          </w:p>
        </w:tc>
        <w:tc>
          <w:tcPr>
            <w:tcW w:type="dxa" w:w="11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68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Answer</w:t>
            </w:r>
          </w:p>
        </w:tc>
        <w:tc>
          <w:tcPr>
            <w:tcW w:type="dxa" w:w="2700"/>
            <w:gridSpan w:val="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240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2268"/>
            <w:gridSpan w:val="5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82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Remaining confounders</w:t>
            </w:r>
          </w:p>
        </w:tc>
      </w:tr>
      <w:tr>
        <w:trPr>
          <w:trHeight w:hRule="exact" w:val="304"/>
        </w:trPr>
        <w:tc>
          <w:tcPr>
            <w:tcW w:type="dxa" w:w="222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Does dropout hurt point</w:t>
            </w:r>
          </w:p>
        </w:tc>
        <w:tc>
          <w:tcPr>
            <w:tcW w:type="dxa" w:w="1120"/>
            <w:vMerge w:val="restart"/>
            <w:tcBorders>
              <w:top w:sz="4.335999965667725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6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No (small)</w:t>
            </w:r>
          </w:p>
        </w:tc>
        <w:tc>
          <w:tcPr>
            <w:tcW w:type="dxa" w:w="2700"/>
            <w:gridSpan w:val="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0" w:after="0"/>
              <w:ind w:left="2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T1 (no dropout,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 xml:space="preserve"> 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0.786)</w:t>
            </w:r>
          </w:p>
        </w:tc>
        <w:tc>
          <w:tcPr>
            <w:tcW w:type="dxa" w:w="2268"/>
            <w:gridSpan w:val="5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Final-layer, batch size, and</w:t>
            </w:r>
          </w:p>
        </w:tc>
      </w:tr>
      <w:tr>
        <w:trPr>
          <w:trHeight w:hRule="exact" w:val="240"/>
        </w:trPr>
        <w:tc>
          <w:tcPr>
            <w:tcW w:type="dxa" w:w="2222"/>
            <w:vMerge w:val="restart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accuracy here?</w:t>
            </w:r>
          </w:p>
        </w:tc>
        <w:tc>
          <w:tcPr>
            <w:tcW w:type="dxa" w:w="1003"/>
            <w:vMerge/>
            <w:tcBorders>
              <w:top w:sz="4.335999965667725" w:val="single" w:color="#000000"/>
              <w:bottom w:sz="4.335999965667725" w:val="single" w:color="#000000"/>
            </w:tcBorders>
          </w:tcPr>
          <w:p/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2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vs T2–T8 (with dropout,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 xml:space="preserve"> 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learning rate all differ be-</w:t>
            </w:r>
          </w:p>
        </w:tc>
      </w:tr>
      <w:tr>
        <w:trPr>
          <w:trHeight w:hRule="exact" w:val="240"/>
        </w:trPr>
        <w:tc>
          <w:tcPr>
            <w:tcW w:type="dxa" w:w="1003"/>
            <w:vMerge/>
            <w:tcBorders>
              <w:bottom w:sz="4.335999965667725" w:val="single" w:color="#000000"/>
            </w:tcBorders>
          </w:tcPr>
          <w:p/>
        </w:tc>
        <w:tc>
          <w:tcPr>
            <w:tcW w:type="dxa" w:w="1003"/>
            <w:vMerge/>
            <w:tcBorders>
              <w:top w:sz="4.335999965667725" w:val="single" w:color="#000000"/>
              <w:bottom w:sz="4.335999965667725" w:val="single" w:color="#000000"/>
            </w:tcBorders>
          </w:tcPr>
          <w:p/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2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in 0.51–0.60); gap also reflects</w:t>
            </w:r>
          </w:p>
        </w:tc>
        <w:tc>
          <w:tcPr>
            <w:tcW w:type="dxa" w:w="22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tween T1 and the dropout</w:t>
            </w:r>
          </w:p>
        </w:tc>
      </w:tr>
      <w:tr>
        <w:trPr>
          <w:trHeight w:hRule="exact" w:val="280"/>
        </w:trPr>
        <w:tc>
          <w:tcPr>
            <w:tcW w:type="dxa" w:w="1003"/>
            <w:vMerge/>
            <w:tcBorders>
              <w:bottom w:sz="4.335999965667725" w:val="single" w:color="#000000"/>
            </w:tcBorders>
          </w:tcPr>
          <w:p/>
        </w:tc>
        <w:tc>
          <w:tcPr>
            <w:tcW w:type="dxa" w:w="1003"/>
            <w:vMerge/>
            <w:tcBorders>
              <w:top w:sz="4.335999965667725" w:val="single" w:color="#000000"/>
              <w:bottom w:sz="4.335999965667725" w:val="single" w:color="#000000"/>
            </w:tcBorders>
          </w:tcPr>
          <w:p/>
        </w:tc>
        <w:tc>
          <w:tcPr>
            <w:tcW w:type="dxa" w:w="2700"/>
            <w:gridSpan w:val="2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Linear vs GATConv head</w:t>
            </w:r>
          </w:p>
        </w:tc>
        <w:tc>
          <w:tcPr>
            <w:tcW w:type="dxa" w:w="2268"/>
            <w:gridSpan w:val="5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trials.</w:t>
            </w:r>
          </w:p>
        </w:tc>
      </w:tr>
      <w:tr>
        <w:trPr>
          <w:trHeight w:hRule="exact" w:val="320"/>
        </w:trPr>
        <w:tc>
          <w:tcPr>
            <w:tcW w:type="dxa" w:w="222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Does freezing the back-</w:t>
            </w:r>
          </w:p>
        </w:tc>
        <w:tc>
          <w:tcPr>
            <w:tcW w:type="dxa" w:w="1120"/>
            <w:vMerge w:val="restart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6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Yes, here</w:t>
            </w:r>
          </w:p>
        </w:tc>
        <w:tc>
          <w:tcPr>
            <w:tcW w:type="dxa" w:w="2700"/>
            <w:gridSpan w:val="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2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T10 (unfrozen,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 xml:space="preserve"> 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0.4057)</w:t>
            </w:r>
          </w:p>
        </w:tc>
        <w:tc>
          <w:tcPr>
            <w:tcW w:type="dxa" w:w="54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740"/>
            <w:gridSpan w:val="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14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within</w:t>
            </w:r>
          </w:p>
        </w:tc>
        <w:tc>
          <w:tcPr>
            <w:tcW w:type="dxa" w:w="44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the</w:t>
            </w:r>
          </w:p>
        </w:tc>
        <w:tc>
          <w:tcPr>
            <w:tcW w:type="dxa" w:w="548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CQR</w:t>
            </w:r>
          </w:p>
        </w:tc>
      </w:tr>
      <w:tr>
        <w:trPr>
          <w:trHeight w:hRule="exact" w:val="200"/>
        </w:trPr>
        <w:tc>
          <w:tcPr>
            <w:tcW w:type="dxa" w:w="22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bone help under CQR?</w:t>
            </w:r>
          </w:p>
        </w:tc>
        <w:tc>
          <w:tcPr>
            <w:tcW w:type="dxa" w:w="1003"/>
            <w:vMerge/>
            <w:tcBorders>
              <w:top w:sz="4.335999965667725" w:val="single" w:color="#000000"/>
            </w:tcBorders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2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vs T11 (same head,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learn-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family;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T10/T11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share</w:t>
            </w:r>
          </w:p>
        </w:tc>
      </w:tr>
      <w:tr>
        <w:trPr>
          <w:trHeight w:hRule="exact" w:val="240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>
              <w:top w:sz="4.335999965667725" w:val="single" w:color="#000000"/>
            </w:tcBorders>
          </w:tcPr>
          <w:p/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2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ing rate 5</w:t>
            </w: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 xml:space="preserve"> ×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10</w:t>
            </w:r>
            <w:r>
              <w:rPr>
                <w:w w:val="96.8893305460612"/>
                <w:rFonts w:ascii="CMSY10" w:hAnsi="CMSY10" w:eastAsia="CMSY10"/>
                <w:b w:val="0"/>
                <w:i/>
                <w:color w:val="000000"/>
                <w:sz w:val="15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, calibration;</w:t>
            </w:r>
          </w:p>
        </w:tc>
        <w:tc>
          <w:tcPr>
            <w:tcW w:type="dxa" w:w="22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head, loss, data, calibra-</w:t>
            </w:r>
          </w:p>
        </w:tc>
      </w:tr>
      <w:tr>
        <w:trPr>
          <w:trHeight w:hRule="exact" w:val="258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>
              <w:top w:sz="4.335999965667725" w:val="single" w:color="#000000"/>
            </w:tcBorders>
          </w:tcPr>
          <w:p/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8" w:after="0"/>
              <w:ind w:left="2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frozen,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 xml:space="preserve"> 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0.5835)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tion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16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learning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rate.</w:t>
            </w:r>
          </w:p>
        </w:tc>
      </w:tr>
    </w:tbl>
    <w:p>
      <w:pPr>
        <w:autoSpaceDN w:val="0"/>
        <w:autoSpaceDE w:val="0"/>
        <w:widowControl/>
        <w:spacing w:line="220" w:lineRule="exact" w:before="0" w:after="66"/>
        <w:ind w:left="6480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Cross-architecture / cross-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dataset replication left for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future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1.9999999999999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284"/>
        </w:trPr>
        <w:tc>
          <w:tcPr>
            <w:tcW w:type="dxa" w:w="2198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2" w:after="0"/>
              <w:ind w:left="0" w:right="0" w:firstLine="0"/>
              <w:jc w:val="center"/>
            </w:pPr>
            <w:r>
              <w:rPr>
                <w:w w:val="98.62537384033203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Does ensembling improve</w:t>
            </w:r>
          </w:p>
        </w:tc>
        <w:tc>
          <w:tcPr>
            <w:tcW w:type="dxa" w:w="130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Yes, when in-</w:t>
            </w:r>
          </w:p>
        </w:tc>
        <w:tc>
          <w:tcPr>
            <w:tcW w:type="dxa" w:w="980"/>
            <w:gridSpan w:val="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5-member</w:t>
            </w:r>
          </w:p>
        </w:tc>
        <w:tc>
          <w:tcPr>
            <w:tcW w:type="dxa" w:w="60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Deep</w:t>
            </w:r>
          </w:p>
        </w:tc>
        <w:tc>
          <w:tcPr>
            <w:tcW w:type="dxa" w:w="960"/>
            <w:gridSpan w:val="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Ensemble</w:t>
            </w:r>
          </w:p>
        </w:tc>
        <w:tc>
          <w:tcPr>
            <w:tcW w:type="dxa" w:w="60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Deep</w:t>
            </w:r>
          </w:p>
        </w:tc>
        <w:tc>
          <w:tcPr>
            <w:tcW w:type="dxa" w:w="880"/>
            <w:gridSpan w:val="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6" w:after="0"/>
              <w:ind w:left="9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Ensemble</w:t>
            </w:r>
          </w:p>
        </w:tc>
        <w:tc>
          <w:tcPr>
            <w:tcW w:type="dxa" w:w="784"/>
            <w:gridSpan w:val="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6" w:after="0"/>
              <w:ind w:left="18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shares</w:t>
            </w:r>
          </w:p>
        </w:tc>
      </w:tr>
      <w:tr>
        <w:trPr>
          <w:trHeight w:hRule="exact" w:val="260"/>
        </w:trPr>
        <w:tc>
          <w:tcPr>
            <w:tcW w:type="dxa" w:w="2198"/>
            <w:vMerge w:val="restart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point accuracy?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dependently</w:t>
            </w:r>
          </w:p>
        </w:tc>
        <w:tc>
          <w:tcPr>
            <w:tcW w:type="dxa" w:w="2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=</w:t>
            </w:r>
            <w:r>
              <w:rPr>
                <w:w w:val="98.67567486233182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0.6841 vs single-member</w:t>
            </w:r>
          </w:p>
        </w:tc>
        <w:tc>
          <w:tcPr>
            <w:tcW w:type="dxa" w:w="1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architecture</w:t>
            </w:r>
          </w:p>
        </w:tc>
        <w:tc>
          <w:tcPr>
            <w:tcW w:type="dxa" w:w="4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and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hyper-</w:t>
            </w:r>
          </w:p>
        </w:tc>
      </w:tr>
      <w:tr>
        <w:trPr>
          <w:trHeight w:hRule="exact" w:val="240"/>
        </w:trPr>
        <w:tc>
          <w:tcPr>
            <w:tcW w:type="dxa" w:w="752"/>
            <w:vMerge/>
            <w:tcBorders>
              <w:bottom w:sz="4.335999965667725" w:val="single" w:color="#000000"/>
            </w:tcBorders>
          </w:tcPr>
          <w:p/>
        </w:tc>
        <w:tc>
          <w:tcPr>
            <w:tcW w:type="dxa" w:w="1300"/>
            <w:vMerge w:val="restart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seeded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range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0" w:right="0" w:firstLine="0"/>
              <w:jc w:val="center"/>
            </w:pP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0.640, 0.650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;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3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multi-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7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parameters;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architec-</w:t>
            </w:r>
          </w:p>
        </w:tc>
      </w:tr>
      <w:tr>
        <w:trPr>
          <w:trHeight w:hRule="exact" w:val="220"/>
        </w:trPr>
        <w:tc>
          <w:tcPr>
            <w:tcW w:type="dxa" w:w="752"/>
            <w:vMerge/>
            <w:tcBorders>
              <w:bottom w:sz="4.335999965667725" w:val="single" w:color="#000000"/>
            </w:tcBorders>
          </w:tcPr>
          <w:p/>
        </w:tc>
        <w:tc>
          <w:tcPr>
            <w:tcW w:type="dxa" w:w="752"/>
            <w:vMerge/>
            <w:tcBorders>
              <w:bottom w:sz="4.335999965667725" w:val="single" w:color="#000000"/>
            </w:tcBorders>
          </w:tcPr>
          <w:p/>
        </w:tc>
        <w:tc>
          <w:tcPr>
            <w:tcW w:type="dxa" w:w="2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model ensemble below best</w:t>
            </w:r>
          </w:p>
        </w:tc>
        <w:tc>
          <w:tcPr>
            <w:tcW w:type="dxa" w:w="22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turally diverse ensembles</w:t>
            </w:r>
          </w:p>
        </w:tc>
      </w:tr>
      <w:tr>
        <w:trPr>
          <w:trHeight w:hRule="exact" w:val="290"/>
        </w:trPr>
        <w:tc>
          <w:tcPr>
            <w:tcW w:type="dxa" w:w="752"/>
            <w:vMerge/>
            <w:tcBorders>
              <w:bottom w:sz="4.335999965667725" w:val="single" w:color="#000000"/>
            </w:tcBorders>
          </w:tcPr>
          <w:p/>
        </w:tc>
        <w:tc>
          <w:tcPr>
            <w:tcW w:type="dxa" w:w="752"/>
            <w:vMerge/>
            <w:tcBorders>
              <w:bottom w:sz="4.335999965667725" w:val="single" w:color="#000000"/>
            </w:tcBorders>
          </w:tcPr>
          <w:p/>
        </w:tc>
        <w:tc>
          <w:tcPr>
            <w:tcW w:type="dxa" w:w="2540"/>
            <w:gridSpan w:val="5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single trial</w:t>
            </w:r>
          </w:p>
        </w:tc>
        <w:tc>
          <w:tcPr>
            <w:tcW w:type="dxa" w:w="2264"/>
            <w:gridSpan w:val="5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untested.</w:t>
            </w:r>
          </w:p>
        </w:tc>
      </w:tr>
      <w:tr>
        <w:trPr>
          <w:trHeight w:hRule="exact" w:val="308"/>
        </w:trPr>
        <w:tc>
          <w:tcPr>
            <w:tcW w:type="dxa" w:w="2198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0" w:firstLine="0"/>
              <w:jc w:val="center"/>
            </w:pPr>
            <w:r>
              <w:rPr>
                <w:w w:val="98.62537384033203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Does ensembling improve</w:t>
            </w:r>
          </w:p>
        </w:tc>
        <w:tc>
          <w:tcPr>
            <w:tcW w:type="dxa" w:w="1300"/>
            <w:vMerge w:val="restart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No, here</w:t>
            </w:r>
          </w:p>
        </w:tc>
        <w:tc>
          <w:tcPr>
            <w:tcW w:type="dxa" w:w="2540"/>
            <w:gridSpan w:val="5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Deep Ensemble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ρ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0.3997</w:t>
            </w:r>
          </w:p>
        </w:tc>
        <w:tc>
          <w:tcPr>
            <w:tcW w:type="dxa" w:w="2264"/>
            <w:gridSpan w:val="5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Only one architecture fam-</w:t>
            </w:r>
          </w:p>
        </w:tc>
      </w:tr>
      <w:tr>
        <w:trPr>
          <w:trHeight w:hRule="exact" w:val="258"/>
        </w:trPr>
        <w:tc>
          <w:tcPr>
            <w:tcW w:type="dxa" w:w="2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UQ ranking?</w:t>
            </w:r>
          </w:p>
        </w:tc>
        <w:tc>
          <w:tcPr>
            <w:tcW w:type="dxa" w:w="752"/>
            <w:vMerge/>
            <w:tcBorders>
              <w:top w:sz="4.335999965667725" w:val="single" w:color="#000000"/>
            </w:tcBorders>
          </w:tcPr>
          <w:p/>
        </w:tc>
        <w:tc>
          <w:tcPr>
            <w:tcW w:type="dxa" w:w="2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vs MC Dropout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ρ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0.4820;</w:t>
            </w:r>
          </w:p>
        </w:tc>
        <w:tc>
          <w:tcPr>
            <w:tcW w:type="dxa" w:w="22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ily tested.</w:t>
            </w:r>
          </w:p>
        </w:tc>
      </w:tr>
    </w:tbl>
    <w:p>
      <w:pPr>
        <w:autoSpaceDN w:val="0"/>
        <w:autoSpaceDE w:val="0"/>
        <w:widowControl/>
        <w:spacing w:line="210" w:lineRule="exact" w:before="0" w:after="66"/>
        <w:ind w:left="3940" w:right="2592" w:hanging="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quadrature combination gives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no gain over MC alone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06"/>
        </w:trPr>
        <w:tc>
          <w:tcPr>
            <w:tcW w:type="dxa" w:w="2198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Does raw MC Dropout</w:t>
            </w:r>
          </w:p>
        </w:tc>
        <w:tc>
          <w:tcPr>
            <w:tcW w:type="dxa" w:w="840"/>
            <w:vMerge w:val="restart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8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300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54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95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11.66 vs Gaussian 1.96;</w:t>
            </w:r>
          </w:p>
        </w:tc>
        <w:tc>
          <w:tcPr>
            <w:tcW w:type="dxa" w:w="2264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None major; follows from</w:t>
            </w:r>
          </w:p>
        </w:tc>
      </w:tr>
      <w:tr>
        <w:trPr>
          <w:trHeight w:hRule="exact" w:val="252"/>
        </w:trPr>
        <w:tc>
          <w:tcPr>
            <w:tcW w:type="dxa" w:w="2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give calibrated intervals?</w:t>
            </w:r>
          </w:p>
        </w:tc>
        <w:tc>
          <w:tcPr>
            <w:tcW w:type="dxa" w:w="2256"/>
            <w:vMerge/>
            <w:tcBorders>
              <w:top w:sz="4.335999965667725" w:val="single" w:color="#000000"/>
            </w:tcBorders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5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Gaussian 95% interval covers</w:t>
            </w:r>
          </w:p>
        </w:tc>
        <w:tc>
          <w:tcPr>
            <w:tcW w:type="dxa" w:w="2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full-test-set audit.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68"/>
        <w:ind w:left="0" w:right="314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only 54.85% of residuals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1.9999999999999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0"/>
        </w:trPr>
        <w:tc>
          <w:tcPr>
            <w:tcW w:type="dxa" w:w="2198"/>
            <w:vMerge w:val="restart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1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Does regression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 xml:space="preserve"> 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-scaling</w:t>
            </w:r>
          </w:p>
        </w:tc>
        <w:tc>
          <w:tcPr>
            <w:tcW w:type="dxa" w:w="4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88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(rescales,</w:t>
            </w:r>
          </w:p>
        </w:tc>
        <w:tc>
          <w:tcPr>
            <w:tcW w:type="dxa" w:w="254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After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 xml:space="preserve"> T</w:t>
            </w:r>
            <w:r>
              <w:rPr>
                <w:w w:val="98.3473727577611"/>
                <w:rFonts w:ascii="CMR10" w:hAnsi="CMR10" w:eastAsia="CMR10"/>
                <w:b w:val="0"/>
                <w:i w:val="0"/>
                <w:color w:val="000000"/>
                <w:sz w:val="19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2.887, ECE drops</w:t>
            </w:r>
          </w:p>
        </w:tc>
        <w:tc>
          <w:tcPr>
            <w:tcW w:type="dxa" w:w="2264"/>
            <w:gridSpan w:val="3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Calibration set is a node-</w:t>
            </w:r>
          </w:p>
        </w:tc>
      </w:tr>
      <w:tr>
        <w:trPr>
          <w:trHeight w:hRule="exact" w:val="44"/>
        </w:trPr>
        <w:tc>
          <w:tcPr>
            <w:tcW w:type="dxa" w:w="1289"/>
            <w:vMerge/>
            <w:tcBorders>
              <w:top w:sz="4.335999965667725" w:val="single" w:color="#000000"/>
            </w:tcBorders>
          </w:tcPr>
          <w:p/>
        </w:tc>
        <w:tc>
          <w:tcPr>
            <w:tcW w:type="dxa" w:w="1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can’t reshape)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90.5% and 1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hits 68.0%, but</w:t>
            </w:r>
          </w:p>
        </w:tc>
        <w:tc>
          <w:tcPr>
            <w:tcW w:type="dxa" w:w="226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level subset; node-within-</w:t>
            </w:r>
          </w:p>
        </w:tc>
      </w:tr>
      <w:tr>
        <w:trPr>
          <w:trHeight w:hRule="exact" w:val="196"/>
        </w:trPr>
        <w:tc>
          <w:tcPr>
            <w:tcW w:type="dxa" w:w="21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fully calibrate?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867"/>
            <w:gridSpan w:val="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/3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18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 stay below Gaussian</w:t>
            </w:r>
          </w:p>
        </w:tc>
        <w:tc>
          <w:tcPr>
            <w:tcW w:type="dxa" w:w="2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graph correlation breaks</w:t>
            </w:r>
          </w:p>
        </w:tc>
      </w:tr>
      <w:tr>
        <w:trPr>
          <w:trHeight w:hRule="exact" w:val="44"/>
        </w:trPr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strict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scenario</w:t>
            </w:r>
          </w:p>
        </w:tc>
        <w:tc>
          <w:tcPr>
            <w:tcW w:type="dxa" w:w="8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indepen-</w:t>
            </w:r>
          </w:p>
        </w:tc>
      </w:tr>
      <w:tr>
        <w:trPr>
          <w:trHeight w:hRule="exact" w:val="224"/>
        </w:trPr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target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18" w:after="64"/>
        <w:ind w:left="0" w:right="203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dence.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1.9999999999999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18"/>
        </w:trPr>
        <w:tc>
          <w:tcPr>
            <w:tcW w:type="dxa" w:w="2218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w w:val="98.62537384033203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Does the freezing observa-</w:t>
            </w:r>
          </w:p>
        </w:tc>
        <w:tc>
          <w:tcPr>
            <w:tcW w:type="dxa" w:w="1060"/>
            <w:vMerge w:val="restart"/>
            <w:tcBorders>
              <w:top w:sz="4.335999965667725" w:val="single" w:color="#000000"/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6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Untested</w:t>
            </w:r>
          </w:p>
        </w:tc>
        <w:tc>
          <w:tcPr>
            <w:tcW w:type="dxa" w:w="276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30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Only PointNetTransfGAT on</w:t>
            </w:r>
          </w:p>
        </w:tc>
        <w:tc>
          <w:tcPr>
            <w:tcW w:type="dxa" w:w="2264"/>
            <w:gridSpan w:val="4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Architecture, dataset, in-</w:t>
            </w:r>
          </w:p>
        </w:tc>
      </w:tr>
      <w:tr>
        <w:trPr>
          <w:trHeight w:hRule="exact" w:val="240"/>
        </w:trPr>
        <w:tc>
          <w:tcPr>
            <w:tcW w:type="dxa" w:w="2218"/>
            <w:vMerge w:val="restart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8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tion generalise?</w:t>
            </w:r>
          </w:p>
        </w:tc>
        <w:tc>
          <w:tcPr>
            <w:tcW w:type="dxa" w:w="1289"/>
            <w:vMerge/>
            <w:tcBorders>
              <w:top w:sz="4.335999965667725" w:val="single" w:color="#000000"/>
              <w:bottom w:sz="6.943999767303467" w:val="single" w:color="#000000"/>
            </w:tcBorders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00" w:right="0" w:firstLine="0"/>
              <w:jc w:val="left"/>
            </w:pPr>
            <w:r>
              <w:rPr>
                <w:w w:val="98.77621332804361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Paris 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77621332804361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000-scenario subset un-</w:t>
            </w:r>
          </w:p>
        </w:tc>
        <w:tc>
          <w:tcPr>
            <w:tcW w:type="dxa" w:w="2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tervention type, and back-</w:t>
            </w:r>
          </w:p>
        </w:tc>
      </w:tr>
      <w:tr>
        <w:trPr>
          <w:trHeight w:hRule="exact" w:val="220"/>
        </w:trPr>
        <w:tc>
          <w:tcPr>
            <w:tcW w:type="dxa" w:w="1289"/>
            <w:vMerge/>
            <w:tcBorders>
              <w:bottom w:sz="6.943999767303467" w:val="single" w:color="#000000"/>
            </w:tcBorders>
          </w:tcPr>
          <w:p/>
        </w:tc>
        <w:tc>
          <w:tcPr>
            <w:tcW w:type="dxa" w:w="1289"/>
            <w:vMerge/>
            <w:tcBorders>
              <w:top w:sz="4.335999965667725" w:val="single" w:color="#000000"/>
              <w:bottom w:sz="6.943999767303467" w:val="single" w:color="#000000"/>
            </w:tcBorders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0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der MSE-trained backbones is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bone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objective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all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held</w:t>
            </w:r>
          </w:p>
        </w:tc>
      </w:tr>
      <w:tr>
        <w:trPr>
          <w:trHeight w:hRule="exact" w:val="290"/>
        </w:trPr>
        <w:tc>
          <w:tcPr>
            <w:tcW w:type="dxa" w:w="1289"/>
            <w:vMerge/>
            <w:tcBorders>
              <w:bottom w:sz="6.943999767303467" w:val="single" w:color="#000000"/>
            </w:tcBorders>
          </w:tcPr>
          <w:p/>
        </w:tc>
        <w:tc>
          <w:tcPr>
            <w:tcW w:type="dxa" w:w="1289"/>
            <w:vMerge/>
            <w:tcBorders>
              <w:top w:sz="4.335999965667725" w:val="single" w:color="#000000"/>
              <w:bottom w:sz="6.943999767303467" w:val="single" w:color="#000000"/>
            </w:tcBorders>
          </w:tcPr>
          <w:p/>
        </w:tc>
        <w:tc>
          <w:tcPr>
            <w:tcW w:type="dxa" w:w="276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0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evaluated</w:t>
            </w:r>
          </w:p>
        </w:tc>
        <w:tc>
          <w:tcPr>
            <w:tcW w:type="dxa" w:w="2264"/>
            <w:gridSpan w:val="4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8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fixed.</w:t>
            </w:r>
          </w:p>
        </w:tc>
      </w:tr>
    </w:tbl>
    <w:p>
      <w:pPr>
        <w:autoSpaceDN w:val="0"/>
        <w:autoSpaceDE w:val="0"/>
        <w:widowControl/>
        <w:spacing w:line="218" w:lineRule="exact" w:before="140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39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6. Discussion</w:t>
      </w:r>
    </w:p>
    <w:p>
      <w:pPr>
        <w:autoSpaceDN w:val="0"/>
        <w:autoSpaceDE w:val="0"/>
        <w:widowControl/>
        <w:spacing w:line="284" w:lineRule="exact" w:before="468" w:after="0"/>
        <w:ind w:left="892" w:right="288" w:hanging="242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•</w:t>
      </w:r>
      <w:r>
        <w:rPr>
          <w:w w:val="98.52689396251331"/>
          <w:rFonts w:ascii="URWPalladioL" w:hAnsi="URWPalladioL" w:eastAsia="URWPalladioL"/>
          <w:b/>
          <w:i w:val="0"/>
          <w:color w:val="000000"/>
          <w:sz w:val="22"/>
        </w:rPr>
        <w:t xml:space="preserve"> MC Dropout inference cost.</w:t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 xml:space="preserve"> Inference scales linearly in the number of stochastic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forward passes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; Trial 11 (frozen-backbone CQR) and GEBM [31] are single-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forward-pass alternatives that eliminate this overhead when latency matters.</w:t>
      </w:r>
    </w:p>
    <w:p>
      <w:pPr>
        <w:autoSpaceDN w:val="0"/>
        <w:autoSpaceDE w:val="0"/>
        <w:widowControl/>
        <w:spacing w:line="284" w:lineRule="exact" w:before="182" w:after="0"/>
        <w:ind w:left="892" w:right="288" w:hanging="242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•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Future work.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Repeat at full 10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000-scenario scale; controlled T1-vs-T8 ablation;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architecturally diverse ensembles (GAT + GraphSAGE + GCN); conformal risk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control [19] and feature-conditional conformal; multi-city validation; explicit OOD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detectors for the large-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PazoMath" w:hAnsi="PazoMath" w:eastAsia="PazoMath"/>
          <w:b w:val="0"/>
          <w:i w:val="0"/>
          <w:color w:val="000000"/>
          <w:sz w:val="22"/>
        </w:rPr>
        <w:t>∆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v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|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regime.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6.10. Threats to Validity</w:t>
      </w:r>
    </w:p>
    <w:p>
      <w:pPr>
        <w:autoSpaceDN w:val="0"/>
        <w:autoSpaceDE w:val="0"/>
        <w:widowControl/>
        <w:spacing w:line="284" w:lineRule="exact" w:before="220" w:after="0"/>
        <w:ind w:left="892" w:right="346" w:hanging="242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•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Dataset selection.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The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000-scenario subset is the first 20 contiguous batches of 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>the 10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000-scenario Natterer corpus [4] rather than a uniform random sample, so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 mild batch-ordering selection bias cannot be excluded. All eleven trials share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same subset, so the relative method-to-method comparisons that constitute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the contribution remain valid; only the absolute accuracy and UQ figures inherit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potential bias.</w:t>
      </w:r>
    </w:p>
    <w:p>
      <w:pPr>
        <w:autoSpaceDN w:val="0"/>
        <w:autoSpaceDE w:val="0"/>
        <w:widowControl/>
        <w:spacing w:line="284" w:lineRule="exact" w:before="180" w:after="0"/>
        <w:ind w:left="892" w:right="320" w:hanging="242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•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External validity.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One road network (Paris), one intervention type (capacity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reduction). Generalisation to other cities, topologies and policy types (road pricing,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new infrastructure) is untested.</w:t>
      </w:r>
    </w:p>
    <w:p>
      <w:pPr>
        <w:autoSpaceDN w:val="0"/>
        <w:autoSpaceDE w:val="0"/>
        <w:widowControl/>
        <w:spacing w:line="284" w:lineRule="exact" w:before="182" w:after="0"/>
        <w:ind w:left="892" w:right="308" w:hanging="242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•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Model family.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All trials are PointNetTransfGAT variants. Transfer of the accu-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racy/UQ trade-offs and the freezing observation to other GNN families (Graph-</w:t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>SAGE, GCN, message-passing transformers) or to non-graph models is untested.</w:t>
      </w:r>
    </w:p>
    <w:p>
      <w:pPr>
        <w:autoSpaceDN w:val="0"/>
        <w:autoSpaceDE w:val="0"/>
        <w:widowControl/>
        <w:spacing w:line="284" w:lineRule="exact" w:before="180" w:after="0"/>
        <w:ind w:left="892" w:right="288" w:hanging="242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•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Baseline scope.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RF, XGBoost and MLP reported (Section 5.11); tree-native UQ </w:t>
      </w:r>
      <w:r>
        <w:rPr>
          <w:w w:val="98.92539111050692"/>
          <w:rFonts w:ascii="URWPalladioL" w:hAnsi="URWPalladioL" w:eastAsia="URWPalladioL"/>
          <w:b w:val="0"/>
          <w:i w:val="0"/>
          <w:color w:val="000000"/>
          <w:sz w:val="22"/>
        </w:rPr>
        <w:t>extensions (quantile regression forests, NGBoost) not evaluated, so whether tree-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native methods can match MC Dropout’s ranking or the adaptive conformal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conditional-coverage range is left as future work.</w:t>
      </w:r>
    </w:p>
    <w:p>
      <w:pPr>
        <w:autoSpaceDN w:val="0"/>
        <w:autoSpaceDE w:val="0"/>
        <w:widowControl/>
        <w:spacing w:line="278" w:lineRule="exact" w:before="202" w:after="0"/>
        <w:ind w:left="892" w:right="346" w:hanging="242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•</w:t>
      </w:r>
      <w:r>
        <w:rPr>
          <w:rFonts w:ascii="URWPalladioL" w:hAnsi="URWPalladioL" w:eastAsia="URWPalladioL"/>
          <w:b/>
          <w:i w:val="0"/>
          <w:color w:val="000000"/>
          <w:sz w:val="22"/>
        </w:rPr>
        <w:t xml:space="preserve"> Metrics.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Strong UQ metrics (</w:t>
      </w:r>
      <w:r>
        <w:rPr>
          <w:rFonts w:ascii="PazoMath" w:hAnsi="PazoMath" w:eastAsia="PazoMath"/>
          <w:b w:val="0"/>
          <w:i/>
          <w:color w:val="000000"/>
          <w:sz w:val="22"/>
        </w:rPr>
        <w:t>ρ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 AUROC, PICP,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95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CRPS) do not on their own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imply policy-level usefulness. Whether uncertainty-guided filtering changes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quality of an actual planner decision requires user studies or simulated decision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pipelines outside the scope here.</w:t>
      </w:r>
    </w:p>
    <w:p>
      <w:pPr>
        <w:autoSpaceDN w:val="0"/>
        <w:autoSpaceDE w:val="0"/>
        <w:widowControl/>
        <w:spacing w:line="218" w:lineRule="exact" w:before="230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40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7. Conclusion</w:t>
      </w:r>
    </w:p>
    <w:p>
      <w:pPr>
        <w:autoSpaceDN w:val="0"/>
        <w:autoSpaceDE w:val="0"/>
        <w:widowControl/>
        <w:spacing w:line="284" w:lineRule="exact" w:before="440" w:after="0"/>
        <w:ind w:left="340" w:right="288" w:hanging="6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This thesis investigated uncertainty quantification for Graph Neural Network surrogates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of agent-based transport models on a Paris road network. The work used a fixed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000-scenario subset of the 10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000-scenario Natterer corpus and evaluated eight base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trials, three uncertainty-aware extensions, a five-member Deep Ensemble, six UQ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families, and three post-hoc calibration and deployment tools on a 100-graph test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set with 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500 node-level predictions. Everything reported here should be read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as an empirical observation within a deliberately narrow setting: one network, one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intervention type (capacity reduction), one architecture family (PointNetTransfGAT), </w:t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 xml:space="preserve">and one scenario subset. The detailed research-question answers appear in Section 6.6, </w:t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 xml:space="preserve">the primary findings in Section 6.7, and the threats to validity that bound these claims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in Section 6.10.</w:t>
      </w:r>
    </w:p>
    <w:p>
      <w:pPr>
        <w:autoSpaceDN w:val="0"/>
        <w:tabs>
          <w:tab w:pos="336" w:val="left"/>
          <w:tab w:pos="340" w:val="left"/>
          <w:tab w:pos="346" w:val="left"/>
          <w:tab w:pos="564" w:val="left"/>
        </w:tabs>
        <w:autoSpaceDE w:val="0"/>
        <w:widowControl/>
        <w:spacing w:line="284" w:lineRule="exact" w:before="2" w:after="0"/>
        <w:ind w:left="314" w:right="288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Machine-learning surrogates can shrink policy evaluation in transport from hours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to seconds, but the speed advantage only translates into trustworthy decision support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when the predictions come with a principled statement of reliability. The thesis showed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that effective uncertainty quantification for GNN traffic surrogates is achievable at a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tractable cost. MC Dropout supplies a ranking signal that holds up across scenarios;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conformal prediction turns that signal into an empirical marginal coverage statement on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the held-out evaluation graphs; and a frozen-backbone quantile head delivers calibrated </w:t>
      </w:r>
      <w:r>
        <w:rPr>
          <w:w w:val="98.57678846879439"/>
          <w:rFonts w:ascii="URWPalladioL" w:hAnsi="URWPalladioL" w:eastAsia="URWPalladioL"/>
          <w:b w:val="0"/>
          <w:i w:val="0"/>
          <w:color w:val="000000"/>
          <w:sz w:val="22"/>
        </w:rPr>
        <w:t>intervals at a single deterministic forward pass. Compute costs differ across the toolkit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– MC Dropout multiplies inference by a factor of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the Deep Ensemble multiplies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training by roughly 5</w:t>
      </w:r>
      <w:r>
        <w:rPr>
          <w:w w:val="98.846087248429"/>
          <w:rFonts w:ascii="CMSY10" w:hAnsi="CMSY10" w:eastAsia="CMSY10"/>
          <w:b w:val="0"/>
          <w:i/>
          <w:color w:val="000000"/>
          <w:sz w:val="23"/>
        </w:rPr>
        <w:t>×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, and the frozen-backbone CQR head adds only 134 trainable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parameters at deployment – yet all three are practical inside an offline policy-evaluation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loop. MC Dropout and conformal prediction sit post-hoc on top of the trained backbone,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while the CQR variant additionally trains a small new head.</w:t>
      </w:r>
    </w:p>
    <w:p>
      <w:pPr>
        <w:autoSpaceDN w:val="0"/>
        <w:autoSpaceDE w:val="0"/>
        <w:widowControl/>
        <w:spacing w:line="284" w:lineRule="exact" w:before="2" w:after="0"/>
        <w:ind w:left="340" w:right="288" w:firstLine="21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These methods rely on a careful separation of concerns. Ranking is not calibration,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calibration is not coverage, and a backbone trained for one objective is not automatically 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a good starting point for a head trained for another. The freezing-backbone observation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is a concrete example of that last point: in the experiments here, simply keeping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MSE-trained backbone frozen was enough to flip the CQR result from negative to 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 xml:space="preserve">positive. That makes it the natural starting point for further work on uncertainty-aware </w:t>
      </w:r>
      <w:r>
        <w:rPr>
          <w:w w:val="98.8756613297896"/>
          <w:rFonts w:ascii="URWPalladioL" w:hAnsi="URWPalladioL" w:eastAsia="URWPalladioL"/>
          <w:b w:val="0"/>
          <w:i w:val="0"/>
          <w:color w:val="000000"/>
          <w:sz w:val="22"/>
        </w:rPr>
        <w:t xml:space="preserve">extensions for this class of surrogates, with broader architectural and dataset coverage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than was feasible inside the present scope.</w:t>
      </w:r>
    </w:p>
    <w:p>
      <w:pPr>
        <w:autoSpaceDN w:val="0"/>
        <w:autoSpaceDE w:val="0"/>
        <w:widowControl/>
        <w:spacing w:line="218" w:lineRule="exact" w:before="79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41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7. Conclusion</w:t>
      </w:r>
    </w:p>
    <w:p>
      <w:pPr>
        <w:autoSpaceDN w:val="0"/>
        <w:autoSpaceDE w:val="0"/>
        <w:widowControl/>
        <w:spacing w:line="284" w:lineRule="exact" w:before="468" w:after="0"/>
        <w:ind w:left="340" w:right="288" w:firstLine="218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To contextualise the GNN UQ stack against simpler tabular learners, three non-GNN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baselines are reported in Section 5.11: Random Forest, XGBoost and a single-hidden-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layer MLP, all on the same scenario-level held-out test set as T8 with default-style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configurations from each model’s official documentation. Both tree baselines exceed </w:t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>T8 on point accuracy (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 xml:space="preserve">of 0.66 for Random Forest and 0.74 for XGBoost, against 0.60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for T8), as expected from the tabular-learning literature for sparse-response targets.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contribution of this thesis is orthogonal to point accuracy: it is a per-prediction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uncertainty pipeline – MC Dropout, regression</w:t>
      </w:r>
      <w:r>
        <w:rPr>
          <w:rFonts w:ascii="PazoMath" w:hAnsi="PazoMath" w:eastAsia="PazoMath"/>
          <w:b w:val="0"/>
          <w:i/>
          <w:color w:val="000000"/>
          <w:sz w:val="22"/>
        </w:rPr>
        <w:t xml:space="preserve"> σ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-scaling, conformal coverage and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frozen-backbone CQR – that the default tree baselines do not provide, because the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methods are tightly coupled to architectural dropout, soft probabilistic outputs, and a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differentiable backbone with continuous representations. Tree-native UQ extensions </w:t>
      </w:r>
      <w:r>
        <w:rPr>
          <w:w w:val="98.72634194113992"/>
          <w:rFonts w:ascii="URWPalladioL" w:hAnsi="URWPalladioL" w:eastAsia="URWPalladioL"/>
          <w:b w:val="0"/>
          <w:i w:val="0"/>
          <w:color w:val="000000"/>
          <w:sz w:val="22"/>
        </w:rPr>
        <w:t xml:space="preserve">such as quantile regression forests and NGBoost are plausible competitors and remain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 natural follow-up; the present thesis does not claim that no tree-based pipeline can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match the GNN UQ stack, only that the default configurations tested here do not.</w:t>
      </w:r>
    </w:p>
    <w:p>
      <w:pPr>
        <w:autoSpaceDN w:val="0"/>
        <w:autoSpaceDE w:val="0"/>
        <w:widowControl/>
        <w:spacing w:line="218" w:lineRule="exact" w:before="7872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42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A. Verified Master Table</w:t>
      </w:r>
    </w:p>
    <w:p>
      <w:pPr>
        <w:autoSpaceDN w:val="0"/>
        <w:autoSpaceDE w:val="0"/>
        <w:widowControl/>
        <w:spacing w:line="284" w:lineRule="exact" w:before="442" w:after="0"/>
        <w:ind w:left="346" w:right="346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This appendix collects the numerical results of the thesis in one place, grouped by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topic. Every value in the tables below has been recomputed from the saved per-trial </w:t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 xml:space="preserve">prediction arrays and cross-checked against the canonical metric files produced during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evaluation. As a reminder for cross-table comparisons: T1–T6 are evaluated on 50 test </w:t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>graphs (80/15/5 split, 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>581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 xml:space="preserve">750 nodes), while T7–T11 and the Deep Ensemble use 100 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>test graphs (80/10/10 split, 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>500 nodes). Comparisons of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R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2</w:t>
      </w:r>
      <w:r>
        <w:rPr>
          <w:w w:val="98.22696339000355"/>
          <w:rFonts w:ascii="URWPalladioL" w:hAnsi="URWPalladioL" w:eastAsia="URWPalladioL"/>
          <w:b w:val="0"/>
          <w:i w:val="0"/>
          <w:color w:val="000000"/>
          <w:sz w:val="22"/>
        </w:rPr>
        <w:t xml:space="preserve">across the two groups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should therefore be read descriptively, not as strict apples-to-apples.</w:t>
      </w:r>
    </w:p>
    <w:p>
      <w:pPr>
        <w:autoSpaceDN w:val="0"/>
        <w:autoSpaceDE w:val="0"/>
        <w:widowControl/>
        <w:spacing w:line="288" w:lineRule="exact" w:before="464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A.1 Point Prediction Metrics (UQ-Capable Models)</w:t>
      </w:r>
    </w:p>
    <w:p>
      <w:pPr>
        <w:autoSpaceDN w:val="0"/>
        <w:autoSpaceDE w:val="0"/>
        <w:widowControl/>
        <w:spacing w:line="284" w:lineRule="exact" w:before="666" w:after="44"/>
        <w:ind w:left="1426" w:right="346" w:hanging="108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A.1.: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Point-prediction metrics for the UQ-capable models on the 100-graph test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set (3,163,500 nodes); T1–T7 base trial metrics are in Section 5.1. T9 reports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the MC mean; T10 and T11 report the quantile midpoint.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8.0" w:type="dxa"/>
      </w:tblPr>
      <w:tblGrid>
        <w:gridCol w:w="2256"/>
        <w:gridCol w:w="2256"/>
        <w:gridCol w:w="2256"/>
        <w:gridCol w:w="2256"/>
      </w:tblGrid>
      <w:tr>
        <w:trPr>
          <w:trHeight w:hRule="exact" w:val="396"/>
        </w:trPr>
        <w:tc>
          <w:tcPr>
            <w:tcW w:type="dxa" w:w="237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Model</w:t>
            </w:r>
          </w:p>
        </w:tc>
        <w:tc>
          <w:tcPr>
            <w:tcW w:type="dxa" w:w="84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6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MAE (veh/h)</w:t>
            </w:r>
          </w:p>
        </w:tc>
        <w:tc>
          <w:tcPr>
            <w:tcW w:type="dxa" w:w="1678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RMSE (veh/h)</w:t>
            </w:r>
          </w:p>
        </w:tc>
      </w:tr>
      <w:tr>
        <w:trPr>
          <w:trHeight w:hRule="exact" w:val="352"/>
        </w:trPr>
        <w:tc>
          <w:tcPr>
            <w:tcW w:type="dxa" w:w="237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T8 (primary UQ base)</w:t>
            </w:r>
          </w:p>
        </w:tc>
        <w:tc>
          <w:tcPr>
            <w:tcW w:type="dxa" w:w="84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0.5957</w:t>
            </w:r>
          </w:p>
        </w:tc>
        <w:tc>
          <w:tcPr>
            <w:tcW w:type="dxa" w:w="156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3.957</w:t>
            </w:r>
          </w:p>
        </w:tc>
        <w:tc>
          <w:tcPr>
            <w:tcW w:type="dxa" w:w="1678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7.118</w:t>
            </w:r>
          </w:p>
        </w:tc>
      </w:tr>
      <w:tr>
        <w:trPr>
          <w:trHeight w:hRule="exact" w:val="280"/>
        </w:trPr>
        <w:tc>
          <w:tcPr>
            <w:tcW w:type="dxa" w:w="2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T9 (MC mean)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0.4991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4.053</w:t>
            </w:r>
          </w:p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7.924</w:t>
            </w:r>
          </w:p>
        </w:tc>
      </w:tr>
      <w:tr>
        <w:trPr>
          <w:trHeight w:hRule="exact" w:val="280"/>
        </w:trPr>
        <w:tc>
          <w:tcPr>
            <w:tcW w:type="dxa" w:w="2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T10 (midpoint)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0.4057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4.130</w:t>
            </w:r>
          </w:p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8.631</w:t>
            </w:r>
          </w:p>
        </w:tc>
      </w:tr>
      <w:tr>
        <w:trPr>
          <w:trHeight w:hRule="exact" w:val="300"/>
        </w:trPr>
        <w:tc>
          <w:tcPr>
            <w:tcW w:type="dxa" w:w="2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T11 (midpoint)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0.5835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4.302</w:t>
            </w:r>
          </w:p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7.225</w:t>
            </w:r>
          </w:p>
        </w:tc>
      </w:tr>
      <w:tr>
        <w:trPr>
          <w:trHeight w:hRule="exact" w:val="324"/>
        </w:trPr>
        <w:tc>
          <w:tcPr>
            <w:tcW w:type="dxa" w:w="2372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Deep Ensemble</w:t>
            </w:r>
          </w:p>
        </w:tc>
        <w:tc>
          <w:tcPr>
            <w:tcW w:type="dxa" w:w="84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0.6841</w:t>
            </w:r>
          </w:p>
        </w:tc>
        <w:tc>
          <w:tcPr>
            <w:tcW w:type="dxa" w:w="156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3.485</w:t>
            </w:r>
          </w:p>
        </w:tc>
        <w:tc>
          <w:tcPr>
            <w:tcW w:type="dxa" w:w="1678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2"/>
              </w:rPr>
              <w:t>6.293</w:t>
            </w:r>
          </w:p>
        </w:tc>
      </w:tr>
    </w:tbl>
    <w:p>
      <w:pPr>
        <w:autoSpaceDN w:val="0"/>
        <w:autoSpaceDE w:val="0"/>
        <w:widowControl/>
        <w:spacing w:line="218" w:lineRule="exact" w:before="3648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43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A. Verified Master Table</w:t>
      </w:r>
    </w:p>
    <w:p>
      <w:pPr>
        <w:autoSpaceDN w:val="0"/>
        <w:autoSpaceDE w:val="0"/>
        <w:widowControl/>
        <w:spacing w:line="286" w:lineRule="exact" w:before="482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A.2 T8 MC Dropout UQ Metrics</w:t>
      </w:r>
    </w:p>
    <w:p>
      <w:pPr>
        <w:autoSpaceDN w:val="0"/>
        <w:autoSpaceDE w:val="0"/>
        <w:widowControl/>
        <w:spacing w:line="240" w:lineRule="exact" w:before="710" w:after="44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A.2.: T8 MC Dropout,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</w:t>
      </w:r>
      <w:r>
        <w:rPr>
          <w:w w:val="98.846087248429"/>
          <w:rFonts w:ascii="CMR10" w:hAnsi="CMR10" w:eastAsia="CMR10"/>
          <w:b w:val="0"/>
          <w:i w:val="0"/>
          <w:color w:val="000000"/>
          <w:sz w:val="23"/>
        </w:rPr>
        <w:t xml:space="preserve"> =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30, full 3,163,500-node test set unless noted.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4513"/>
        <w:gridCol w:w="4513"/>
      </w:tblGrid>
      <w:tr>
        <w:trPr>
          <w:trHeight w:hRule="exact" w:val="398"/>
        </w:trPr>
        <w:tc>
          <w:tcPr>
            <w:tcW w:type="dxa" w:w="5394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Metric</w:t>
            </w:r>
          </w:p>
        </w:tc>
        <w:tc>
          <w:tcPr>
            <w:tcW w:type="dxa" w:w="290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Value</w:t>
            </w:r>
          </w:p>
        </w:tc>
      </w:tr>
      <w:tr>
        <w:trPr>
          <w:trHeight w:hRule="exact" w:val="3812"/>
        </w:trPr>
        <w:tc>
          <w:tcPr>
            <w:tcW w:type="dxa" w:w="5394"/>
            <w:tcBorders>
              <w:top w:sz="4.335999965667725" w:val="single" w:color="#000000"/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2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Spearman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ρ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vs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|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y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>|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Mean per-graph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ρ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(mean / std)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Per-graph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ρ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range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Bootstrap 95% CI for mean per-graph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ρ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B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10,000)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Mean uncertainty ¯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(veh/h)</w:t>
            </w:r>
            <w:r>
              <w:br/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range (veh/h)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50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70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80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90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 xml:space="preserve">95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Coverage at 1.96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AUROC top-10% errors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AUROC top-20% errors </w:t>
            </w:r>
            <w:r>
              <w:br/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-convergence: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ρ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at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S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30 /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S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50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-convergence: gain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S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30</w:t>
            </w:r>
            <w:r>
              <w:rPr>
                <w:w w:val="98.846087248429"/>
                <w:rFonts w:ascii="CMSY10" w:hAnsi="CMSY10" w:eastAsia="CMSY10"/>
                <w:b w:val="0"/>
                <w:i/>
                <w:color w:val="000000"/>
                <w:sz w:val="23"/>
              </w:rPr>
              <w:t xml:space="preserve"> 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50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T7 cross-check: Spearman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ρ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/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95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/ AUROC top-10%</w:t>
            </w:r>
          </w:p>
        </w:tc>
        <w:tc>
          <w:tcPr>
            <w:tcW w:type="dxa" w:w="2900"/>
            <w:tcBorders>
              <w:top w:sz="4.335999965667725" w:val="single" w:color="#000000"/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0.4820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0.464 / 0.023 </w:t>
            </w:r>
            <w:r>
              <w:br/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[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0.407, 0.505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] </w:t>
            </w:r>
            <w:r>
              <w:br/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[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0.460, 0.469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]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1.369 </w:t>
            </w:r>
            <w:r>
              <w:br/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[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0.042, 44.29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 xml:space="preserve">]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1.71, 3.09, 4.55, 7.74, 11.66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54.85%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0.7548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0.7324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0.466 / 0.471 </w:t>
            </w:r>
            <w:r>
              <w:br/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+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1.03%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0.4437 / 16.15 / 0.7416</w:t>
            </w:r>
          </w:p>
        </w:tc>
      </w:tr>
    </w:tbl>
    <w:p>
      <w:pPr>
        <w:autoSpaceDN w:val="0"/>
        <w:autoSpaceDE w:val="0"/>
        <w:widowControl/>
        <w:spacing w:line="286" w:lineRule="exact" w:before="408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A.3 Conformal Prediction (T8)</w:t>
      </w:r>
    </w:p>
    <w:p>
      <w:pPr>
        <w:autoSpaceDN w:val="0"/>
        <w:autoSpaceDE w:val="0"/>
        <w:widowControl/>
        <w:spacing w:line="276" w:lineRule="exact" w:before="652" w:after="44"/>
        <w:ind w:left="1426" w:right="346" w:hanging="108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A.3.:</w:t>
      </w:r>
      <w:r>
        <w:rPr>
          <w:w w:val="98.27701395208184"/>
          <w:rFonts w:ascii="URWPalladioL" w:hAnsi="URWPalladioL" w:eastAsia="URWPalladioL"/>
          <w:b w:val="0"/>
          <w:i w:val="0"/>
          <w:color w:val="000000"/>
          <w:sz w:val="22"/>
        </w:rPr>
        <w:t xml:space="preserve"> Standard split conformal and adaptive (</w:t>
      </w:r>
      <w:r>
        <w:rPr>
          <w:rFonts w:ascii="PazoMath" w:hAnsi="PazoMath" w:eastAsia="PazoMath"/>
          <w:b w:val="0"/>
          <w:i/>
          <w:color w:val="000000"/>
          <w:sz w:val="22"/>
        </w:rPr>
        <w:t>σ</w:t>
      </w:r>
      <w:r>
        <w:rPr>
          <w:w w:val="98.27701395208184"/>
          <w:rFonts w:ascii="URWPalladioL" w:hAnsi="URWPalladioL" w:eastAsia="URWPalladioL"/>
          <w:b w:val="0"/>
          <w:i w:val="0"/>
          <w:color w:val="000000"/>
          <w:sz w:val="22"/>
        </w:rPr>
        <w:t xml:space="preserve">-scaled) conformal on T8. Random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scenario-level partition (seed 42, 50 calibration / 50 evaluation graphs,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1,581,750 nodes each).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2256"/>
        <w:gridCol w:w="2256"/>
        <w:gridCol w:w="2256"/>
        <w:gridCol w:w="2256"/>
      </w:tblGrid>
      <w:tr>
        <w:trPr>
          <w:trHeight w:hRule="exact" w:val="400"/>
        </w:trPr>
        <w:tc>
          <w:tcPr>
            <w:tcW w:type="dxa" w:w="2196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Method</w:t>
            </w:r>
          </w:p>
        </w:tc>
        <w:tc>
          <w:tcPr>
            <w:tcW w:type="dxa" w:w="144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0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Quantile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(veh/h)</w:t>
            </w:r>
          </w:p>
        </w:tc>
        <w:tc>
          <w:tcPr>
            <w:tcW w:type="dxa" w:w="1522"/>
            <w:tcBorders>
              <w:top w:sz="6.943999767303467" w:val="single" w:color="#000000"/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59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PICP</w:t>
            </w:r>
          </w:p>
        </w:tc>
      </w:tr>
      <w:tr>
        <w:trPr>
          <w:trHeight w:hRule="exact" w:val="352"/>
        </w:trPr>
        <w:tc>
          <w:tcPr>
            <w:tcW w:type="dxa" w:w="2196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Standard conformal</w:t>
            </w:r>
          </w:p>
        </w:tc>
        <w:tc>
          <w:tcPr>
            <w:tcW w:type="dxa" w:w="144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90%</w:t>
            </w:r>
          </w:p>
        </w:tc>
        <w:tc>
          <w:tcPr>
            <w:tcW w:type="dxa" w:w="22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93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9.920</w:t>
            </w:r>
          </w:p>
        </w:tc>
        <w:tc>
          <w:tcPr>
            <w:tcW w:type="dxa" w:w="152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34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90.02%</w:t>
            </w:r>
          </w:p>
        </w:tc>
      </w:tr>
      <w:tr>
        <w:trPr>
          <w:trHeight w:hRule="exact" w:val="260"/>
        </w:trPr>
        <w:tc>
          <w:tcPr>
            <w:tcW w:type="dxa" w:w="2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Standard conformal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95%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88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14.677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34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95.01%</w:t>
            </w:r>
          </w:p>
        </w:tc>
      </w:tr>
      <w:tr>
        <w:trPr>
          <w:trHeight w:hRule="exact" w:val="350"/>
        </w:trPr>
        <w:tc>
          <w:tcPr>
            <w:tcW w:type="dxa" w:w="2196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Adaptive conformal</w:t>
            </w:r>
          </w:p>
        </w:tc>
        <w:tc>
          <w:tcPr>
            <w:tcW w:type="dxa" w:w="1440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90% (global)</w:t>
            </w:r>
          </w:p>
        </w:tc>
        <w:tc>
          <w:tcPr>
            <w:tcW w:type="dxa" w:w="2220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8" w:after="0"/>
              <w:ind w:left="44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2"/>
              </w:rPr>
              <w:t>q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adapt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 7.71</w:t>
            </w:r>
          </w:p>
        </w:tc>
        <w:tc>
          <w:tcPr>
            <w:tcW w:type="dxa" w:w="1522"/>
            <w:tcBorders>
              <w:bottom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8" w:after="0"/>
              <w:ind w:left="28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89.87%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0" w:lineRule="exact" w:before="96" w:after="62"/>
        <w:ind w:left="952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Conditional coverage range across deciles D1–D10: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2392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Standard conformal</w:t>
            </w:r>
          </w:p>
        </w:tc>
        <w:tc>
          <w:tcPr>
            <w:tcW w:type="dxa" w:w="136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3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90%</w:t>
            </w:r>
          </w:p>
        </w:tc>
        <w:tc>
          <w:tcPr>
            <w:tcW w:type="dxa" w:w="1620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4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range</w:t>
            </w:r>
          </w:p>
        </w:tc>
        <w:tc>
          <w:tcPr>
            <w:tcW w:type="dxa" w:w="1998"/>
            <w:tcBorders>
              <w:top w:sz="4.33599996566772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454" w:right="0" w:firstLine="0"/>
              <w:jc w:val="left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[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59.0%, 98.1%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]</w:t>
            </w:r>
          </w:p>
        </w:tc>
      </w:tr>
      <w:tr>
        <w:trPr>
          <w:trHeight w:hRule="exact" w:val="344"/>
        </w:trPr>
        <w:tc>
          <w:tcPr>
            <w:tcW w:type="dxa" w:w="2392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1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Adaptive conformal</w:t>
            </w:r>
          </w:p>
        </w:tc>
        <w:tc>
          <w:tcPr>
            <w:tcW w:type="dxa" w:w="136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32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90%</w:t>
            </w:r>
          </w:p>
        </w:tc>
        <w:tc>
          <w:tcPr>
            <w:tcW w:type="dxa" w:w="1620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0" w:right="4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range</w:t>
            </w:r>
          </w:p>
        </w:tc>
        <w:tc>
          <w:tcPr>
            <w:tcW w:type="dxa" w:w="1998"/>
            <w:tcBorders>
              <w:bottom w:sz="6.94399976730346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54" w:right="0" w:firstLine="0"/>
              <w:jc w:val="left"/>
            </w:pP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[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83.7%, 96.4%</w:t>
            </w:r>
            <w:r>
              <w:rPr>
                <w:w w:val="98.846087248429"/>
                <w:rFonts w:ascii="CMR10" w:hAnsi="CMR10" w:eastAsia="CMR10"/>
                <w:b w:val="0"/>
                <w:i w:val="0"/>
                <w:color w:val="000000"/>
                <w:sz w:val="23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198" w:lineRule="exact" w:before="112" w:after="0"/>
        <w:ind w:left="576" w:right="576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Adaptive conformal global PICP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90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= 89.87% is 0.13 pp below the 90% nominal target – within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finite-sample tolerance but not strictly above the target.</w:t>
      </w:r>
    </w:p>
    <w:p>
      <w:pPr>
        <w:autoSpaceDN w:val="0"/>
        <w:autoSpaceDE w:val="0"/>
        <w:widowControl/>
        <w:spacing w:line="218" w:lineRule="exact" w:before="1162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44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A. Verified Master Table</w:t>
      </w:r>
    </w:p>
    <w:p>
      <w:pPr>
        <w:autoSpaceDN w:val="0"/>
        <w:autoSpaceDE w:val="0"/>
        <w:widowControl/>
        <w:spacing w:line="286" w:lineRule="exact" w:before="482" w:after="0"/>
        <w:ind w:left="346" w:right="0" w:firstLine="0"/>
        <w:jc w:val="left"/>
      </w:pPr>
      <w:r>
        <w:rPr>
          <w:w w:val="98.93931027116447"/>
          <w:rFonts w:ascii="URWPalladioL" w:hAnsi="URWPalladioL" w:eastAsia="URWPalladioL"/>
          <w:b/>
          <w:i w:val="0"/>
          <w:color w:val="000000"/>
          <w:sz w:val="29"/>
        </w:rPr>
        <w:t>A.4 Proper Scoring Rules (T8)</w:t>
      </w:r>
    </w:p>
    <w:p>
      <w:pPr>
        <w:autoSpaceDN w:val="0"/>
        <w:autoSpaceDE w:val="0"/>
        <w:widowControl/>
        <w:spacing w:line="218" w:lineRule="exact" w:before="732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Table A.4.: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CRPS, PIT and Winkler scores including PIT KS on the full 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163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,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500-node</w:t>
      </w:r>
    </w:p>
    <w:p>
      <w:pPr>
        <w:autoSpaceDN w:val="0"/>
        <w:autoSpaceDE w:val="0"/>
        <w:widowControl/>
        <w:spacing w:line="218" w:lineRule="exact" w:before="66" w:after="44"/>
        <w:ind w:left="142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T8 test set.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2"/>
        </w:trPr>
        <w:tc>
          <w:tcPr>
            <w:tcW w:type="dxa" w:w="3362"/>
            <w:tcBorders>
              <w:top w:sz="6.4761128425598145" w:val="single" w:color="#000000"/>
              <w:bottom w:sz="4.043840408325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8" w:after="0"/>
              <w:ind w:left="120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740"/>
            <w:tcBorders>
              <w:top w:sz="6.4761128425598145" w:val="single" w:color="#000000"/>
              <w:bottom w:sz="4.043840408325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8" w:after="0"/>
              <w:ind w:left="0" w:right="0" w:firstLine="0"/>
              <w:jc w:val="center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Value</w:t>
            </w:r>
          </w:p>
        </w:tc>
        <w:tc>
          <w:tcPr>
            <w:tcW w:type="dxa" w:w="3100"/>
            <w:tcBorders>
              <w:top w:sz="6.4761128425598145" w:val="single" w:color="#000000"/>
              <w:bottom w:sz="4.043840408325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8" w:after="0"/>
              <w:ind w:left="122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Note</w:t>
            </w:r>
          </w:p>
        </w:tc>
        <w:tc>
          <w:tcPr>
            <w:tcW w:type="dxa" w:w="182"/>
            <w:tcBorders>
              <w:top w:sz="6.4761128425598145" w:val="single" w:color="#000000"/>
              <w:bottom w:sz="4.0438404083251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top w:sz="6.4761128425598145" w:val="single" w:color="#000000"/>
              <w:bottom w:sz="4.0438404083251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3362"/>
            <w:tcBorders>
              <w:top w:sz="4.043840408325195" w:val="single" w:color="#000000"/>
              <w:bottom w:sz="3.33504915237426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4" w:after="0"/>
              <w:ind w:left="120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Mean CRPS (veh/h)</w:t>
            </w:r>
          </w:p>
        </w:tc>
        <w:tc>
          <w:tcPr>
            <w:tcW w:type="dxa" w:w="740"/>
            <w:tcBorders>
              <w:top w:sz="4.043840408325195" w:val="single" w:color="#000000"/>
              <w:bottom w:sz="3.33504915237426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4" w:after="0"/>
              <w:ind w:left="0" w:right="0" w:firstLine="0"/>
              <w:jc w:val="center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3.384</w:t>
            </w:r>
          </w:p>
        </w:tc>
        <w:tc>
          <w:tcPr>
            <w:tcW w:type="dxa" w:w="3100"/>
            <w:tcBorders>
              <w:top w:sz="4.043840408325195" w:val="single" w:color="#000000"/>
              <w:bottom w:sz="3.33504915237426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4" w:after="0"/>
              <w:ind w:left="122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82"/>
            <w:tcBorders>
              <w:top w:sz="4.043840408325195" w:val="single" w:color="#000000"/>
              <w:bottom w:sz="3.33504915237426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1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√</w:t>
            </w:r>
          </w:p>
        </w:tc>
        <w:tc>
          <w:tcPr>
            <w:tcW w:type="dxa" w:w="966"/>
            <w:tcBorders>
              <w:top w:sz="4.043840408325195" w:val="single" w:color="#000000"/>
              <w:bottom w:sz="3.33504915237426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8"/>
        </w:trPr>
        <w:tc>
          <w:tcPr>
            <w:tcW w:type="dxa" w:w="3362"/>
            <w:tcBorders>
              <w:top w:sz="3.33504915237426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120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CRPS / MAE</w:t>
            </w:r>
          </w:p>
        </w:tc>
        <w:tc>
          <w:tcPr>
            <w:tcW w:type="dxa" w:w="740"/>
            <w:tcBorders>
              <w:top w:sz="3.33504915237426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0" w:right="0" w:firstLine="0"/>
              <w:jc w:val="center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0.857</w:t>
            </w:r>
          </w:p>
        </w:tc>
        <w:tc>
          <w:tcPr>
            <w:tcW w:type="dxa" w:w="3100"/>
            <w:tcBorders>
              <w:top w:sz="3.33504915237426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122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Gaussian-calibrated optimum 1/</w:t>
            </w:r>
          </w:p>
        </w:tc>
        <w:tc>
          <w:tcPr>
            <w:tcW w:type="dxa" w:w="182"/>
            <w:vMerge w:val="restart"/>
            <w:tcBorders>
              <w:top w:sz="3.3350491523742676" w:val="single" w:color="#000000"/>
              <w:bottom w:sz="6.47611284255981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vMerge w:val="restart"/>
            <w:tcBorders>
              <w:top w:sz="3.3350491523742676" w:val="single" w:color="#000000"/>
              <w:bottom w:sz="6.47611284255981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4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≈</w:t>
            </w: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0.707</w:t>
            </w:r>
          </w:p>
        </w:tc>
      </w:tr>
      <w:tr>
        <w:trPr>
          <w:trHeight w:hRule="exact" w:val="260"/>
        </w:trPr>
        <w:tc>
          <w:tcPr>
            <w:tcW w:type="dxa" w:w="3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120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PIT mean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0" w:right="0" w:firstLine="0"/>
              <w:jc w:val="center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0.433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122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ideal 0.500</w:t>
            </w:r>
          </w:p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3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120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PIT KS statistic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0" w:right="0" w:firstLine="0"/>
              <w:jc w:val="center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0.245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122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3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120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PIT first-bin mass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0" w:right="0" w:firstLine="0"/>
              <w:jc w:val="center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28.4%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122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3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120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Winkler 90% (raw MC)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49.68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122" w:right="0" w:firstLine="0"/>
              <w:jc w:val="left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3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Winkler 90% (standard conformal)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35.78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12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28.0% vs raw</w:t>
            </w:r>
          </w:p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</w:tr>
      <w:tr>
        <w:trPr>
          <w:trHeight w:hRule="exact" w:val="318"/>
        </w:trPr>
        <w:tc>
          <w:tcPr>
            <w:tcW w:type="dxa" w:w="3362"/>
            <w:tcBorders>
              <w:bottom w:sz="6.47611284255981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0" w:firstLine="0"/>
              <w:jc w:val="center"/>
            </w:pP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Winkler 90% (adaptive conformal)</w:t>
            </w:r>
          </w:p>
        </w:tc>
        <w:tc>
          <w:tcPr>
            <w:tcW w:type="dxa" w:w="740"/>
            <w:tcBorders>
              <w:bottom w:sz="6.47611284255981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101.74044609069823"/>
                <w:rFonts w:ascii="URWPalladioL" w:hAnsi="URWPalladioL" w:eastAsia="URWPalladioL"/>
                <w:b/>
                <w:i w:val="0"/>
                <w:color w:val="000000"/>
                <w:sz w:val="20"/>
              </w:rPr>
              <w:t>32</w:t>
            </w: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.</w:t>
            </w:r>
            <w:r>
              <w:rPr>
                <w:w w:val="101.74044609069823"/>
                <w:rFonts w:ascii="URWPalladioL" w:hAnsi="URWPalladioL" w:eastAsia="URWPalladioL"/>
                <w:b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3100"/>
            <w:tcBorders>
              <w:bottom w:sz="6.47611284255981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6" w:after="0"/>
              <w:ind w:left="12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1"/>
              </w:rPr>
              <w:t>−</w:t>
            </w:r>
            <w:r>
              <w:rPr>
                <w:w w:val="101.74044609069823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35.0% vs raw</w:t>
            </w:r>
          </w:p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  <w:tc>
          <w:tcPr>
            <w:tcW w:type="dxa" w:w="1805"/>
            <w:vMerge/>
            <w:tcBorders>
              <w:top w:sz="3.3350491523742676" w:val="single" w:color="#000000"/>
              <w:bottom w:sz="6.47611284255981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765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45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42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4513"/>
        <w:gridCol w:w="4513"/>
      </w:tblGrid>
      <w:tr>
        <w:trPr>
          <w:trHeight w:hRule="exact" w:val="9862"/>
        </w:trPr>
        <w:tc>
          <w:tcPr>
            <w:tcW w:type="dxa" w:w="111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" w:right="144" w:firstLine="0"/>
              <w:jc w:val="left"/>
            </w:pP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ABM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AUROC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AUPRC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BNN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CDF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CIT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CQR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CRPS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DE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ECE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GAT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GNN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GPU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KS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MAE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MATSim </w:t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MC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ML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MLP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MPNN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MSE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NLL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NPZ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OOD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OSM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PICP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PIT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>PyG</w:t>
            </w:r>
          </w:p>
        </w:tc>
        <w:tc>
          <w:tcPr>
            <w:tcW w:type="dxa" w:w="7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46" w:right="1296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Agent-Based Model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Area Under the Receiver Operating Characteristic Curve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Area Under the Precision–Recall Curve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Bayesian Neural Network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Cumulative Distribution Function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Computation, Information and Technology (TUM school)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Conformalized Quantile Regression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Continuous Ranked Probability Score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Deep Ensemble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Expected Calibration Error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Graph Attention Network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Graph Neural Network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Graphics Processing Unit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Kolmogorov–Smirnov (statistic)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Mean Absolute Error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Multi-Agent Transport Simulation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Monte Carlo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Machine Learning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Multi-Layer Perceptron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Message Passing Neural Network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Mean Squared Error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Negative Log-Likelihood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NumPy compressed archive (file format)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Out-of-Distribution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OpenStreetMap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Prediction Interval Coverage Probability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Probability Integral Transform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PyTorch Geometric</w:t>
            </w:r>
          </w:p>
        </w:tc>
      </w:tr>
    </w:tbl>
    <w:p>
      <w:pPr>
        <w:autoSpaceDN w:val="0"/>
        <w:autoSpaceDE w:val="0"/>
        <w:widowControl/>
        <w:spacing w:line="218" w:lineRule="exact" w:before="6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46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56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4513"/>
        <w:gridCol w:w="4513"/>
      </w:tblGrid>
      <w:tr>
        <w:trPr>
          <w:trHeight w:hRule="exact" w:val="12202"/>
        </w:trPr>
        <w:tc>
          <w:tcPr>
            <w:tcW w:type="dxa" w:w="998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40" w:after="0"/>
              <w:ind w:left="4" w:right="288" w:firstLine="0"/>
              <w:jc w:val="left"/>
            </w:pP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ReLU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RMSE </w:t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ROC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RQ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>SGD</w:t>
            </w:r>
            <w:r>
              <w:br/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S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 xml:space="preserve">TUM </w:t>
            </w:r>
            <w:r>
              <w:br/>
            </w:r>
            <w:r>
              <w:rPr>
                <w:rFonts w:ascii="F673" w:hAnsi="F673" w:eastAsia="F673"/>
                <w:b w:val="0"/>
                <w:i w:val="0"/>
                <w:color w:val="000000"/>
                <w:sz w:val="22"/>
              </w:rPr>
              <w:t>UQ</w:t>
            </w:r>
          </w:p>
        </w:tc>
        <w:tc>
          <w:tcPr>
            <w:tcW w:type="dxa" w:w="734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54" w:after="0"/>
              <w:ind w:left="366" w:right="360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Rectified Linear Unit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Root Mean Squared Error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Receiver Operating Characteristic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Research Question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Stochastic Gradient Descent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Regression</w:t>
            </w:r>
            <w:r>
              <w:rPr>
                <w:rFonts w:ascii="PazoMath" w:hAnsi="PazoMath" w:eastAsia="PazoMath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-Scaling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 xml:space="preserve">Technical University of Munich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Uncertainty Quantification</w:t>
            </w:r>
          </w:p>
        </w:tc>
      </w:tr>
    </w:tbl>
    <w:p>
      <w:pPr>
        <w:autoSpaceDN w:val="0"/>
        <w:autoSpaceDE w:val="0"/>
        <w:widowControl/>
        <w:spacing w:line="218" w:lineRule="exact" w:before="56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47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4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41"/>
        </w:rPr>
        <w:t>Bibliography</w:t>
      </w:r>
    </w:p>
    <w:p>
      <w:pPr>
        <w:autoSpaceDN w:val="0"/>
        <w:tabs>
          <w:tab w:pos="928" w:val="left"/>
        </w:tabs>
        <w:autoSpaceDE w:val="0"/>
        <w:widowControl/>
        <w:spacing w:line="290" w:lineRule="exact" w:before="430" w:after="0"/>
        <w:ind w:left="454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[1]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A. Horni, K. Nagel, and K. W. Axhausen.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The Multi-Agent Transport Simulation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MATSim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London: Ubiquity Press, 2016.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16" w:history="1">
          <w:r>
            <w:rPr>
              <w:rStyle w:val="Hyperlink"/>
            </w:rPr>
            <w:t>10.5334/baw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0" w:val="left"/>
          <w:tab w:pos="928" w:val="left"/>
        </w:tabs>
        <w:autoSpaceDE w:val="0"/>
        <w:widowControl/>
        <w:spacing w:line="284" w:lineRule="exact" w:before="88" w:after="0"/>
        <w:ind w:left="454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[2]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E. Bonabeau. “Agent-based modeling: Methods and techniques for simulating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human systems.”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Proceedings of the National Academy of Sciences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99.Suppl. 3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(2002), pp. 7280–7287.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17" w:history="1">
          <w:r>
            <w:rPr>
              <w:rStyle w:val="Hyperlink"/>
            </w:rPr>
            <w:t>10.1073/pnas.082080899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8" w:lineRule="exact" w:before="84" w:after="0"/>
        <w:ind w:left="454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[3] </w:t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S. F. Railsback and V. Grimm.</w:t>
      </w:r>
      <w:r>
        <w:rPr>
          <w:w w:val="98.1768868186257"/>
          <w:rFonts w:ascii="URWPalladioL" w:hAnsi="URWPalladioL" w:eastAsia="URWPalladioL"/>
          <w:b w:val="0"/>
          <w:i/>
          <w:color w:val="000000"/>
          <w:sz w:val="22"/>
        </w:rPr>
        <w:t xml:space="preserve"> Agent-Based and Individual-Based Modeling: A Practical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Introduction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2nd. Princeton University Press, 2019.</w:t>
      </w:r>
    </w:p>
    <w:p>
      <w:pPr>
        <w:autoSpaceDN w:val="0"/>
        <w:tabs>
          <w:tab w:pos="920" w:val="left"/>
          <w:tab w:pos="928" w:val="left"/>
        </w:tabs>
        <w:autoSpaceDE w:val="0"/>
        <w:widowControl/>
        <w:spacing w:line="286" w:lineRule="exact" w:before="86" w:after="0"/>
        <w:ind w:left="454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[4]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E. Natterer, S. R. Rao, A. Tejada Lapuerta, R. Engelhardt, S. Hörl, and K. Bo-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genberger.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Machine Learning Surrogates for Agent-Based Models in Transportation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Policy Analysis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SSRN Preprint. Preprint, not yet peer reviewed. Mar. 2025.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url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: </w:t>
      </w:r>
      <w:r>
        <w:tab/>
      </w:r>
      <w:r>
        <w:tab/>
      </w:r>
      <w:r>
        <w:rPr>
          <w:rFonts w:ascii="F409" w:hAnsi="F409" w:eastAsia="F409"/>
          <w:b w:val="0"/>
          <w:i w:val="0"/>
          <w:color w:val="000000"/>
          <w:sz w:val="22"/>
        </w:rPr>
        <w:hyperlink r:id="rId18" w:history="1">
          <w:r>
            <w:rPr>
              <w:rStyle w:val="Hyperlink"/>
            </w:rPr>
            <w:t>https://ssrn.com/abstract=5182100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0" w:val="left"/>
          <w:tab w:pos="928" w:val="left"/>
        </w:tabs>
        <w:autoSpaceDE w:val="0"/>
        <w:widowControl/>
        <w:spacing w:line="284" w:lineRule="exact" w:before="88" w:after="0"/>
        <w:ind w:left="454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[5]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F. Scarselli, M. Gori, A. C. Tsoi, M. Hagenbuchner, and G. Monfardini. “The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graph neural network model.”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IEEE Transactions on Neural Networks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20.1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(2009), pp. 61–80.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19" w:history="1">
          <w:r>
            <w:rPr>
              <w:rStyle w:val="Hyperlink"/>
            </w:rPr>
            <w:t>10.1109/TNN.2008.2005605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4" w:lineRule="exact" w:before="88" w:after="0"/>
        <w:ind w:left="454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[6]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T. N. Kipf and M. Welling. “Semi-supervised classification with graph convolu-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tional networks.”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International Conference on Learning Representations (ICLR)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2017.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20" w:history="1">
          <w:r>
            <w:rPr>
              <w:rStyle w:val="Hyperlink"/>
            </w:rPr>
            <w:t>1609.02907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2" w:val="left"/>
          <w:tab w:pos="928" w:val="left"/>
        </w:tabs>
        <w:autoSpaceDE w:val="0"/>
        <w:widowControl/>
        <w:spacing w:line="284" w:lineRule="exact" w:before="90" w:after="0"/>
        <w:ind w:left="454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[7] </w:t>
      </w:r>
      <w:r>
        <w:tab/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Z. Wu, S. Pan, F. Chen, G. Long, C. Zhang, and P. S. Yu. “A comprehensive survey </w:t>
      </w:r>
      <w:r>
        <w:tab/>
      </w:r>
      <w:r>
        <w:tab/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>on graph neural networks.” In:</w:t>
      </w:r>
      <w:r>
        <w:rPr>
          <w:w w:val="98.52689396251331"/>
          <w:rFonts w:ascii="URWPalladioL" w:hAnsi="URWPalladioL" w:eastAsia="URWPalladioL"/>
          <w:b w:val="0"/>
          <w:i/>
          <w:color w:val="000000"/>
          <w:sz w:val="22"/>
        </w:rPr>
        <w:t xml:space="preserve"> IEEE Transactions on Neural Networks and Learning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Systems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32.1 (2020), pp. 4–24.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21" w:history="1">
          <w:r>
            <w:rPr>
              <w:rStyle w:val="Hyperlink"/>
            </w:rPr>
            <w:t>10.1109/TNNLS.2020.2978386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2" w:val="left"/>
          <w:tab w:pos="928" w:val="left"/>
        </w:tabs>
        <w:autoSpaceDE w:val="0"/>
        <w:widowControl/>
        <w:spacing w:line="286" w:lineRule="exact" w:before="86" w:after="0"/>
        <w:ind w:left="454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[8]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L. Wu, P. Cui, J. Pei, and L. Zhao, eds.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Graph Neural Networks: Foundations, </w:t>
      </w:r>
      <w:r>
        <w:rPr>
          <w:w w:val="98.67651679299094"/>
          <w:rFonts w:ascii="URWPalladioL" w:hAnsi="URWPalladioL" w:eastAsia="URWPalladioL"/>
          <w:b w:val="0"/>
          <w:i/>
          <w:color w:val="000000"/>
          <w:sz w:val="22"/>
        </w:rPr>
        <w:t>Frontiers, and Applications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>. Springer Singapore, 2022.</w:t>
      </w:r>
      <w:r>
        <w:rPr>
          <w:w w:val="98.67651679299094"/>
          <w:rFonts w:ascii="PazoMath" w:hAnsi="PazoMath" w:eastAsia="PazoMath"/>
          <w:b w:val="0"/>
          <w:i w:val="0"/>
          <w:color w:val="000000"/>
          <w:sz w:val="22"/>
        </w:rPr>
        <w:t xml:space="preserve"> isbn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>: 978-981-16-6053-5.</w:t>
      </w:r>
      <w:r>
        <w:rPr>
          <w:w w:val="98.67651679299094"/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 xml:space="preserve">: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22" w:history="1">
          <w:r>
            <w:rPr>
              <w:rStyle w:val="Hyperlink"/>
            </w:rPr>
            <w:t>10.1007/978-981-16-6054-2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2" w:val="left"/>
          <w:tab w:pos="928" w:val="left"/>
        </w:tabs>
        <w:autoSpaceDE w:val="0"/>
        <w:widowControl/>
        <w:spacing w:line="286" w:lineRule="exact" w:before="86" w:after="0"/>
        <w:ind w:left="454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[9]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J. Gilmer, S. S. Schoenholz, P. F. Riley, O. Vinyals, and G. E. Dahl. “Neural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message passing for quantum chemistry.”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International Conference on Machine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Learning (ICML)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2017, pp. 1263–1272.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23" w:history="1">
          <w:r>
            <w:rPr>
              <w:rStyle w:val="Hyperlink"/>
            </w:rPr>
            <w:t>1704.01212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4" w:lineRule="exact" w:before="90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[10] </w:t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P. Veliˇckovi´c, G. Cucurull, A. Casanova, A. Romero, P. Liò, and Y. Bengio. “Graph </w:t>
      </w:r>
      <w:r>
        <w:tab/>
      </w:r>
      <w:r>
        <w:rPr>
          <w:w w:val="98.37704571810636"/>
          <w:rFonts w:ascii="URWPalladioL" w:hAnsi="URWPalladioL" w:eastAsia="URWPalladioL"/>
          <w:b w:val="0"/>
          <w:i w:val="0"/>
          <w:color w:val="000000"/>
          <w:sz w:val="22"/>
        </w:rPr>
        <w:t>attention networks.” In:</w:t>
      </w:r>
      <w:r>
        <w:rPr>
          <w:w w:val="98.37704571810636"/>
          <w:rFonts w:ascii="URWPalladioL" w:hAnsi="URWPalladioL" w:eastAsia="URWPalladioL"/>
          <w:b w:val="0"/>
          <w:i/>
          <w:color w:val="000000"/>
          <w:sz w:val="22"/>
        </w:rPr>
        <w:t xml:space="preserve"> International Conference on Learning Representations (ICLR)</w:t>
      </w:r>
      <w:r>
        <w:rPr>
          <w:w w:val="98.37704571810636"/>
          <w:rFonts w:ascii="URWPalladioL" w:hAnsi="URWPalladioL" w:eastAsia="URWPalladioL"/>
          <w:b w:val="0"/>
          <w:i w:val="0"/>
          <w:color w:val="000000"/>
          <w:sz w:val="22"/>
        </w:rPr>
        <w:t xml:space="preserve">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2018.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24" w:history="1">
          <w:r>
            <w:rPr>
              <w:rStyle w:val="Hyperlink"/>
            </w:rPr>
            <w:t>1710.10903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84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48</w:t>
      </w:r>
    </w:p>
    <w:p>
      <w:pPr>
        <w:sectPr>
          <w:pgSz w:w="11906" w:h="16838"/>
          <w:pgMar w:top="144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56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Bibliography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4513"/>
        <w:gridCol w:w="4513"/>
      </w:tblGrid>
      <w:tr>
        <w:trPr>
          <w:trHeight w:hRule="exact" w:val="722"/>
        </w:trPr>
        <w:tc>
          <w:tcPr>
            <w:tcW w:type="dxa" w:w="45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70" w:after="0"/>
              <w:ind w:left="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[11]</w:t>
            </w:r>
          </w:p>
        </w:tc>
        <w:tc>
          <w:tcPr>
            <w:tcW w:type="dxa" w:w="78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70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C. R. Qi, H. Su, K. Mo, and L. J. Guibas. “PointNet: Deep learning on point sets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928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for 3D classification and segmentation.”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IEEE Conference on Computer Vision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and Pattern Recognition (CVPR)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2017, pp. 652–660.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25" w:history="1">
          <w:r>
            <w:rPr>
              <w:rStyle w:val="Hyperlink"/>
            </w:rPr>
            <w:t>1612.00593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2" w:val="left"/>
          <w:tab w:pos="928" w:val="left"/>
        </w:tabs>
        <w:autoSpaceDE w:val="0"/>
        <w:widowControl/>
        <w:spacing w:line="296" w:lineRule="exact" w:before="70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[12]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M. Abdar, F. Pourpanah, S. Hussain, D. Rezazadegan, L. Liu, M. Ghavamzadeh,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P. Fieguth, X. Cao, A. Khosravi, U. R. Acharya, et al. “A review of uncertainty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quantification in deep learning: Techniques, applications and challenges.” In: </w:t>
      </w:r>
      <w:r>
        <w:tab/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Information Fusion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76 (2021), pp. 243–297.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26" w:history="1">
          <w:r>
            <w:rPr>
              <w:rStyle w:val="Hyperlink"/>
            </w:rPr>
            <w:t>10.1016/j.inffus.2021.05.008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[13]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J. Gawlikowski, C. R. N. Tassi, M. Ali, J. Lee, M. Humt, J. Feng, A. Kruspe,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R. Triebel, P. Jung, R. Roscher, et al. “A survey of uncertainty in deep neural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networks.”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Artificial Intelligence Review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56.Suppl. 1 (2023), pp. 1513–1589.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: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27" w:history="1">
          <w:r>
            <w:rPr>
              <w:rStyle w:val="Hyperlink"/>
            </w:rPr>
            <w:t>10.1007/s10462-023-10562-9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2" w:val="left"/>
          <w:tab w:pos="928" w:val="left"/>
        </w:tabs>
        <w:autoSpaceDE w:val="0"/>
        <w:widowControl/>
        <w:spacing w:line="304" w:lineRule="exact" w:before="60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[14] </w:t>
      </w:r>
      <w:r>
        <w:tab/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D. J. C. MacKay. “A practical Bayesian framework for backpropagation networks.”</w:t>
      </w:r>
      <w:r>
        <w:tab/>
      </w:r>
      <w:r>
        <w:tab/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>In:</w:t>
      </w:r>
      <w:r>
        <w:rPr>
          <w:w w:val="98.4769734469327"/>
          <w:rFonts w:ascii="URWPalladioL" w:hAnsi="URWPalladioL" w:eastAsia="URWPalladioL"/>
          <w:b w:val="0"/>
          <w:i/>
          <w:color w:val="000000"/>
          <w:sz w:val="22"/>
        </w:rPr>
        <w:t xml:space="preserve"> Neural Computation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 xml:space="preserve"> 4.3 (1992), pp. 448–472.</w:t>
      </w:r>
      <w:r>
        <w:rPr>
          <w:w w:val="98.4769734469327"/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28" w:history="1">
          <w:r>
            <w:rPr>
              <w:rStyle w:val="Hyperlink"/>
            </w:rPr>
            <w:t>10.1162/neco.1992.4.3.448</w:t>
          </w:r>
        </w:hyperlink>
      </w:r>
      <w:r>
        <w:rPr>
          <w:w w:val="98.4769734469327"/>
          <w:rFonts w:ascii="URWPalladioL" w:hAnsi="URWPalladioL" w:eastAsia="URWPalladioL"/>
          <w:b w:val="0"/>
          <w:i w:val="0"/>
          <w:color w:val="000000"/>
          <w:sz w:val="22"/>
        </w:rPr>
        <w:t xml:space="preserve">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[15] </w:t>
      </w:r>
      <w:r>
        <w:tab/>
      </w:r>
      <w:r>
        <w:tab/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 xml:space="preserve">Y. Gal and Z. Ghahramani. “Dropout as a Bayesian approximation: Representing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model uncertainty in deep learning.”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International Conference on Machine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Learning (ICML)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2016, pp. 1050–1059.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29" w:history="1">
          <w:r>
            <w:rPr>
              <w:rStyle w:val="Hyperlink"/>
            </w:rPr>
            <w:t>1506.02142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0" w:val="left"/>
          <w:tab w:pos="928" w:val="left"/>
        </w:tabs>
        <w:autoSpaceDE w:val="0"/>
        <w:widowControl/>
        <w:spacing w:line="286" w:lineRule="exact" w:before="76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[16]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A. Y. K. Foong, Y. Li, J. M. Hernández-Lobato, and R. E. Turner. “‘In-Between’</w:t>
      </w:r>
      <w:r>
        <w:tab/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Uncertainty in Bayesian Neural Networks.” In:</w:t>
      </w:r>
      <w:r>
        <w:rPr>
          <w:w w:val="98.1768868186257"/>
          <w:rFonts w:ascii="URWPalladioL" w:hAnsi="URWPalladioL" w:eastAsia="URWPalladioL"/>
          <w:b w:val="0"/>
          <w:i/>
          <w:color w:val="000000"/>
          <w:sz w:val="22"/>
        </w:rPr>
        <w:t xml:space="preserve"> ICML Workshop on Uncertainty and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Robustness in Deep Learning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2019.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30" w:history="1">
          <w:r>
            <w:rPr>
              <w:rStyle w:val="Hyperlink"/>
            </w:rPr>
            <w:t>1906.11537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0" w:val="left"/>
          <w:tab w:pos="928" w:val="left"/>
        </w:tabs>
        <w:autoSpaceDE w:val="0"/>
        <w:widowControl/>
        <w:spacing w:line="284" w:lineRule="exact" w:before="78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[17] </w:t>
      </w:r>
      <w:r>
        <w:tab/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B. Lakshminarayanan, A. Pritzel, and C. Blundell. “Simple and scalable predictive </w:t>
      </w:r>
      <w:r>
        <w:tab/>
      </w:r>
      <w:r>
        <w:tab/>
      </w:r>
      <w:r>
        <w:rPr>
          <w:w w:val="98.67651679299094"/>
          <w:rFonts w:ascii="URWPalladioL" w:hAnsi="URWPalladioL" w:eastAsia="URWPalladioL"/>
          <w:b w:val="0"/>
          <w:i w:val="0"/>
          <w:color w:val="000000"/>
          <w:sz w:val="22"/>
        </w:rPr>
        <w:t>uncertainty estimation using deep ensembles.” In:</w:t>
      </w:r>
      <w:r>
        <w:rPr>
          <w:w w:val="98.67651679299094"/>
          <w:rFonts w:ascii="URWPalladioL" w:hAnsi="URWPalladioL" w:eastAsia="URWPalladioL"/>
          <w:b w:val="0"/>
          <w:i/>
          <w:color w:val="000000"/>
          <w:sz w:val="22"/>
        </w:rPr>
        <w:t xml:space="preserve"> Advances in Neural Information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Processing Systems (NeurIPS)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2017, pp. 6402–6413.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31" w:history="1">
          <w:r>
            <w:rPr>
              <w:rStyle w:val="Hyperlink"/>
            </w:rPr>
            <w:t>1612.01474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8" w:lineRule="exact" w:before="72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[18]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V. Vovk, A. Gammerman, and G. Shafer.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Algorithmic Learning in a Random World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Springer, 2005.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32" w:history="1">
          <w:r>
            <w:rPr>
              <w:rStyle w:val="Hyperlink"/>
            </w:rPr>
            <w:t>10.1007/b106715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2" w:val="left"/>
          <w:tab w:pos="928" w:val="left"/>
        </w:tabs>
        <w:autoSpaceDE w:val="0"/>
        <w:widowControl/>
        <w:spacing w:line="284" w:lineRule="exact" w:before="82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[19] </w:t>
      </w:r>
      <w:r>
        <w:tab/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A. N. Angelopoulos and S. Bates. “Conformal prediction: A gentle introduction.”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Foundations and Trends in Machine Learning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16.4 (2023), pp. 494–591.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: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33" w:history="1">
          <w:r>
            <w:rPr>
              <w:rStyle w:val="Hyperlink"/>
            </w:rPr>
            <w:t>10.1561/2200000101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34" w:history="1">
          <w:r>
            <w:rPr>
              <w:rStyle w:val="Hyperlink"/>
            </w:rPr>
            <w:t>2107.07511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4" w:lineRule="exact" w:before="80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[20] </w:t>
      </w:r>
      <w:r>
        <w:tab/>
      </w:r>
      <w:r>
        <w:rPr>
          <w:w w:val="98.77614107998934"/>
          <w:rFonts w:ascii="URWPalladioL" w:hAnsi="URWPalladioL" w:eastAsia="URWPalladioL"/>
          <w:b w:val="0"/>
          <w:i w:val="0"/>
          <w:color w:val="000000"/>
          <w:sz w:val="22"/>
        </w:rPr>
        <w:t>Y. Romano, E. Patterson, and E. J. Candès. “Conformalized quantile regression.”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Advances in Neural Information Processing Systems (NeurIPS)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2019, pp. 3543–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3553.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35" w:history="1">
          <w:r>
            <w:rPr>
              <w:rStyle w:val="Hyperlink"/>
            </w:rPr>
            <w:t>1905.03222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6" w:lineRule="exact" w:before="76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[21]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R. F. Barber, E. J. Candès, A. Ramdas, and R. J. Tibshirani. “The limits of </w:t>
      </w:r>
      <w:r>
        <w:tab/>
      </w:r>
      <w:r>
        <w:rPr>
          <w:w w:val="98.62667430530895"/>
          <w:rFonts w:ascii="URWPalladioL" w:hAnsi="URWPalladioL" w:eastAsia="URWPalladioL"/>
          <w:b w:val="0"/>
          <w:i w:val="0"/>
          <w:color w:val="000000"/>
          <w:sz w:val="22"/>
        </w:rPr>
        <w:t>distribution-free conditional predictive inference.” In:</w:t>
      </w:r>
      <w:r>
        <w:rPr>
          <w:w w:val="98.62667430530895"/>
          <w:rFonts w:ascii="URWPalladioL" w:hAnsi="URWPalladioL" w:eastAsia="URWPalladioL"/>
          <w:b w:val="0"/>
          <w:i/>
          <w:color w:val="000000"/>
          <w:sz w:val="22"/>
        </w:rPr>
        <w:t xml:space="preserve"> Information and Inference: A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Journal of the IMA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10.2 (2021), pp. 455–482.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36" w:history="1">
          <w:r>
            <w:rPr>
              <w:rStyle w:val="Hyperlink"/>
            </w:rPr>
            <w:t>10.1093/imaiai/iaaa017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0" w:val="left"/>
          <w:tab w:pos="928" w:val="left"/>
        </w:tabs>
        <w:autoSpaceDE w:val="0"/>
        <w:widowControl/>
        <w:spacing w:line="284" w:lineRule="exact" w:before="80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[22] </w:t>
      </w:r>
      <w:r>
        <w:tab/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M. Seitzer, A. Tavakoli, D. Antic, and G. Martius. “On the pitfalls of heteroscedas-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tic uncertainty estimation with probabilistic neural networks.”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International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Conference on Learning Representations (ICLR)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2022.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37" w:history="1">
          <w:r>
            <w:rPr>
              <w:rStyle w:val="Hyperlink"/>
            </w:rPr>
            <w:t>2203.09168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730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49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56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Bibliography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4513"/>
        <w:gridCol w:w="4513"/>
      </w:tblGrid>
      <w:tr>
        <w:trPr>
          <w:trHeight w:hRule="exact" w:val="724"/>
        </w:trPr>
        <w:tc>
          <w:tcPr>
            <w:tcW w:type="dxa" w:w="45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70" w:after="0"/>
              <w:ind w:left="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[23]</w:t>
            </w:r>
          </w:p>
        </w:tc>
        <w:tc>
          <w:tcPr>
            <w:tcW w:type="dxa" w:w="80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72" w:after="0"/>
              <w:ind w:left="0" w:right="0" w:firstLine="0"/>
              <w:jc w:val="center"/>
            </w:pPr>
            <w:r>
              <w:rPr>
                <w:w w:val="98.1768868186257"/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Y. Geifman and R. El-Yaniv. “Selective classification for deep neural networks.” In: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928" w:right="288" w:hanging="8"/>
        <w:jc w:val="left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Advances in Neural Information Processing Systems (NeurIPS)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2017, pp. 4885–4894.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38" w:history="1">
          <w:r>
            <w:rPr>
              <w:rStyle w:val="Hyperlink"/>
            </w:rPr>
            <w:t>1705.08500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12" w:val="left"/>
          <w:tab w:pos="928" w:val="left"/>
        </w:tabs>
        <w:autoSpaceDE w:val="0"/>
        <w:widowControl/>
        <w:spacing w:line="284" w:lineRule="exact" w:before="92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[24] </w:t>
      </w:r>
      <w:r>
        <w:tab/>
      </w:r>
      <w:r>
        <w:tab/>
      </w:r>
      <w:r>
        <w:rPr>
          <w:w w:val="98.52689396251331"/>
          <w:rFonts w:ascii="URWPalladioL" w:hAnsi="URWPalladioL" w:eastAsia="URWPalladioL"/>
          <w:b w:val="0"/>
          <w:i w:val="0"/>
          <w:color w:val="000000"/>
          <w:sz w:val="22"/>
        </w:rPr>
        <w:t xml:space="preserve">V. Kuleshov, N. Fenner, and S. Ermon. “Accurate uncertainties for deep learning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using calibrated regression.”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International Conference on Machine Learning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(ICML)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2018, pp. 2796–2804.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39" w:history="1">
          <w:r>
            <w:rPr>
              <w:rStyle w:val="Hyperlink"/>
            </w:rPr>
            <w:t>1807.00263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0" w:val="left"/>
          <w:tab w:pos="928" w:val="left"/>
        </w:tabs>
        <w:autoSpaceDE w:val="0"/>
        <w:widowControl/>
        <w:spacing w:line="286" w:lineRule="exact" w:before="86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[25]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C. Guo, G. Pleiss, Y. Sun, and K. Q. Weinberger. “On calibration of modern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neural networks.”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International Conference on Machine Learning (ICML)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2017,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pp. 1321–1330.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0" w:history="1">
          <w:r>
            <w:rPr>
              <w:rStyle w:val="Hyperlink"/>
            </w:rPr>
            <w:t>1706.04599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4" w:lineRule="exact" w:before="86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[26]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T. Gneiting and A. E. Raftery. “Strictly proper scoring rules, prediction, and </w:t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estimation.” In:</w:t>
      </w:r>
      <w:r>
        <w:rPr>
          <w:w w:val="98.1768868186257"/>
          <w:rFonts w:ascii="URWPalladioL" w:hAnsi="URWPalladioL" w:eastAsia="URWPalladioL"/>
          <w:b w:val="0"/>
          <w:i/>
          <w:color w:val="000000"/>
          <w:sz w:val="22"/>
        </w:rPr>
        <w:t xml:space="preserve"> Journal of the American Statistical Association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 102.477 (2007), pp. 359–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378.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1" w:history="1">
          <w:r>
            <w:rPr>
              <w:rStyle w:val="Hyperlink"/>
            </w:rPr>
            <w:t>10.1198/016214506000001437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2" w:val="left"/>
          <w:tab w:pos="928" w:val="left"/>
        </w:tabs>
        <w:autoSpaceDE w:val="0"/>
        <w:widowControl/>
        <w:spacing w:line="284" w:lineRule="exact" w:before="90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[27] </w:t>
      </w:r>
      <w:r>
        <w:tab/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A. P. Dawid. “Present position and potential developments: Some personal views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statistical theory the prequential approach.”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Journal of the Royal Statistical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Society: Series A (General)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147.2 (1984), pp. 278–292.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2" w:history="1">
          <w:r>
            <w:rPr>
              <w:rStyle w:val="Hyperlink"/>
            </w:rPr>
            <w:t>10.2307/2981683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6" w:lineRule="exact" w:before="84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[28]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R. L. Winkler. “A decision-theoretic approach to interval estimation.”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Journal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of the American Statistical Association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67.337 (1972), pp. 187–191.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3" w:history="1">
          <w:r>
            <w:rPr>
              <w:rStyle w:val="Hyperlink"/>
            </w:rPr>
            <w:t xml:space="preserve">10.1080/ </w:t>
          </w:r>
        </w:hyperlink>
      </w:r>
      <w:r>
        <w:tab/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3" w:history="1">
          <w:r>
            <w:rPr>
              <w:rStyle w:val="Hyperlink"/>
            </w:rPr>
            <w:t>01621459.1972.10481224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4" w:lineRule="exact" w:before="86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[29]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J. Davis and M. Goadrich. “The relationship between Precision-Recall and ROC </w:t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curves.” In:</w:t>
      </w:r>
      <w:r>
        <w:rPr>
          <w:w w:val="98.1768868186257"/>
          <w:rFonts w:ascii="URWPalladioL" w:hAnsi="URWPalladioL" w:eastAsia="URWPalladioL"/>
          <w:b w:val="0"/>
          <w:i/>
          <w:color w:val="000000"/>
          <w:sz w:val="22"/>
        </w:rPr>
        <w:t xml:space="preserve"> International Conference on Machine Learning (ICML)</w:t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 xml:space="preserve">. 2006, pp. 233–240. </w:t>
      </w:r>
      <w:r>
        <w:tab/>
      </w:r>
      <w:r>
        <w:rPr>
          <w:rFonts w:ascii="PazoMath" w:hAnsi="PazoMath" w:eastAsia="PazoMath"/>
          <w:b w:val="0"/>
          <w:i w:val="0"/>
          <w:color w:val="000000"/>
          <w:sz w:val="22"/>
        </w:rPr>
        <w:t>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4" w:history="1">
          <w:r>
            <w:rPr>
              <w:rStyle w:val="Hyperlink"/>
            </w:rPr>
            <w:t>10.1145/1143844.1143874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0" w:val="left"/>
          <w:tab w:pos="928" w:val="left"/>
        </w:tabs>
        <w:autoSpaceDE w:val="0"/>
        <w:widowControl/>
        <w:spacing w:line="284" w:lineRule="exact" w:before="90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[30] </w:t>
      </w:r>
      <w:r>
        <w:tab/>
      </w:r>
      <w:r>
        <w:tab/>
      </w:r>
      <w:r>
        <w:rPr>
          <w:w w:val="98.82591420953925"/>
          <w:rFonts w:ascii="URWPalladioL" w:hAnsi="URWPalladioL" w:eastAsia="URWPalladioL"/>
          <w:b w:val="0"/>
          <w:i w:val="0"/>
          <w:color w:val="000000"/>
          <w:sz w:val="22"/>
        </w:rPr>
        <w:t xml:space="preserve">T. Saito and M. Rehmsmeier. “The precision-recall plot is more informative than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the ROC plot when evaluating binary classifiers on imbalanced datasets.” In: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PLoS ONE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10.3 (2015), e0118432.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5" w:history="1">
          <w:r>
            <w:rPr>
              <w:rStyle w:val="Hyperlink"/>
            </w:rPr>
            <w:t>10.1371/journal.pone.0118432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4" w:lineRule="exact" w:before="88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[31]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D. Fuchsgruber, R. Schirrmeister, and S. Günnemann. “Energy-based epistemic </w:t>
      </w:r>
      <w:r>
        <w:tab/>
      </w: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uncertainty for graph neural networks.” In:</w:t>
      </w:r>
      <w:r>
        <w:rPr>
          <w:w w:val="98.1768868186257"/>
          <w:rFonts w:ascii="URWPalladioL" w:hAnsi="URWPalladioL" w:eastAsia="URWPalladioL"/>
          <w:b w:val="0"/>
          <w:i/>
          <w:color w:val="000000"/>
          <w:sz w:val="22"/>
        </w:rPr>
        <w:t xml:space="preserve"> Advances in Neural Information Process-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ing Systems (NeurIPS)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2024.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6" w:history="1">
          <w:r>
            <w:rPr>
              <w:rStyle w:val="Hyperlink"/>
            </w:rPr>
            <w:t>2406.04043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20" w:lineRule="exact" w:before="152" w:after="0"/>
        <w:ind w:left="34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[32]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D. Fuchsgruber, T. Wollschläger, B. Charpentier, A. Oroz, and S. Günnemann.</w:t>
      </w:r>
    </w:p>
    <w:p>
      <w:pPr>
        <w:autoSpaceDN w:val="0"/>
        <w:tabs>
          <w:tab w:pos="922" w:val="left"/>
        </w:tabs>
        <w:autoSpaceDE w:val="0"/>
        <w:widowControl/>
        <w:spacing w:line="284" w:lineRule="exact" w:before="0" w:after="0"/>
        <w:ind w:left="894" w:right="288" w:firstLine="0"/>
        <w:jc w:val="left"/>
      </w:pPr>
      <w:r>
        <w:rPr>
          <w:w w:val="98.1768868186257"/>
          <w:rFonts w:ascii="URWPalladioL" w:hAnsi="URWPalladioL" w:eastAsia="URWPalladioL"/>
          <w:b w:val="0"/>
          <w:i w:val="0"/>
          <w:color w:val="000000"/>
          <w:sz w:val="22"/>
        </w:rPr>
        <w:t>“Uncertainty for active learning on graphs.” In:</w:t>
      </w:r>
      <w:r>
        <w:rPr>
          <w:w w:val="98.1768868186257"/>
          <w:rFonts w:ascii="URWPalladioL" w:hAnsi="URWPalladioL" w:eastAsia="URWPalladioL"/>
          <w:b w:val="0"/>
          <w:i/>
          <w:color w:val="000000"/>
          <w:sz w:val="22"/>
        </w:rPr>
        <w:t xml:space="preserve"> International Conference on Machine 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>Learning (ICML)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2024.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7" w:history="1">
          <w:r>
            <w:rPr>
              <w:rStyle w:val="Hyperlink"/>
            </w:rPr>
            <w:t>2405.01462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6" w:lineRule="exact" w:before="86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[33]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H. Laves, S. Ihler, J. F. Fast, L. A. Kahrs, and T. Ortmaier. “Well-calibrated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regression uncertainty in medical imaging with deep learning.”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Medical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Imaging with Deep Learning (MIDL)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Vol. 121. Proceedings of Machine Learning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Research. 2020, pp. 393–412.</w:t>
      </w:r>
    </w:p>
    <w:p>
      <w:pPr>
        <w:autoSpaceDN w:val="0"/>
        <w:autoSpaceDE w:val="0"/>
        <w:widowControl/>
        <w:spacing w:line="218" w:lineRule="exact" w:before="1284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50</w:t>
      </w:r>
    </w:p>
    <w:p>
      <w:pPr>
        <w:sectPr>
          <w:pgSz w:w="11906" w:h="16838"/>
          <w:pgMar w:top="870" w:right="144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18" w:lineRule="exact" w:before="0" w:after="56"/>
        <w:ind w:left="0" w:right="0" w:firstLine="0"/>
        <w:jc w:val="center"/>
      </w:pPr>
      <w:r>
        <w:rPr>
          <w:rFonts w:ascii="URWPalladioL" w:hAnsi="URWPalladioL" w:eastAsia="URWPalladioL"/>
          <w:b w:val="0"/>
          <w:i/>
          <w:color w:val="000000"/>
          <w:sz w:val="22"/>
        </w:rPr>
        <w:t>Bibliography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1.9999999999999" w:type="dxa"/>
      </w:tblPr>
      <w:tblGrid>
        <w:gridCol w:w="4513"/>
        <w:gridCol w:w="4513"/>
      </w:tblGrid>
      <w:tr>
        <w:trPr>
          <w:trHeight w:hRule="exact" w:val="726"/>
        </w:trPr>
        <w:tc>
          <w:tcPr>
            <w:tcW w:type="dxa" w:w="45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70" w:after="0"/>
              <w:ind w:left="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[34]</w:t>
            </w:r>
          </w:p>
        </w:tc>
        <w:tc>
          <w:tcPr>
            <w:tcW w:type="dxa" w:w="78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8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2"/>
              </w:rPr>
              <w:t>Y. Shi, Z. Huang, S. Feng, H. Zhong, W. Wang, and Y. Sun. “Masked label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924" w:right="288" w:hanging="8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prediction: Unified message passing model for semi-supervised classification.”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International Joint Conference on Artificial Intelligence (IJCAI)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2021.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url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8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8" w:history="1">
          <w:r>
            <w:rPr>
              <w:rStyle w:val="Hyperlink"/>
            </w:rPr>
            <w:t>//arxiv.org/abs/2009.03509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18" w:val="left"/>
          <w:tab w:pos="928" w:val="left"/>
        </w:tabs>
        <w:autoSpaceDE w:val="0"/>
        <w:widowControl/>
        <w:spacing w:line="288" w:lineRule="exact" w:before="60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[35]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M.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H. Laves, S. Ihler, K.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-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P. Kortmann, and T. Ortmaier.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Well-calibrated Model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Uncertainty with Temperature Scaling for Dropout Variational Inference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NeurIPS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Bayesian Deep Learning Workshop. 2019.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49" w:history="1">
          <w:r>
            <w:rPr>
              <w:rStyle w:val="Hyperlink"/>
            </w:rPr>
            <w:t>1909.13550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2" w:val="left"/>
          <w:tab w:pos="928" w:val="left"/>
        </w:tabs>
        <w:autoSpaceDE w:val="0"/>
        <w:widowControl/>
        <w:spacing w:line="284" w:lineRule="exact" w:before="66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[36]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D. Levi, L. Gispan, N. Giladi, and E. Fetaya. “Evaluating and calibrating un-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certainty prediction in regression tasks.”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Sensors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22.15 (2022), p. 5540.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: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50" w:history="1">
          <w:r>
            <w:rPr>
              <w:rStyle w:val="Hyperlink"/>
            </w:rPr>
            <w:t>10.3390/s22155540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6" w:lineRule="exact" w:before="68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[37] </w:t>
      </w:r>
      <w:r>
        <w:tab/>
      </w:r>
      <w:r>
        <w:rPr>
          <w:w w:val="98.27701395208184"/>
          <w:rFonts w:ascii="URWPalladioL" w:hAnsi="URWPalladioL" w:eastAsia="URWPalladioL"/>
          <w:b w:val="0"/>
          <w:i w:val="0"/>
          <w:color w:val="000000"/>
          <w:sz w:val="22"/>
        </w:rPr>
        <w:t>I. Loshchilov and F. Hutter. “Decoupled weight decay regularization.” In:</w:t>
      </w:r>
      <w:r>
        <w:rPr>
          <w:w w:val="98.27701395208184"/>
          <w:rFonts w:ascii="URWPalladioL" w:hAnsi="URWPalladioL" w:eastAsia="URWPalladioL"/>
          <w:b w:val="0"/>
          <w:i/>
          <w:color w:val="000000"/>
          <w:sz w:val="22"/>
        </w:rPr>
        <w:t xml:space="preserve"> Interna-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tional Conference on Learning Representations (ICLR)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2019.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51" w:history="1">
          <w:r>
            <w:rPr>
              <w:rStyle w:val="Hyperlink"/>
            </w:rPr>
            <w:t>1711.05101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0" w:val="left"/>
          <w:tab w:pos="922" w:val="left"/>
          <w:tab w:pos="928" w:val="left"/>
        </w:tabs>
        <w:autoSpaceDE w:val="0"/>
        <w:widowControl/>
        <w:spacing w:line="286" w:lineRule="exact" w:before="66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[38] </w:t>
      </w:r>
      <w:r>
        <w:tab/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A. Paszke, S. Gross, F. Massa, A. Lerer, J. Bradbury, G. Chanan, T. Killeen, </w:t>
      </w:r>
      <w:r>
        <w:tab/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Z. Lin, N. Gimelshein, L. Antiga, et al. “PyTorch: An imperative style, high-</w:t>
      </w:r>
      <w:r>
        <w:tab/>
      </w:r>
      <w:r>
        <w:rPr>
          <w:w w:val="98.92539111050692"/>
          <w:rFonts w:ascii="URWPalladioL" w:hAnsi="URWPalladioL" w:eastAsia="URWPalladioL"/>
          <w:b w:val="0"/>
          <w:i w:val="0"/>
          <w:color w:val="000000"/>
          <w:sz w:val="22"/>
        </w:rPr>
        <w:t>performance deep learning library.” In:</w:t>
      </w:r>
      <w:r>
        <w:rPr>
          <w:w w:val="98.92539111050692"/>
          <w:rFonts w:ascii="URWPalladioL" w:hAnsi="URWPalladioL" w:eastAsia="URWPalladioL"/>
          <w:b w:val="0"/>
          <w:i/>
          <w:color w:val="000000"/>
          <w:sz w:val="22"/>
        </w:rPr>
        <w:t xml:space="preserve"> Advances in Neural Information Processing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Systems (NeurIPS)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2019, pp. 8024–8035.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52" w:history="1">
          <w:r>
            <w:rPr>
              <w:rStyle w:val="Hyperlink"/>
            </w:rPr>
            <w:t>1912.01703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6" w:lineRule="exact" w:before="66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[39]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M. Fey and J. E. Lenssen. “Fast graph representation learning with PyTorch </w:t>
      </w:r>
      <w:r>
        <w:tab/>
      </w:r>
      <w:r>
        <w:rPr>
          <w:w w:val="98.57678846879439"/>
          <w:rFonts w:ascii="URWPalladioL" w:hAnsi="URWPalladioL" w:eastAsia="URWPalladioL"/>
          <w:b w:val="0"/>
          <w:i w:val="0"/>
          <w:color w:val="000000"/>
          <w:sz w:val="22"/>
        </w:rPr>
        <w:t>Geometric.” In:</w:t>
      </w:r>
      <w:r>
        <w:rPr>
          <w:w w:val="98.57678846879439"/>
          <w:rFonts w:ascii="URWPalladioL" w:hAnsi="URWPalladioL" w:eastAsia="URWPalladioL"/>
          <w:b w:val="0"/>
          <w:i/>
          <w:color w:val="000000"/>
          <w:sz w:val="22"/>
        </w:rPr>
        <w:t xml:space="preserve"> ICLR Workshop on Representation Learning on Graphs and Manifolds</w:t>
      </w:r>
      <w:r>
        <w:rPr>
          <w:w w:val="98.57678846879439"/>
          <w:rFonts w:ascii="URWPalladioL" w:hAnsi="URWPalladioL" w:eastAsia="URWPalladioL"/>
          <w:b w:val="0"/>
          <w:i w:val="0"/>
          <w:color w:val="000000"/>
          <w:sz w:val="22"/>
        </w:rPr>
        <w:t xml:space="preserve">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2019. arXiv: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53" w:history="1">
          <w:r>
            <w:rPr>
              <w:rStyle w:val="Hyperlink"/>
            </w:rPr>
            <w:t>1903.02428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2" w:val="left"/>
          <w:tab w:pos="928" w:val="left"/>
        </w:tabs>
        <w:autoSpaceDE w:val="0"/>
        <w:widowControl/>
        <w:spacing w:line="318" w:lineRule="exact" w:before="0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[40]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L. Breiman. “Random Forests.”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Machine Learning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45.1 (2001), pp. 5–32.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: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54" w:history="1">
          <w:r>
            <w:rPr>
              <w:rStyle w:val="Hyperlink"/>
            </w:rPr>
            <w:t>10.1023/A:1010933404324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18" w:val="left"/>
          <w:tab w:pos="928" w:val="left"/>
        </w:tabs>
        <w:autoSpaceDE w:val="0"/>
        <w:widowControl/>
        <w:spacing w:line="286" w:lineRule="exact" w:before="66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[41] </w:t>
      </w:r>
      <w:r>
        <w:tab/>
      </w:r>
      <w:r>
        <w:tab/>
      </w:r>
      <w:r>
        <w:rPr>
          <w:w w:val="98.32703850486062"/>
          <w:rFonts w:ascii="URWPalladioL" w:hAnsi="URWPalladioL" w:eastAsia="URWPalladioL"/>
          <w:b w:val="0"/>
          <w:i w:val="0"/>
          <w:color w:val="000000"/>
          <w:sz w:val="22"/>
        </w:rPr>
        <w:t>T. Chen and C. Guestrin. “XGBoost: A scalable tree boosting system.” In:</w:t>
      </w:r>
      <w:r>
        <w:rPr>
          <w:w w:val="98.32703850486062"/>
          <w:rFonts w:ascii="URWPalladioL" w:hAnsi="URWPalladioL" w:eastAsia="URWPalladioL"/>
          <w:b w:val="0"/>
          <w:i/>
          <w:color w:val="000000"/>
          <w:sz w:val="22"/>
        </w:rPr>
        <w:t xml:space="preserve"> Proceed-</w:t>
      </w:r>
      <w:r>
        <w:tab/>
      </w:r>
      <w:r>
        <w:tab/>
      </w:r>
      <w:r>
        <w:rPr>
          <w:w w:val="98.82591420953925"/>
          <w:rFonts w:ascii="URWPalladioL" w:hAnsi="URWPalladioL" w:eastAsia="URWPalladioL"/>
          <w:b w:val="0"/>
          <w:i/>
          <w:color w:val="000000"/>
          <w:sz w:val="22"/>
        </w:rPr>
        <w:t xml:space="preserve">ings of the 22nd ACM SIGKDD International Conference on Knowledge Discovery and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Data Mining (KDD)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 2016, pp. 785–794.</w:t>
      </w:r>
      <w:r>
        <w:rPr>
          <w:rFonts w:ascii="PazoMath" w:hAnsi="PazoMath" w:eastAsia="PazoMath"/>
          <w:b w:val="0"/>
          <w:i w:val="0"/>
          <w:color w:val="000000"/>
          <w:sz w:val="22"/>
        </w:rPr>
        <w:t xml:space="preserve"> doi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:</w:t>
      </w:r>
      <w:r>
        <w:rPr>
          <w:rFonts w:ascii="F409" w:hAnsi="F409" w:eastAsia="F409"/>
          <w:b w:val="0"/>
          <w:i w:val="0"/>
          <w:color w:val="000000"/>
          <w:sz w:val="22"/>
        </w:rPr>
        <w:t xml:space="preserve"> </w:t>
      </w:r>
      <w:r>
        <w:rPr>
          <w:rFonts w:ascii="F409" w:hAnsi="F409" w:eastAsia="F409"/>
          <w:b w:val="0"/>
          <w:i w:val="0"/>
          <w:color w:val="000000"/>
          <w:sz w:val="22"/>
        </w:rPr>
        <w:hyperlink r:id="rId55" w:history="1">
          <w:r>
            <w:rPr>
              <w:rStyle w:val="Hyperlink"/>
            </w:rPr>
            <w:t>10.1145/2939672.2939785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20" w:lineRule="exact" w:before="132" w:after="0"/>
        <w:ind w:left="34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[42]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F. Pedregosa, G. Varoquaux, A. Gramfort, V. Michel, B. Thirion, O. Grisel, M.</w:t>
      </w:r>
    </w:p>
    <w:p>
      <w:pPr>
        <w:autoSpaceDN w:val="0"/>
        <w:autoSpaceDE w:val="0"/>
        <w:widowControl/>
        <w:spacing w:line="220" w:lineRule="exact" w:before="66" w:after="0"/>
        <w:ind w:left="92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Blondel, P. Prettenhofer, R. Weiss, V. Dubourg, J. Vanderplas, A. Passos, D.</w:t>
      </w:r>
    </w:p>
    <w:p>
      <w:pPr>
        <w:autoSpaceDN w:val="0"/>
        <w:autoSpaceDE w:val="0"/>
        <w:widowControl/>
        <w:spacing w:line="284" w:lineRule="exact" w:before="0" w:after="0"/>
        <w:ind w:left="928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Cournapeau, M. Brucher, M. Perrot, and É. Duchesnay. “Scikit-learn: Machine 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Learning in Python.”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Journal of Machine Learning Research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12 (2011), pp. 2825–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2830.</w:t>
      </w:r>
    </w:p>
    <w:p>
      <w:pPr>
        <w:autoSpaceDN w:val="0"/>
        <w:tabs>
          <w:tab w:pos="928" w:val="left"/>
        </w:tabs>
        <w:autoSpaceDE w:val="0"/>
        <w:widowControl/>
        <w:spacing w:line="284" w:lineRule="exact" w:before="70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[43]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L. Grinsztajn, E. Oyallon, and G. Varoquaux. “Why do tree-based models still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outperform deep learning on typical tabular data?”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Advances in Neural Infor-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mation Processing Systems (NeurIPS) Datasets and Benchmarks Track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. 2022. arXiv: </w:t>
      </w:r>
      <w:r>
        <w:tab/>
      </w:r>
      <w:r>
        <w:rPr>
          <w:rFonts w:ascii="F409" w:hAnsi="F409" w:eastAsia="F409"/>
          <w:b w:val="0"/>
          <w:i w:val="0"/>
          <w:color w:val="000000"/>
          <w:sz w:val="22"/>
        </w:rPr>
        <w:hyperlink r:id="rId56" w:history="1">
          <w:r>
            <w:rPr>
              <w:rStyle w:val="Hyperlink"/>
            </w:rPr>
            <w:t>2207.08815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928" w:val="left"/>
        </w:tabs>
        <w:autoSpaceDE w:val="0"/>
        <w:widowControl/>
        <w:spacing w:line="284" w:lineRule="exact" w:before="72" w:after="0"/>
        <w:ind w:left="346" w:right="28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[44] </w:t>
      </w:r>
      <w:r>
        <w:tab/>
      </w:r>
      <w:r>
        <w:rPr>
          <w:w w:val="98.42701825228605"/>
          <w:rFonts w:ascii="URWPalladioL" w:hAnsi="URWPalladioL" w:eastAsia="URWPalladioL"/>
          <w:b w:val="0"/>
          <w:i w:val="0"/>
          <w:color w:val="000000"/>
          <w:sz w:val="22"/>
        </w:rPr>
        <w:t xml:space="preserve">V. Borisov, T. Leemann, K. Seßler, J. Haug, M. Pawelczyk, and G. Kasneci. “Deep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>neural networks and tabular data: A survey.” In:</w:t>
      </w:r>
      <w:r>
        <w:rPr>
          <w:rFonts w:ascii="URWPalladioL" w:hAnsi="URWPalladioL" w:eastAsia="URWPalladioL"/>
          <w:b w:val="0"/>
          <w:i/>
          <w:color w:val="000000"/>
          <w:sz w:val="22"/>
        </w:rPr>
        <w:t xml:space="preserve"> IEEE Transactions on Neural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22"/>
        </w:rPr>
        <w:t>Networks and Learning Systems</w:t>
      </w:r>
      <w:r>
        <w:rPr>
          <w:rFonts w:ascii="URWPalladioL" w:hAnsi="URWPalladioL" w:eastAsia="URWPalladioL"/>
          <w:b w:val="0"/>
          <w:i w:val="0"/>
          <w:color w:val="000000"/>
          <w:sz w:val="22"/>
        </w:rPr>
        <w:t xml:space="preserve"> (2022).</w:t>
      </w:r>
    </w:p>
    <w:p>
      <w:pPr>
        <w:autoSpaceDN w:val="0"/>
        <w:autoSpaceDE w:val="0"/>
        <w:widowControl/>
        <w:spacing w:line="218" w:lineRule="exact" w:before="912" w:after="0"/>
        <w:ind w:left="0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2"/>
        </w:rPr>
        <w:t>51</w:t>
      </w:r>
    </w:p>
    <w:sectPr w:rsidR="00FC693F" w:rsidRPr="0006063C" w:rsidSect="00034616">
      <w:pgSz w:w="11906" w:h="16838"/>
      <w:pgMar w:top="870" w:right="1440" w:bottom="117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doi.org/10.5334/baw" TargetMode="External"/><Relationship Id="rId17" Type="http://schemas.openxmlformats.org/officeDocument/2006/relationships/hyperlink" Target="https://doi.org/10.1073/pnas.082080899" TargetMode="External"/><Relationship Id="rId18" Type="http://schemas.openxmlformats.org/officeDocument/2006/relationships/hyperlink" Target="https://ssrn.com/abstract=5182100" TargetMode="External"/><Relationship Id="rId19" Type="http://schemas.openxmlformats.org/officeDocument/2006/relationships/hyperlink" Target="https://doi.org/10.1109/TNN.2008.2005605" TargetMode="External"/><Relationship Id="rId20" Type="http://schemas.openxmlformats.org/officeDocument/2006/relationships/hyperlink" Target="https://arxiv.org/abs/1609.02907" TargetMode="External"/><Relationship Id="rId21" Type="http://schemas.openxmlformats.org/officeDocument/2006/relationships/hyperlink" Target="https://doi.org/10.1109/TNNLS.2020.2978386" TargetMode="External"/><Relationship Id="rId22" Type="http://schemas.openxmlformats.org/officeDocument/2006/relationships/hyperlink" Target="https://doi.org/10.1007/978-981-16-6054-2" TargetMode="External"/><Relationship Id="rId23" Type="http://schemas.openxmlformats.org/officeDocument/2006/relationships/hyperlink" Target="https://arxiv.org/abs/1704.01212" TargetMode="External"/><Relationship Id="rId24" Type="http://schemas.openxmlformats.org/officeDocument/2006/relationships/hyperlink" Target="https://arxiv.org/abs/1710.10903" TargetMode="External"/><Relationship Id="rId25" Type="http://schemas.openxmlformats.org/officeDocument/2006/relationships/hyperlink" Target="https://arxiv.org/abs/1612.00593" TargetMode="External"/><Relationship Id="rId26" Type="http://schemas.openxmlformats.org/officeDocument/2006/relationships/hyperlink" Target="https://doi.org/10.1016/j.inffus.2021.05.008" TargetMode="External"/><Relationship Id="rId27" Type="http://schemas.openxmlformats.org/officeDocument/2006/relationships/hyperlink" Target="https://doi.org/10.1007/s10462-023-10562-9" TargetMode="External"/><Relationship Id="rId28" Type="http://schemas.openxmlformats.org/officeDocument/2006/relationships/hyperlink" Target="https://doi.org/10.1162/neco.1992.4.3.448" TargetMode="External"/><Relationship Id="rId29" Type="http://schemas.openxmlformats.org/officeDocument/2006/relationships/hyperlink" Target="https://arxiv.org/abs/1506.02142" TargetMode="External"/><Relationship Id="rId30" Type="http://schemas.openxmlformats.org/officeDocument/2006/relationships/hyperlink" Target="https://arxiv.org/abs/1906.11537" TargetMode="External"/><Relationship Id="rId31" Type="http://schemas.openxmlformats.org/officeDocument/2006/relationships/hyperlink" Target="https://arxiv.org/abs/1612.01474" TargetMode="External"/><Relationship Id="rId32" Type="http://schemas.openxmlformats.org/officeDocument/2006/relationships/hyperlink" Target="https://doi.org/10.1007/b106715" TargetMode="External"/><Relationship Id="rId33" Type="http://schemas.openxmlformats.org/officeDocument/2006/relationships/hyperlink" Target="https://doi.org/10.1561/2200000101" TargetMode="External"/><Relationship Id="rId34" Type="http://schemas.openxmlformats.org/officeDocument/2006/relationships/hyperlink" Target="https://arxiv.org/abs/2107.07511" TargetMode="External"/><Relationship Id="rId35" Type="http://schemas.openxmlformats.org/officeDocument/2006/relationships/hyperlink" Target="https://arxiv.org/abs/1905.03222" TargetMode="External"/><Relationship Id="rId36" Type="http://schemas.openxmlformats.org/officeDocument/2006/relationships/hyperlink" Target="https://doi.org/10.1093/imaiai/iaaa017" TargetMode="External"/><Relationship Id="rId37" Type="http://schemas.openxmlformats.org/officeDocument/2006/relationships/hyperlink" Target="https://arxiv.org/abs/2203.09168" TargetMode="External"/><Relationship Id="rId38" Type="http://schemas.openxmlformats.org/officeDocument/2006/relationships/hyperlink" Target="https://arxiv.org/abs/1705.08500" TargetMode="External"/><Relationship Id="rId39" Type="http://schemas.openxmlformats.org/officeDocument/2006/relationships/hyperlink" Target="https://arxiv.org/abs/1807.00263" TargetMode="External"/><Relationship Id="rId40" Type="http://schemas.openxmlformats.org/officeDocument/2006/relationships/hyperlink" Target="https://arxiv.org/abs/1706.04599" TargetMode="External"/><Relationship Id="rId41" Type="http://schemas.openxmlformats.org/officeDocument/2006/relationships/hyperlink" Target="https://doi.org/10.1198/016214506000001437" TargetMode="External"/><Relationship Id="rId42" Type="http://schemas.openxmlformats.org/officeDocument/2006/relationships/hyperlink" Target="https://doi.org/10.2307/2981683" TargetMode="External"/><Relationship Id="rId43" Type="http://schemas.openxmlformats.org/officeDocument/2006/relationships/hyperlink" Target="https://doi.org/10.1080/01621459.1972.10481224" TargetMode="External"/><Relationship Id="rId44" Type="http://schemas.openxmlformats.org/officeDocument/2006/relationships/hyperlink" Target="https://doi.org/10.1145/1143844.1143874" TargetMode="External"/><Relationship Id="rId45" Type="http://schemas.openxmlformats.org/officeDocument/2006/relationships/hyperlink" Target="https://doi.org/10.1371/journal.pone.0118432" TargetMode="External"/><Relationship Id="rId46" Type="http://schemas.openxmlformats.org/officeDocument/2006/relationships/hyperlink" Target="https://arxiv.org/abs/2406.04043" TargetMode="External"/><Relationship Id="rId47" Type="http://schemas.openxmlformats.org/officeDocument/2006/relationships/hyperlink" Target="https://arxiv.org/abs/2405.01462" TargetMode="External"/><Relationship Id="rId48" Type="http://schemas.openxmlformats.org/officeDocument/2006/relationships/hyperlink" Target="https://arxiv.org/abs/2009.03509" TargetMode="External"/><Relationship Id="rId49" Type="http://schemas.openxmlformats.org/officeDocument/2006/relationships/hyperlink" Target="https://arxiv.org/abs/1909.13550" TargetMode="External"/><Relationship Id="rId50" Type="http://schemas.openxmlformats.org/officeDocument/2006/relationships/hyperlink" Target="https://doi.org/10.3390/s22155540" TargetMode="External"/><Relationship Id="rId51" Type="http://schemas.openxmlformats.org/officeDocument/2006/relationships/hyperlink" Target="https://arxiv.org/abs/1711.05101" TargetMode="External"/><Relationship Id="rId52" Type="http://schemas.openxmlformats.org/officeDocument/2006/relationships/hyperlink" Target="https://arxiv.org/abs/1912.01703" TargetMode="External"/><Relationship Id="rId53" Type="http://schemas.openxmlformats.org/officeDocument/2006/relationships/hyperlink" Target="https://arxiv.org/abs/1903.02428" TargetMode="External"/><Relationship Id="rId54" Type="http://schemas.openxmlformats.org/officeDocument/2006/relationships/hyperlink" Target="https://doi.org/10.1023/A:1010933404324" TargetMode="External"/><Relationship Id="rId55" Type="http://schemas.openxmlformats.org/officeDocument/2006/relationships/hyperlink" Target="https://doi.org/10.1145/2939672.2939785" TargetMode="External"/><Relationship Id="rId56" Type="http://schemas.openxmlformats.org/officeDocument/2006/relationships/hyperlink" Target="https://arxiv.org/abs/2207.088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