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45B87" w14:textId="719594BE" w:rsidR="009B230C" w:rsidRDefault="00A240AA" w:rsidP="00A240AA">
      <w:pPr>
        <w:pStyle w:val="Otsikko"/>
      </w:pPr>
      <w:r>
        <w:t>Datakeskukset Suomessa</w:t>
      </w:r>
    </w:p>
    <w:p w14:paraId="7D64FD84" w14:textId="77777777" w:rsidR="00A240AA" w:rsidRDefault="00A240AA" w:rsidP="00A240AA"/>
    <w:p w14:paraId="19BC3D7C" w14:textId="1367CF3A" w:rsidR="00A240AA" w:rsidRPr="00A240AA" w:rsidRDefault="00D24EC6" w:rsidP="00A240AA">
      <w:r>
        <w:rPr>
          <w:noProof/>
        </w:rPr>
        <w:lastRenderedPageBreak/>
        <w:drawing>
          <wp:inline distT="0" distB="0" distL="0" distR="0" wp14:anchorId="2EDB720B" wp14:editId="64E142A3">
            <wp:extent cx="6115685" cy="4323080"/>
            <wp:effectExtent l="0" t="0" r="0" b="0"/>
            <wp:docPr id="2044555232"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15685" cy="4323080"/>
                    </a:xfrm>
                    <a:prstGeom prst="rect">
                      <a:avLst/>
                    </a:prstGeom>
                    <a:noFill/>
                    <a:ln>
                      <a:noFill/>
                    </a:ln>
                  </pic:spPr>
                </pic:pic>
              </a:graphicData>
            </a:graphic>
          </wp:inline>
        </w:drawing>
      </w:r>
      <w:r w:rsidR="006C5787">
        <w:rPr>
          <w:noProof/>
        </w:rPr>
        <w:lastRenderedPageBreak/>
        <w:drawing>
          <wp:inline distT="0" distB="0" distL="0" distR="0" wp14:anchorId="01D01DA7" wp14:editId="7D6F2224">
            <wp:extent cx="6101080" cy="5742305"/>
            <wp:effectExtent l="0" t="0" r="0" b="0"/>
            <wp:docPr id="212427699"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1080" cy="5742305"/>
                    </a:xfrm>
                    <a:prstGeom prst="rect">
                      <a:avLst/>
                    </a:prstGeom>
                    <a:noFill/>
                    <a:ln>
                      <a:noFill/>
                    </a:ln>
                  </pic:spPr>
                </pic:pic>
              </a:graphicData>
            </a:graphic>
          </wp:inline>
        </w:drawing>
      </w:r>
      <w:r w:rsidR="00BF70A5">
        <w:rPr>
          <w:noProof/>
        </w:rPr>
        <w:lastRenderedPageBreak/>
        <w:drawing>
          <wp:inline distT="0" distB="0" distL="0" distR="0" wp14:anchorId="4611CB69" wp14:editId="7919A75F">
            <wp:extent cx="6115685" cy="4323080"/>
            <wp:effectExtent l="0" t="0" r="0" b="0"/>
            <wp:docPr id="931736348"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685" cy="4323080"/>
                    </a:xfrm>
                    <a:prstGeom prst="rect">
                      <a:avLst/>
                    </a:prstGeom>
                    <a:noFill/>
                    <a:ln>
                      <a:noFill/>
                    </a:ln>
                  </pic:spPr>
                </pic:pic>
              </a:graphicData>
            </a:graphic>
          </wp:inline>
        </w:drawing>
      </w:r>
    </w:p>
    <w:p w14:paraId="561F1B71" w14:textId="77777777" w:rsidR="00D42FBB" w:rsidRDefault="004166BD">
      <w:r>
        <w:rPr>
          <w:i/>
          <w:sz w:val="18"/>
        </w:rPr>
        <w:t>Kuvat vasemmalta oikealle: (1) tasapainotettu hyöty/riski-yhteenvetotaulukko, (2) alkuperäinen, korjaamaton BKT-vaikutusinfografiikka, (3) korjattu BKT-vaikutuskaavio.</w:t>
      </w:r>
    </w:p>
    <w:p w14:paraId="026CB471" w14:textId="77777777" w:rsidR="00D42FBB" w:rsidRDefault="004166BD">
      <w:r>
        <w:rPr>
          <w:b/>
          <w:sz w:val="28"/>
        </w:rPr>
        <w:t>Sisällysluettelo</w:t>
      </w:r>
    </w:p>
    <w:p w14:paraId="1F53063B" w14:textId="77777777" w:rsidR="00D42FBB" w:rsidRDefault="004166BD">
      <w:r>
        <w:fldChar w:fldCharType="begin"/>
      </w:r>
      <w:r>
        <w:instrText xml:space="preserve"> TOC \o "1-3" \h \z \u </w:instrText>
      </w:r>
      <w:r>
        <w:fldChar w:fldCharType="separate"/>
      </w:r>
      <w:r>
        <w:rPr>
          <w:i/>
        </w:rPr>
        <w:t>Sisällysluettelo päivittyy automaattisesti Wordissa: napsauta kenttää hiiren kakkospainikkeella ja valitse "Päivitä kenttä" (tai paina F9).</w:t>
      </w:r>
      <w:r>
        <w:fldChar w:fldCharType="end"/>
      </w:r>
    </w:p>
    <w:p w14:paraId="4F22BB3C" w14:textId="77777777" w:rsidR="00D42FBB" w:rsidRDefault="00D42FBB"/>
    <w:p w14:paraId="189E29AB" w14:textId="4E9A7938" w:rsidR="00A240AA" w:rsidRDefault="00B4478D" w:rsidP="00B4478D">
      <w:pPr>
        <w:pStyle w:val="Otsikko1"/>
      </w:pPr>
      <w:r>
        <w:t>Investoinnit</w:t>
      </w:r>
    </w:p>
    <w:p w14:paraId="7E12CB9C" w14:textId="77777777" w:rsidR="007815B3" w:rsidRDefault="007815B3" w:rsidP="007815B3"/>
    <w:p w14:paraId="2E45D1B5" w14:textId="5A2088A2" w:rsidR="007815B3" w:rsidRPr="007815B3" w:rsidRDefault="00056207" w:rsidP="007815B3">
      <w:r w:rsidRPr="00056207">
        <w:rPr>
          <w:b/>
          <w:bCs/>
        </w:rPr>
        <w:t>Kaksi vaikutuskanavaa.</w:t>
      </w:r>
      <w:r w:rsidRPr="00056207">
        <w:t xml:space="preserve"> Ensimmäinen on Euroopan omien datakeskusten rakentaminen ja varustelu. Laskentalaitteisto tuodaan pääosin muualta, mutta rakennus- ja asennustyö tuottaa kotimaista arvonlisää. Toinen kanava on kasvava vienti tekoälyyn liittyvistä tuotteista, kuten litografialaitteista, elektroniikasta ja sähkö- ja verkkolaitteista.</w:t>
      </w:r>
      <w:r>
        <w:rPr>
          <w:rStyle w:val="Alaviitteenviite"/>
        </w:rPr>
        <w:footnoteReference w:id="1"/>
      </w:r>
    </w:p>
    <w:p w14:paraId="36E5C5F3" w14:textId="77777777" w:rsidR="001F7856" w:rsidRDefault="001F7856" w:rsidP="001F7856"/>
    <w:p w14:paraId="049CC96D" w14:textId="5A7D6A56" w:rsidR="001F7856" w:rsidRDefault="00D76629" w:rsidP="001F7856">
      <w:r w:rsidRPr="00D76629">
        <w:t xml:space="preserve">Datakeskusinvestoinnin pääomarakenteesta on saatavilla sekä viranomaisten talousvaikutusselvityksiä että toimialan markkinatutkimuksia, ja ne osoittavat yhdenmukaisesti IT-laitteiston muodostavan selvästi rakentamista suuremman osan kokonaisinvestoinnista. Virginian osavaltion JLARC-selvitys arvioi jakauman olevan 6 % maan hankintaa, 6 % muuta, 20 % rakentamista ja 68 % tietokone- ja mekaanista laitteistoa, ja Nebraskan vastaava selvitys päätyi lukuun, jonka mukaan 32 % </w:t>
      </w:r>
      <w:r w:rsidR="0018357A">
        <w:t>investoinneista</w:t>
      </w:r>
      <w:r w:rsidRPr="00D76629">
        <w:t xml:space="preserve"> kohdistuu rakentamiseen ja 68 % laitteistoon. Tuoreempi, erityisesti tekoäly- ja </w:t>
      </w:r>
      <w:proofErr w:type="spellStart"/>
      <w:r w:rsidRPr="00D76629">
        <w:t>hyperscale</w:t>
      </w:r>
      <w:proofErr w:type="spellEnd"/>
      <w:r w:rsidRPr="00D76629">
        <w:t>-painotteinen markkinadata</w:t>
      </w:r>
      <w:r w:rsidR="00207E64">
        <w:t xml:space="preserve">n perusteella </w:t>
      </w:r>
      <w:r w:rsidRPr="00D76629">
        <w:t>laitteisto</w:t>
      </w:r>
      <w:r w:rsidR="00207E64">
        <w:t>jen</w:t>
      </w:r>
      <w:r w:rsidRPr="00D76629">
        <w:t xml:space="preserve"> osuu</w:t>
      </w:r>
      <w:r w:rsidR="00207E64">
        <w:t>s näyttäisi</w:t>
      </w:r>
      <w:r w:rsidR="00364F74">
        <w:t xml:space="preserve"> olevan</w:t>
      </w:r>
      <w:r w:rsidRPr="00D76629">
        <w:t xml:space="preserve"> vielä suuremp</w:t>
      </w:r>
      <w:r w:rsidR="00207E64">
        <w:t>i</w:t>
      </w:r>
      <w:r w:rsidR="00906691">
        <w:t>,</w:t>
      </w:r>
      <w:r w:rsidRPr="00D76629">
        <w:t xml:space="preserve"> </w:t>
      </w:r>
      <w:r w:rsidRPr="00D76629">
        <w:lastRenderedPageBreak/>
        <w:t xml:space="preserve">vuonna 2024 78 % datakeskusalan pääomamenoista kohdistui IT-infrastruktuuriin, josta palvelimet yksin veivät 61 %, verkkolaitteet 10 % ja tallennusjärjestelmät 6,5 %, kun taas kiinteistöinfrastruktuurin osuus jäi </w:t>
      </w:r>
      <w:r w:rsidR="00906691">
        <w:t xml:space="preserve">vain </w:t>
      </w:r>
      <w:r w:rsidRPr="00D76629">
        <w:t>12 %:iin.</w:t>
      </w:r>
      <w:r w:rsidR="00CA5072">
        <w:rPr>
          <w:rStyle w:val="Alaviitteenviite"/>
        </w:rPr>
        <w:footnoteReference w:id="2"/>
      </w:r>
    </w:p>
    <w:p w14:paraId="14E71A75" w14:textId="77777777" w:rsidR="00847C43" w:rsidRDefault="00847C43" w:rsidP="001F7856"/>
    <w:p w14:paraId="622A6A1C" w14:textId="0FEB7D55" w:rsidR="00847C43" w:rsidRDefault="00847C43" w:rsidP="001F7856">
      <w:r w:rsidRPr="00847C43">
        <w:t>Ero näiden lukujen välillä selittyy pääosin laskentateknologian muutoksella</w:t>
      </w:r>
      <w:r w:rsidR="00B60AEE">
        <w:t xml:space="preserve">. </w:t>
      </w:r>
      <w:r>
        <w:t>M</w:t>
      </w:r>
      <w:r w:rsidRPr="00847C43">
        <w:t xml:space="preserve">itä enemmän datakeskus on suunnattu tekoälylaskentaan, sitä suurempi on kalliiden GPU-kiihdyttimien osuus ja sitä pienempi rakentamisen suhteellinen osuus. Rakentamisen sisällä puolestaan sähkö- ja mekaaniset (LVIS-tyyppiset) järjestelmät muodostavat yli 70 % rakennuskustannuksesta konesalin </w:t>
      </w:r>
      <w:proofErr w:type="gramStart"/>
      <w:r w:rsidR="00132A28">
        <w:t>tyypistä</w:t>
      </w:r>
      <w:r w:rsidRPr="00847C43">
        <w:t xml:space="preserve"> riippuen</w:t>
      </w:r>
      <w:proofErr w:type="gramEnd"/>
      <w:r w:rsidRPr="00847C43">
        <w:t>, mikä tarkoittaa, että rakentamisenkin osuudesta suurin osa on itse asiassa tekniikkaa eikä perinteistä rakennustyötä.</w:t>
      </w:r>
    </w:p>
    <w:p w14:paraId="1848FF83" w14:textId="77777777" w:rsidR="00F93F9B" w:rsidRDefault="00F93F9B" w:rsidP="001F7856"/>
    <w:p w14:paraId="7B413BDA" w14:textId="3AAB8A8F" w:rsidR="00F93F9B" w:rsidRDefault="00F93F9B" w:rsidP="001F7856">
      <w:r w:rsidRPr="00F93F9B">
        <w:t xml:space="preserve">Kun Googlen ilmoittamasta kokonaisinvestoinnista (joka sisältää palvelinraudat ja verkkolaitteet) eritellään suorat kotimaiset rakennus- ja asennustyökustannukset (työtunnit ja työvoimakustannukset työmaalla), suoran paikallisen työvoiman osuus jää </w:t>
      </w:r>
      <w:r w:rsidRPr="00F93F9B">
        <w:rPr>
          <w:b/>
          <w:bCs/>
        </w:rPr>
        <w:t>alle 10 prosenttiin kokonaisbudjetista</w:t>
      </w:r>
      <w:r w:rsidRPr="00F93F9B">
        <w:t xml:space="preserve">. Valtaosa </w:t>
      </w:r>
      <w:r w:rsidR="009C68F6">
        <w:t>investoinnista</w:t>
      </w:r>
      <w:r w:rsidRPr="00F93F9B">
        <w:t xml:space="preserve"> valuu IT-laitteisiin, joita ei valmisteta eikä asenneta massoittain paikallisen rakennusurakoinnin toimesta.</w:t>
      </w:r>
      <w:r w:rsidR="009C68F6">
        <w:rPr>
          <w:rStyle w:val="Alaviitteenviite"/>
        </w:rPr>
        <w:footnoteReference w:id="3"/>
      </w:r>
    </w:p>
    <w:p w14:paraId="44CB454C" w14:textId="77777777" w:rsidR="00BB6ADF" w:rsidRDefault="00BB6ADF" w:rsidP="001F7856"/>
    <w:tbl>
      <w:tblPr>
        <w:tblW w:w="6880" w:type="dxa"/>
        <w:tblCellMar>
          <w:left w:w="70" w:type="dxa"/>
          <w:right w:w="70" w:type="dxa"/>
        </w:tblCellMar>
        <w:tblLook w:val="04A0" w:firstRow="1" w:lastRow="0" w:firstColumn="1" w:lastColumn="0" w:noHBand="0" w:noVBand="1"/>
      </w:tblPr>
      <w:tblGrid>
        <w:gridCol w:w="1640"/>
        <w:gridCol w:w="1640"/>
        <w:gridCol w:w="1640"/>
        <w:gridCol w:w="1960"/>
      </w:tblGrid>
      <w:tr w:rsidR="004C1C69" w:rsidRPr="004C1C69" w14:paraId="4215CAEB" w14:textId="77777777" w:rsidTr="004C1C69">
        <w:trPr>
          <w:trHeight w:val="1800"/>
        </w:trPr>
        <w:tc>
          <w:tcPr>
            <w:tcW w:w="1640" w:type="dxa"/>
            <w:tcBorders>
              <w:top w:val="single" w:sz="4" w:space="0" w:color="44B3E1"/>
              <w:left w:val="single" w:sz="4" w:space="0" w:color="44B3E1"/>
              <w:bottom w:val="single" w:sz="4" w:space="0" w:color="44B3E1"/>
              <w:right w:val="nil"/>
            </w:tcBorders>
            <w:shd w:val="clear" w:color="156082" w:fill="156082"/>
            <w:vAlign w:val="center"/>
            <w:hideMark/>
          </w:tcPr>
          <w:p w14:paraId="3178EC7A" w14:textId="77777777" w:rsidR="004C1C69" w:rsidRPr="004C1C69" w:rsidRDefault="004C1C69" w:rsidP="004C1C69">
            <w:pPr>
              <w:rPr>
                <w:rFonts w:ascii="Aptos Narrow" w:hAnsi="Aptos Narrow"/>
                <w:b/>
                <w:bCs/>
                <w:color w:val="FFFFFF"/>
                <w:sz w:val="22"/>
                <w:szCs w:val="22"/>
                <w:lang w:eastAsia="fi-FI"/>
              </w:rPr>
            </w:pPr>
            <w:r w:rsidRPr="004C1C69">
              <w:rPr>
                <w:rFonts w:ascii="Aptos Narrow" w:hAnsi="Aptos Narrow"/>
                <w:b/>
                <w:bCs/>
                <w:color w:val="FFFFFF"/>
                <w:sz w:val="22"/>
                <w:szCs w:val="22"/>
                <w:lang w:eastAsia="fi-FI"/>
              </w:rPr>
              <w:t>Lähde</w:t>
            </w:r>
          </w:p>
        </w:tc>
        <w:tc>
          <w:tcPr>
            <w:tcW w:w="1640" w:type="dxa"/>
            <w:tcBorders>
              <w:top w:val="single" w:sz="4" w:space="0" w:color="44B3E1"/>
              <w:left w:val="nil"/>
              <w:bottom w:val="single" w:sz="4" w:space="0" w:color="44B3E1"/>
              <w:right w:val="single" w:sz="4" w:space="0" w:color="44B3E1"/>
            </w:tcBorders>
            <w:shd w:val="clear" w:color="156082" w:fill="156082"/>
            <w:vAlign w:val="center"/>
            <w:hideMark/>
          </w:tcPr>
          <w:p w14:paraId="0714C0CB" w14:textId="77777777" w:rsidR="004C1C69" w:rsidRPr="004C1C69" w:rsidRDefault="004C1C69" w:rsidP="004C1C69">
            <w:pPr>
              <w:rPr>
                <w:rFonts w:ascii="Aptos Narrow" w:hAnsi="Aptos Narrow"/>
                <w:b/>
                <w:bCs/>
                <w:color w:val="FFFFFF"/>
                <w:sz w:val="22"/>
                <w:szCs w:val="22"/>
                <w:lang w:eastAsia="fi-FI"/>
              </w:rPr>
            </w:pPr>
            <w:r w:rsidRPr="004C1C69">
              <w:rPr>
                <w:rFonts w:ascii="Aptos Narrow" w:hAnsi="Aptos Narrow"/>
                <w:b/>
                <w:bCs/>
                <w:color w:val="FFFFFF"/>
                <w:sz w:val="22"/>
                <w:szCs w:val="22"/>
                <w:lang w:eastAsia="fi-FI"/>
              </w:rPr>
              <w:t>Rakentaminen (rakennus + tekninen infra)</w:t>
            </w:r>
          </w:p>
        </w:tc>
        <w:tc>
          <w:tcPr>
            <w:tcW w:w="1640" w:type="dxa"/>
            <w:tcBorders>
              <w:top w:val="single" w:sz="4" w:space="0" w:color="44B3E1"/>
              <w:left w:val="nil"/>
              <w:bottom w:val="single" w:sz="4" w:space="0" w:color="44B3E1"/>
              <w:right w:val="nil"/>
            </w:tcBorders>
            <w:shd w:val="clear" w:color="156082" w:fill="156082"/>
            <w:vAlign w:val="center"/>
            <w:hideMark/>
          </w:tcPr>
          <w:p w14:paraId="4234CF43" w14:textId="77777777" w:rsidR="004C1C69" w:rsidRPr="004C1C69" w:rsidRDefault="004C1C69" w:rsidP="004C1C69">
            <w:pPr>
              <w:rPr>
                <w:rFonts w:ascii="Aptos Narrow" w:hAnsi="Aptos Narrow"/>
                <w:b/>
                <w:bCs/>
                <w:color w:val="FFFFFF"/>
                <w:sz w:val="22"/>
                <w:szCs w:val="22"/>
                <w:lang w:eastAsia="fi-FI"/>
              </w:rPr>
            </w:pPr>
            <w:r w:rsidRPr="004C1C69">
              <w:rPr>
                <w:rFonts w:ascii="Aptos Narrow" w:hAnsi="Aptos Narrow"/>
                <w:b/>
                <w:bCs/>
                <w:color w:val="FFFFFF"/>
                <w:sz w:val="22"/>
                <w:szCs w:val="22"/>
                <w:lang w:eastAsia="fi-FI"/>
              </w:rPr>
              <w:t>Koneet ja laitteet (IT + LVIS-laitteisto)</w:t>
            </w:r>
          </w:p>
        </w:tc>
        <w:tc>
          <w:tcPr>
            <w:tcW w:w="1960" w:type="dxa"/>
            <w:tcBorders>
              <w:top w:val="single" w:sz="4" w:space="0" w:color="44B3E1"/>
              <w:left w:val="nil"/>
              <w:bottom w:val="single" w:sz="4" w:space="0" w:color="44B3E1"/>
              <w:right w:val="single" w:sz="4" w:space="0" w:color="44B3E1"/>
            </w:tcBorders>
            <w:shd w:val="clear" w:color="156082" w:fill="156082"/>
            <w:vAlign w:val="center"/>
            <w:hideMark/>
          </w:tcPr>
          <w:p w14:paraId="7F001AEC" w14:textId="77777777" w:rsidR="004C1C69" w:rsidRPr="004C1C69" w:rsidRDefault="004C1C69" w:rsidP="004C1C69">
            <w:pPr>
              <w:rPr>
                <w:rFonts w:ascii="Aptos Narrow" w:hAnsi="Aptos Narrow"/>
                <w:b/>
                <w:bCs/>
                <w:color w:val="FFFFFF"/>
                <w:sz w:val="22"/>
                <w:szCs w:val="22"/>
                <w:lang w:eastAsia="fi-FI"/>
              </w:rPr>
            </w:pPr>
            <w:r w:rsidRPr="004C1C69">
              <w:rPr>
                <w:rFonts w:ascii="Aptos Narrow" w:hAnsi="Aptos Narrow"/>
                <w:b/>
                <w:bCs/>
                <w:color w:val="FFFFFF"/>
                <w:sz w:val="22"/>
                <w:szCs w:val="22"/>
                <w:lang w:eastAsia="fi-FI"/>
              </w:rPr>
              <w:t>Huomio</w:t>
            </w:r>
          </w:p>
        </w:tc>
      </w:tr>
      <w:tr w:rsidR="004C1C69" w:rsidRPr="004C1C69" w14:paraId="629E3375" w14:textId="77777777" w:rsidTr="004C1C69">
        <w:trPr>
          <w:trHeight w:val="1072"/>
        </w:trPr>
        <w:tc>
          <w:tcPr>
            <w:tcW w:w="1640" w:type="dxa"/>
            <w:tcBorders>
              <w:top w:val="nil"/>
              <w:left w:val="single" w:sz="4" w:space="0" w:color="44B3E1"/>
              <w:bottom w:val="single" w:sz="4" w:space="0" w:color="44B3E1"/>
              <w:right w:val="nil"/>
            </w:tcBorders>
            <w:shd w:val="clear" w:color="C0E6F5" w:fill="C0E6F5"/>
            <w:vAlign w:val="center"/>
            <w:hideMark/>
          </w:tcPr>
          <w:p w14:paraId="59166486" w14:textId="77777777" w:rsidR="004C1C69" w:rsidRPr="004C1C69" w:rsidRDefault="004C1C69" w:rsidP="004C1C69">
            <w:pPr>
              <w:rPr>
                <w:rFonts w:ascii="Aptos Narrow" w:hAnsi="Aptos Narrow"/>
                <w:color w:val="000000"/>
                <w:sz w:val="22"/>
                <w:szCs w:val="22"/>
                <w:lang w:eastAsia="fi-FI"/>
              </w:rPr>
            </w:pPr>
            <w:r w:rsidRPr="004C1C69">
              <w:rPr>
                <w:rFonts w:ascii="Aptos Narrow" w:hAnsi="Aptos Narrow"/>
                <w:color w:val="000000"/>
                <w:sz w:val="22"/>
                <w:szCs w:val="22"/>
                <w:lang w:eastAsia="fi-FI"/>
              </w:rPr>
              <w:t>JLARC (Virginia)</w:t>
            </w:r>
          </w:p>
        </w:tc>
        <w:tc>
          <w:tcPr>
            <w:tcW w:w="1640" w:type="dxa"/>
            <w:tcBorders>
              <w:top w:val="nil"/>
              <w:left w:val="nil"/>
              <w:bottom w:val="single" w:sz="4" w:space="0" w:color="44B3E1"/>
              <w:right w:val="single" w:sz="4" w:space="0" w:color="44B3E1"/>
            </w:tcBorders>
            <w:shd w:val="clear" w:color="C0E6F5" w:fill="C0E6F5"/>
            <w:vAlign w:val="center"/>
            <w:hideMark/>
          </w:tcPr>
          <w:p w14:paraId="4B1B49A3"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~32 % (20 % rakentaminen + 6 % maa + 6 % muu)</w:t>
            </w:r>
          </w:p>
        </w:tc>
        <w:tc>
          <w:tcPr>
            <w:tcW w:w="1640" w:type="dxa"/>
            <w:tcBorders>
              <w:top w:val="nil"/>
              <w:left w:val="nil"/>
              <w:bottom w:val="single" w:sz="4" w:space="0" w:color="44B3E1"/>
              <w:right w:val="nil"/>
            </w:tcBorders>
            <w:shd w:val="clear" w:color="C0E6F5" w:fill="C0E6F5"/>
            <w:vAlign w:val="center"/>
            <w:hideMark/>
          </w:tcPr>
          <w:p w14:paraId="70E4CDB3"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~68 %</w:t>
            </w:r>
          </w:p>
        </w:tc>
        <w:tc>
          <w:tcPr>
            <w:tcW w:w="1960" w:type="dxa"/>
            <w:tcBorders>
              <w:top w:val="nil"/>
              <w:left w:val="nil"/>
              <w:bottom w:val="single" w:sz="4" w:space="0" w:color="44B3E1"/>
              <w:right w:val="single" w:sz="4" w:space="0" w:color="44B3E1"/>
            </w:tcBorders>
            <w:shd w:val="clear" w:color="C0E6F5" w:fill="C0E6F5"/>
            <w:vAlign w:val="center"/>
            <w:hideMark/>
          </w:tcPr>
          <w:p w14:paraId="14B443EA"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Yleismalli, ei erityisesti AI-painotteinen</w:t>
            </w:r>
          </w:p>
        </w:tc>
      </w:tr>
      <w:tr w:rsidR="004C1C69" w:rsidRPr="004C1C69" w14:paraId="700618DC" w14:textId="77777777" w:rsidTr="004C1C69">
        <w:trPr>
          <w:trHeight w:val="937"/>
        </w:trPr>
        <w:tc>
          <w:tcPr>
            <w:tcW w:w="1640" w:type="dxa"/>
            <w:tcBorders>
              <w:top w:val="nil"/>
              <w:left w:val="single" w:sz="4" w:space="0" w:color="44B3E1"/>
              <w:bottom w:val="single" w:sz="4" w:space="0" w:color="44B3E1"/>
              <w:right w:val="nil"/>
            </w:tcBorders>
            <w:vAlign w:val="center"/>
            <w:hideMark/>
          </w:tcPr>
          <w:p w14:paraId="6A290C55" w14:textId="77777777" w:rsidR="004C1C69" w:rsidRPr="004C1C69" w:rsidRDefault="004C1C69" w:rsidP="004C1C69">
            <w:pPr>
              <w:rPr>
                <w:rFonts w:ascii="Aptos Narrow" w:hAnsi="Aptos Narrow"/>
                <w:color w:val="000000"/>
                <w:sz w:val="22"/>
                <w:szCs w:val="22"/>
                <w:lang w:eastAsia="fi-FI"/>
              </w:rPr>
            </w:pPr>
            <w:proofErr w:type="spellStart"/>
            <w:r w:rsidRPr="004C1C69">
              <w:rPr>
                <w:rFonts w:ascii="Aptos Narrow" w:hAnsi="Aptos Narrow"/>
                <w:color w:val="000000"/>
                <w:sz w:val="22"/>
                <w:szCs w:val="22"/>
                <w:lang w:eastAsia="fi-FI"/>
              </w:rPr>
              <w:t>Mangum</w:t>
            </w:r>
            <w:proofErr w:type="spellEnd"/>
            <w:r w:rsidRPr="004C1C69">
              <w:rPr>
                <w:rFonts w:ascii="Aptos Narrow" w:hAnsi="Aptos Narrow"/>
                <w:color w:val="000000"/>
                <w:sz w:val="22"/>
                <w:szCs w:val="22"/>
                <w:lang w:eastAsia="fi-FI"/>
              </w:rPr>
              <w:t xml:space="preserve"> </w:t>
            </w:r>
            <w:proofErr w:type="spellStart"/>
            <w:r w:rsidRPr="004C1C69">
              <w:rPr>
                <w:rFonts w:ascii="Aptos Narrow" w:hAnsi="Aptos Narrow"/>
                <w:color w:val="000000"/>
                <w:sz w:val="22"/>
                <w:szCs w:val="22"/>
                <w:lang w:eastAsia="fi-FI"/>
              </w:rPr>
              <w:t>Economics</w:t>
            </w:r>
            <w:proofErr w:type="spellEnd"/>
            <w:r w:rsidRPr="004C1C69">
              <w:rPr>
                <w:rFonts w:ascii="Aptos Narrow" w:hAnsi="Aptos Narrow"/>
                <w:color w:val="000000"/>
                <w:sz w:val="22"/>
                <w:szCs w:val="22"/>
                <w:lang w:eastAsia="fi-FI"/>
              </w:rPr>
              <w:t xml:space="preserve"> (Nebraska)</w:t>
            </w:r>
          </w:p>
        </w:tc>
        <w:tc>
          <w:tcPr>
            <w:tcW w:w="1640" w:type="dxa"/>
            <w:tcBorders>
              <w:top w:val="nil"/>
              <w:left w:val="nil"/>
              <w:bottom w:val="single" w:sz="4" w:space="0" w:color="44B3E1"/>
              <w:right w:val="single" w:sz="4" w:space="0" w:color="44B3E1"/>
            </w:tcBorders>
            <w:vAlign w:val="center"/>
            <w:hideMark/>
          </w:tcPr>
          <w:p w14:paraId="43CB0A3F"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0,32</w:t>
            </w:r>
          </w:p>
        </w:tc>
        <w:tc>
          <w:tcPr>
            <w:tcW w:w="1640" w:type="dxa"/>
            <w:tcBorders>
              <w:top w:val="nil"/>
              <w:left w:val="nil"/>
              <w:bottom w:val="single" w:sz="4" w:space="0" w:color="44B3E1"/>
              <w:right w:val="nil"/>
            </w:tcBorders>
            <w:vAlign w:val="center"/>
            <w:hideMark/>
          </w:tcPr>
          <w:p w14:paraId="5F54E5E8"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0,68</w:t>
            </w:r>
          </w:p>
        </w:tc>
        <w:tc>
          <w:tcPr>
            <w:tcW w:w="1960" w:type="dxa"/>
            <w:tcBorders>
              <w:top w:val="nil"/>
              <w:left w:val="nil"/>
              <w:bottom w:val="single" w:sz="4" w:space="0" w:color="44B3E1"/>
              <w:right w:val="single" w:sz="4" w:space="0" w:color="44B3E1"/>
            </w:tcBorders>
            <w:vAlign w:val="center"/>
            <w:hideMark/>
          </w:tcPr>
          <w:p w14:paraId="5704D902"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Sama luokka kuin Virginia</w:t>
            </w:r>
          </w:p>
        </w:tc>
      </w:tr>
      <w:tr w:rsidR="004C1C69" w:rsidRPr="004C1C69" w14:paraId="5CAED6DD" w14:textId="77777777" w:rsidTr="004C1C69">
        <w:trPr>
          <w:trHeight w:val="772"/>
        </w:trPr>
        <w:tc>
          <w:tcPr>
            <w:tcW w:w="1640" w:type="dxa"/>
            <w:tcBorders>
              <w:top w:val="nil"/>
              <w:left w:val="single" w:sz="4" w:space="0" w:color="44B3E1"/>
              <w:bottom w:val="single" w:sz="4" w:space="0" w:color="44B3E1"/>
              <w:right w:val="nil"/>
            </w:tcBorders>
            <w:shd w:val="clear" w:color="C0E6F5" w:fill="C0E6F5"/>
            <w:vAlign w:val="center"/>
            <w:hideMark/>
          </w:tcPr>
          <w:p w14:paraId="34F4A8C8" w14:textId="77777777" w:rsidR="004C1C69" w:rsidRPr="004C1C69" w:rsidRDefault="004C1C69" w:rsidP="004C1C69">
            <w:pPr>
              <w:rPr>
                <w:rFonts w:ascii="Aptos Narrow" w:hAnsi="Aptos Narrow"/>
                <w:color w:val="000000"/>
                <w:sz w:val="22"/>
                <w:szCs w:val="22"/>
                <w:lang w:eastAsia="fi-FI"/>
              </w:rPr>
            </w:pPr>
            <w:proofErr w:type="spellStart"/>
            <w:r w:rsidRPr="004C1C69">
              <w:rPr>
                <w:rFonts w:ascii="Aptos Narrow" w:hAnsi="Aptos Narrow"/>
                <w:color w:val="000000"/>
                <w:sz w:val="22"/>
                <w:szCs w:val="22"/>
                <w:lang w:eastAsia="fi-FI"/>
              </w:rPr>
              <w:t>IoT</w:t>
            </w:r>
            <w:proofErr w:type="spellEnd"/>
            <w:r w:rsidRPr="004C1C69">
              <w:rPr>
                <w:rFonts w:ascii="Aptos Narrow" w:hAnsi="Aptos Narrow"/>
                <w:color w:val="000000"/>
                <w:sz w:val="22"/>
                <w:szCs w:val="22"/>
                <w:lang w:eastAsia="fi-FI"/>
              </w:rPr>
              <w:t xml:space="preserve"> Analytics 2025</w:t>
            </w:r>
          </w:p>
        </w:tc>
        <w:tc>
          <w:tcPr>
            <w:tcW w:w="1640" w:type="dxa"/>
            <w:tcBorders>
              <w:top w:val="nil"/>
              <w:left w:val="nil"/>
              <w:bottom w:val="single" w:sz="4" w:space="0" w:color="44B3E1"/>
              <w:right w:val="single" w:sz="4" w:space="0" w:color="44B3E1"/>
            </w:tcBorders>
            <w:shd w:val="clear" w:color="C0E6F5" w:fill="C0E6F5"/>
            <w:vAlign w:val="center"/>
            <w:hideMark/>
          </w:tcPr>
          <w:p w14:paraId="28FBDA0C"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~22 % (12 % kiinteistöinfra + 10 % muu)</w:t>
            </w:r>
          </w:p>
        </w:tc>
        <w:tc>
          <w:tcPr>
            <w:tcW w:w="1640" w:type="dxa"/>
            <w:tcBorders>
              <w:top w:val="nil"/>
              <w:left w:val="nil"/>
              <w:bottom w:val="single" w:sz="4" w:space="0" w:color="44B3E1"/>
              <w:right w:val="nil"/>
            </w:tcBorders>
            <w:shd w:val="clear" w:color="C0E6F5" w:fill="C0E6F5"/>
            <w:vAlign w:val="center"/>
            <w:hideMark/>
          </w:tcPr>
          <w:p w14:paraId="60E8CC95"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~78 %</w:t>
            </w:r>
          </w:p>
        </w:tc>
        <w:tc>
          <w:tcPr>
            <w:tcW w:w="1960" w:type="dxa"/>
            <w:tcBorders>
              <w:top w:val="nil"/>
              <w:left w:val="nil"/>
              <w:bottom w:val="single" w:sz="4" w:space="0" w:color="44B3E1"/>
              <w:right w:val="single" w:sz="4" w:space="0" w:color="44B3E1"/>
            </w:tcBorders>
            <w:shd w:val="clear" w:color="C0E6F5" w:fill="C0E6F5"/>
            <w:vAlign w:val="center"/>
            <w:hideMark/>
          </w:tcPr>
          <w:p w14:paraId="5DFD623E"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AI/</w:t>
            </w:r>
            <w:proofErr w:type="spellStart"/>
            <w:r w:rsidRPr="004C1C69">
              <w:rPr>
                <w:rFonts w:ascii="Aptos Narrow" w:hAnsi="Aptos Narrow"/>
                <w:color w:val="000000"/>
                <w:sz w:val="22"/>
                <w:szCs w:val="22"/>
                <w:lang w:eastAsia="fi-FI"/>
              </w:rPr>
              <w:t>hyperscale</w:t>
            </w:r>
            <w:proofErr w:type="spellEnd"/>
            <w:r w:rsidRPr="004C1C69">
              <w:rPr>
                <w:rFonts w:ascii="Aptos Narrow" w:hAnsi="Aptos Narrow"/>
                <w:color w:val="000000"/>
                <w:sz w:val="22"/>
                <w:szCs w:val="22"/>
                <w:lang w:eastAsia="fi-FI"/>
              </w:rPr>
              <w:t>-painotteinen aineisto</w:t>
            </w:r>
          </w:p>
        </w:tc>
      </w:tr>
      <w:tr w:rsidR="004C1C69" w:rsidRPr="004C1C69" w14:paraId="79C3F381" w14:textId="77777777" w:rsidTr="004C1C69">
        <w:trPr>
          <w:trHeight w:val="779"/>
        </w:trPr>
        <w:tc>
          <w:tcPr>
            <w:tcW w:w="1640" w:type="dxa"/>
            <w:tcBorders>
              <w:top w:val="nil"/>
              <w:left w:val="single" w:sz="4" w:space="0" w:color="44B3E1"/>
              <w:bottom w:val="single" w:sz="4" w:space="0" w:color="44B3E1"/>
              <w:right w:val="nil"/>
            </w:tcBorders>
            <w:vAlign w:val="center"/>
            <w:hideMark/>
          </w:tcPr>
          <w:p w14:paraId="3A75BD2B" w14:textId="77777777" w:rsidR="004C1C69" w:rsidRPr="004C1C69" w:rsidRDefault="004C1C69" w:rsidP="004C1C69">
            <w:pPr>
              <w:rPr>
                <w:rFonts w:ascii="Aptos Narrow" w:hAnsi="Aptos Narrow"/>
                <w:color w:val="000000"/>
                <w:sz w:val="22"/>
                <w:szCs w:val="22"/>
                <w:lang w:eastAsia="fi-FI"/>
              </w:rPr>
            </w:pPr>
            <w:proofErr w:type="spellStart"/>
            <w:r w:rsidRPr="004C1C69">
              <w:rPr>
                <w:rFonts w:ascii="Aptos Narrow" w:hAnsi="Aptos Narrow"/>
                <w:color w:val="000000"/>
                <w:sz w:val="22"/>
                <w:szCs w:val="22"/>
                <w:lang w:eastAsia="fi-FI"/>
              </w:rPr>
              <w:t>BofA</w:t>
            </w:r>
            <w:proofErr w:type="spellEnd"/>
            <w:r w:rsidRPr="004C1C69">
              <w:rPr>
                <w:rFonts w:ascii="Aptos Narrow" w:hAnsi="Aptos Narrow"/>
                <w:color w:val="000000"/>
                <w:sz w:val="22"/>
                <w:szCs w:val="22"/>
                <w:lang w:eastAsia="fi-FI"/>
              </w:rPr>
              <w:t xml:space="preserve"> (2023, globaali markkina)</w:t>
            </w:r>
          </w:p>
        </w:tc>
        <w:tc>
          <w:tcPr>
            <w:tcW w:w="1640" w:type="dxa"/>
            <w:tcBorders>
              <w:top w:val="nil"/>
              <w:left w:val="nil"/>
              <w:bottom w:val="single" w:sz="4" w:space="0" w:color="44B3E1"/>
              <w:right w:val="single" w:sz="4" w:space="0" w:color="44B3E1"/>
            </w:tcBorders>
            <w:vAlign w:val="center"/>
            <w:hideMark/>
          </w:tcPr>
          <w:p w14:paraId="51E6EF24"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~26 %</w:t>
            </w:r>
          </w:p>
        </w:tc>
        <w:tc>
          <w:tcPr>
            <w:tcW w:w="1640" w:type="dxa"/>
            <w:tcBorders>
              <w:top w:val="nil"/>
              <w:left w:val="nil"/>
              <w:bottom w:val="single" w:sz="4" w:space="0" w:color="44B3E1"/>
              <w:right w:val="nil"/>
            </w:tcBorders>
            <w:vAlign w:val="center"/>
            <w:hideMark/>
          </w:tcPr>
          <w:p w14:paraId="23710DB9"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~74 %</w:t>
            </w:r>
          </w:p>
        </w:tc>
        <w:tc>
          <w:tcPr>
            <w:tcW w:w="1960" w:type="dxa"/>
            <w:tcBorders>
              <w:top w:val="nil"/>
              <w:left w:val="nil"/>
              <w:bottom w:val="single" w:sz="4" w:space="0" w:color="44B3E1"/>
              <w:right w:val="single" w:sz="4" w:space="0" w:color="44B3E1"/>
            </w:tcBorders>
            <w:vAlign w:val="center"/>
            <w:hideMark/>
          </w:tcPr>
          <w:p w14:paraId="43283D49"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Koko globaali konesalimarkkina</w:t>
            </w:r>
          </w:p>
        </w:tc>
      </w:tr>
      <w:tr w:rsidR="004C1C69" w:rsidRPr="004C1C69" w14:paraId="4216C0E1" w14:textId="77777777" w:rsidTr="004C1C69">
        <w:trPr>
          <w:trHeight w:val="784"/>
        </w:trPr>
        <w:tc>
          <w:tcPr>
            <w:tcW w:w="1640" w:type="dxa"/>
            <w:tcBorders>
              <w:top w:val="nil"/>
              <w:left w:val="single" w:sz="4" w:space="0" w:color="44B3E1"/>
              <w:bottom w:val="single" w:sz="4" w:space="0" w:color="44B3E1"/>
              <w:right w:val="nil"/>
            </w:tcBorders>
            <w:shd w:val="clear" w:color="C0E6F5" w:fill="C0E6F5"/>
            <w:vAlign w:val="center"/>
            <w:hideMark/>
          </w:tcPr>
          <w:p w14:paraId="6D61A1D5" w14:textId="77777777" w:rsidR="004C1C69" w:rsidRPr="004C1C69" w:rsidRDefault="004C1C69" w:rsidP="004C1C69">
            <w:pPr>
              <w:rPr>
                <w:rFonts w:ascii="Aptos Narrow" w:hAnsi="Aptos Narrow"/>
                <w:b/>
                <w:bCs/>
                <w:color w:val="000000"/>
                <w:sz w:val="22"/>
                <w:szCs w:val="22"/>
                <w:lang w:eastAsia="fi-FI"/>
              </w:rPr>
            </w:pPr>
            <w:r w:rsidRPr="004C1C69">
              <w:rPr>
                <w:rFonts w:ascii="Aptos Narrow" w:hAnsi="Aptos Narrow"/>
                <w:b/>
                <w:bCs/>
                <w:color w:val="000000"/>
                <w:sz w:val="22"/>
                <w:szCs w:val="22"/>
                <w:lang w:eastAsia="fi-FI"/>
              </w:rPr>
              <w:t>Karkea yhteenveto</w:t>
            </w:r>
          </w:p>
        </w:tc>
        <w:tc>
          <w:tcPr>
            <w:tcW w:w="1640" w:type="dxa"/>
            <w:tcBorders>
              <w:top w:val="nil"/>
              <w:left w:val="nil"/>
              <w:bottom w:val="single" w:sz="4" w:space="0" w:color="44B3E1"/>
              <w:right w:val="single" w:sz="4" w:space="0" w:color="44B3E1"/>
            </w:tcBorders>
            <w:shd w:val="clear" w:color="C0E6F5" w:fill="C0E6F5"/>
            <w:vAlign w:val="center"/>
            <w:hideMark/>
          </w:tcPr>
          <w:p w14:paraId="558A5FE3"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~20–30 %</w:t>
            </w:r>
          </w:p>
        </w:tc>
        <w:tc>
          <w:tcPr>
            <w:tcW w:w="1640" w:type="dxa"/>
            <w:tcBorders>
              <w:top w:val="nil"/>
              <w:left w:val="nil"/>
              <w:bottom w:val="single" w:sz="4" w:space="0" w:color="44B3E1"/>
              <w:right w:val="nil"/>
            </w:tcBorders>
            <w:shd w:val="clear" w:color="C0E6F5" w:fill="C0E6F5"/>
            <w:vAlign w:val="center"/>
            <w:hideMark/>
          </w:tcPr>
          <w:p w14:paraId="388D7CE1"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~70–80 %</w:t>
            </w:r>
          </w:p>
        </w:tc>
        <w:tc>
          <w:tcPr>
            <w:tcW w:w="1960" w:type="dxa"/>
            <w:tcBorders>
              <w:top w:val="nil"/>
              <w:left w:val="nil"/>
              <w:bottom w:val="single" w:sz="4" w:space="0" w:color="44B3E1"/>
              <w:right w:val="single" w:sz="4" w:space="0" w:color="44B3E1"/>
            </w:tcBorders>
            <w:shd w:val="clear" w:color="C0E6F5" w:fill="C0E6F5"/>
            <w:vAlign w:val="center"/>
            <w:hideMark/>
          </w:tcPr>
          <w:p w14:paraId="26FC8F6B" w14:textId="77777777" w:rsidR="004C1C69" w:rsidRPr="004C1C69" w:rsidRDefault="004C1C69" w:rsidP="004C1C69">
            <w:pPr>
              <w:jc w:val="center"/>
              <w:rPr>
                <w:rFonts w:ascii="Aptos Narrow" w:hAnsi="Aptos Narrow"/>
                <w:color w:val="000000"/>
                <w:sz w:val="22"/>
                <w:szCs w:val="22"/>
                <w:lang w:eastAsia="fi-FI"/>
              </w:rPr>
            </w:pPr>
            <w:r w:rsidRPr="004C1C69">
              <w:rPr>
                <w:rFonts w:ascii="Aptos Narrow" w:hAnsi="Aptos Narrow"/>
                <w:color w:val="000000"/>
                <w:sz w:val="22"/>
                <w:szCs w:val="22"/>
                <w:lang w:eastAsia="fi-FI"/>
              </w:rPr>
              <w:t>Osuus riippuu AI-painotteisuudesta</w:t>
            </w:r>
          </w:p>
        </w:tc>
      </w:tr>
    </w:tbl>
    <w:p w14:paraId="1B8A4EB4" w14:textId="77777777" w:rsidR="00BB6ADF" w:rsidRPr="001F7856" w:rsidRDefault="00BB6ADF" w:rsidP="001F7856"/>
    <w:p w14:paraId="0275C750" w14:textId="0C38F17E" w:rsidR="00D42FBB" w:rsidRDefault="00AB415E" w:rsidP="001107E9">
      <w:pPr>
        <w:pStyle w:val="Otsikko3"/>
      </w:pPr>
      <w:r>
        <w:t>Rakennusvaihe</w:t>
      </w:r>
    </w:p>
    <w:p w14:paraId="0C06DBCB" w14:textId="77777777" w:rsidR="00CF3958" w:rsidRDefault="00CF3958" w:rsidP="00CF3958"/>
    <w:p w14:paraId="473F48CF" w14:textId="57AAA5AB" w:rsidR="00CF3958" w:rsidRDefault="00757A42" w:rsidP="00CF3958">
      <w:r>
        <w:t>Ramboll</w:t>
      </w:r>
      <w:r w:rsidR="008B49F9">
        <w:t>in selvityksen</w:t>
      </w:r>
      <w:r w:rsidR="00236069">
        <w:rPr>
          <w:rStyle w:val="Alaviitteenviite"/>
        </w:rPr>
        <w:footnoteReference w:id="4"/>
      </w:r>
      <w:r w:rsidR="008B49F9">
        <w:t xml:space="preserve"> mukaan</w:t>
      </w:r>
      <w:r w:rsidR="0076479C">
        <w:t xml:space="preserve"> 12mrd. datakeskusinvestoint</w:t>
      </w:r>
      <w:r w:rsidR="00F3197B">
        <w:t>i</w:t>
      </w:r>
      <w:r w:rsidR="008B49F9">
        <w:t>:</w:t>
      </w:r>
    </w:p>
    <w:p w14:paraId="18F9DC09" w14:textId="5D219F73" w:rsidR="00F3197B" w:rsidRDefault="00F3197B" w:rsidP="00F3197B">
      <w:pPr>
        <w:pStyle w:val="Luettelokappale"/>
        <w:numPr>
          <w:ilvl w:val="0"/>
          <w:numId w:val="21"/>
        </w:numPr>
      </w:pPr>
      <w:r w:rsidRPr="00F3197B">
        <w:lastRenderedPageBreak/>
        <w:t>Datakeskusten rakentamisvaiheen työllisyysvaikutus 45 000 henkilötyövuotta.</w:t>
      </w:r>
    </w:p>
    <w:p w14:paraId="3992EDAB" w14:textId="670E3A51" w:rsidR="00DD4E37" w:rsidRDefault="00DD4E37" w:rsidP="00F3197B">
      <w:pPr>
        <w:pStyle w:val="Luettelokappale"/>
        <w:numPr>
          <w:ilvl w:val="0"/>
          <w:numId w:val="21"/>
        </w:numPr>
      </w:pPr>
      <w:r w:rsidRPr="00DD4E37">
        <w:t>Rakentamisvaiheen verovaikutukset ovat 1,7 miljardia euroa, koostuen mm. kiinteistö-, yhteisö-, tulo- ja arvonlisäveroista.</w:t>
      </w:r>
    </w:p>
    <w:p w14:paraId="5739E89B" w14:textId="7FF02746" w:rsidR="00DD4E37" w:rsidRDefault="00DD4E37" w:rsidP="00F3197B">
      <w:pPr>
        <w:pStyle w:val="Luettelokappale"/>
        <w:numPr>
          <w:ilvl w:val="0"/>
          <w:numId w:val="21"/>
        </w:numPr>
      </w:pPr>
      <w:r w:rsidRPr="00DD4E37">
        <w:t>Datakeskukset tuotantovaiheessa työllistävät suoraan ja välillisesti 9 900 henkilötyövuotta.</w:t>
      </w:r>
    </w:p>
    <w:p w14:paraId="09361EA9" w14:textId="03804680" w:rsidR="00FF40F6" w:rsidRDefault="00FF40F6" w:rsidP="00F3197B">
      <w:pPr>
        <w:pStyle w:val="Luettelokappale"/>
        <w:numPr>
          <w:ilvl w:val="0"/>
          <w:numId w:val="21"/>
        </w:numPr>
      </w:pPr>
      <w:r w:rsidRPr="00FF40F6">
        <w:t>Datakeskusten liikevaihto kasvaa 1 miljardista eurosta -&gt; 4 miljardiin euroon.</w:t>
      </w:r>
    </w:p>
    <w:p w14:paraId="6643E2E8" w14:textId="69838072" w:rsidR="00FF40F6" w:rsidRDefault="00FF40F6" w:rsidP="00F3197B">
      <w:pPr>
        <w:pStyle w:val="Luettelokappale"/>
        <w:numPr>
          <w:ilvl w:val="0"/>
          <w:numId w:val="21"/>
        </w:numPr>
      </w:pPr>
      <w:r w:rsidRPr="00FF40F6">
        <w:t>Datakeskusten kapasiteetti kasvaa nykyisestä 285 MW -&gt; 1,5 GW.</w:t>
      </w:r>
    </w:p>
    <w:p w14:paraId="0FBE7369" w14:textId="5A22FA9E" w:rsidR="001E2FFE" w:rsidRDefault="00841D4B" w:rsidP="001E2FFE">
      <w:r>
        <w:t>Rambollin s</w:t>
      </w:r>
      <w:r w:rsidR="001E2FFE">
        <w:t>elvityksen perusteella miljardin investointi datakeskuks</w:t>
      </w:r>
      <w:r w:rsidR="005215A3">
        <w:t>ii</w:t>
      </w:r>
      <w:r w:rsidR="001E2FFE">
        <w:t xml:space="preserve">n </w:t>
      </w:r>
      <w:r w:rsidR="002444AE">
        <w:t>johtaa:</w:t>
      </w:r>
    </w:p>
    <w:p w14:paraId="6FDDEF91" w14:textId="682B30C7" w:rsidR="002444AE" w:rsidRDefault="005215A3" w:rsidP="002444AE">
      <w:pPr>
        <w:pStyle w:val="Luettelokappale"/>
        <w:numPr>
          <w:ilvl w:val="0"/>
          <w:numId w:val="21"/>
        </w:numPr>
      </w:pPr>
      <w:r>
        <w:t xml:space="preserve">Työllisyysvaikutus rakennusvaiheessa 3750 </w:t>
      </w:r>
      <w:r w:rsidRPr="00F3197B">
        <w:t>henkilötyövuotta</w:t>
      </w:r>
    </w:p>
    <w:p w14:paraId="4FDFA312" w14:textId="1541275D" w:rsidR="005215A3" w:rsidRDefault="005215A3" w:rsidP="002444AE">
      <w:pPr>
        <w:pStyle w:val="Luettelokappale"/>
        <w:numPr>
          <w:ilvl w:val="0"/>
          <w:numId w:val="21"/>
        </w:numPr>
      </w:pPr>
      <w:r>
        <w:t>Verotulo</w:t>
      </w:r>
      <w:r w:rsidR="007D13ED">
        <w:t>jen kasvu 142 milj.€</w:t>
      </w:r>
    </w:p>
    <w:p w14:paraId="4A2DDA6B" w14:textId="7D80A3F5" w:rsidR="007D13ED" w:rsidRDefault="007D13ED" w:rsidP="002444AE">
      <w:pPr>
        <w:pStyle w:val="Luettelokappale"/>
        <w:numPr>
          <w:ilvl w:val="0"/>
          <w:numId w:val="21"/>
        </w:numPr>
      </w:pPr>
      <w:r>
        <w:t>Liikevaihdon kasvu 2</w:t>
      </w:r>
      <w:r w:rsidR="001E3AE1">
        <w:t>50 milj.€</w:t>
      </w:r>
    </w:p>
    <w:p w14:paraId="7DA50D6A" w14:textId="240749F9" w:rsidR="001E3AE1" w:rsidRDefault="001E3AE1" w:rsidP="002444AE">
      <w:pPr>
        <w:pStyle w:val="Luettelokappale"/>
        <w:numPr>
          <w:ilvl w:val="0"/>
          <w:numId w:val="21"/>
        </w:numPr>
      </w:pPr>
      <w:r>
        <w:t xml:space="preserve">Datakeskus kapasiteetin kasvu </w:t>
      </w:r>
      <w:r w:rsidR="008A1FB1">
        <w:t>101MW</w:t>
      </w:r>
    </w:p>
    <w:p w14:paraId="0F44D2A1" w14:textId="77777777" w:rsidR="008A1FB1" w:rsidRDefault="008A1FB1" w:rsidP="008A1FB1">
      <w:pPr>
        <w:pStyle w:val="Luettelokappale"/>
      </w:pPr>
    </w:p>
    <w:p w14:paraId="29542E63" w14:textId="77777777" w:rsidR="008B49F9" w:rsidRDefault="008B49F9" w:rsidP="00CF3958"/>
    <w:p w14:paraId="7634DBB4" w14:textId="77777777" w:rsidR="008B49F9" w:rsidRPr="00CF3958" w:rsidRDefault="008B49F9" w:rsidP="00CF3958"/>
    <w:p w14:paraId="1897742E" w14:textId="77777777" w:rsidR="001107E9" w:rsidRDefault="001107E9" w:rsidP="001107E9"/>
    <w:tbl>
      <w:tblPr>
        <w:tblW w:w="5280" w:type="dxa"/>
        <w:tblCellMar>
          <w:left w:w="70" w:type="dxa"/>
          <w:right w:w="70" w:type="dxa"/>
        </w:tblCellMar>
        <w:tblLook w:val="04A0" w:firstRow="1" w:lastRow="0" w:firstColumn="1" w:lastColumn="0" w:noHBand="0" w:noVBand="1"/>
      </w:tblPr>
      <w:tblGrid>
        <w:gridCol w:w="1940"/>
        <w:gridCol w:w="3340"/>
      </w:tblGrid>
      <w:tr w:rsidR="001107E9" w:rsidRPr="001107E9" w14:paraId="72F1A577" w14:textId="77777777" w:rsidTr="001107E9">
        <w:trPr>
          <w:trHeight w:val="300"/>
        </w:trPr>
        <w:tc>
          <w:tcPr>
            <w:tcW w:w="1940" w:type="dxa"/>
            <w:tcBorders>
              <w:top w:val="single" w:sz="4" w:space="0" w:color="44B3E1"/>
              <w:left w:val="single" w:sz="4" w:space="0" w:color="44B3E1"/>
              <w:bottom w:val="single" w:sz="4" w:space="0" w:color="44B3E1"/>
              <w:right w:val="nil"/>
            </w:tcBorders>
            <w:shd w:val="clear" w:color="156082" w:fill="156082"/>
            <w:vAlign w:val="center"/>
            <w:hideMark/>
          </w:tcPr>
          <w:p w14:paraId="206A3615" w14:textId="77777777" w:rsidR="001107E9" w:rsidRPr="001107E9" w:rsidRDefault="001107E9" w:rsidP="001107E9">
            <w:pPr>
              <w:rPr>
                <w:rFonts w:ascii="Aptos Narrow" w:hAnsi="Aptos Narrow"/>
                <w:b/>
                <w:bCs/>
                <w:color w:val="FFFFFF"/>
                <w:sz w:val="22"/>
                <w:szCs w:val="22"/>
                <w:lang w:eastAsia="fi-FI"/>
              </w:rPr>
            </w:pPr>
            <w:r w:rsidRPr="001107E9">
              <w:rPr>
                <w:rFonts w:ascii="Aptos Narrow" w:hAnsi="Aptos Narrow"/>
                <w:b/>
                <w:bCs/>
                <w:color w:val="FFFFFF"/>
                <w:sz w:val="22"/>
                <w:szCs w:val="22"/>
                <w:lang w:eastAsia="fi-FI"/>
              </w:rPr>
              <w:t>Kustannuserä</w:t>
            </w:r>
          </w:p>
        </w:tc>
        <w:tc>
          <w:tcPr>
            <w:tcW w:w="3340" w:type="dxa"/>
            <w:tcBorders>
              <w:top w:val="single" w:sz="4" w:space="0" w:color="44B3E1"/>
              <w:left w:val="nil"/>
              <w:bottom w:val="single" w:sz="4" w:space="0" w:color="44B3E1"/>
              <w:right w:val="single" w:sz="4" w:space="0" w:color="44B3E1"/>
            </w:tcBorders>
            <w:shd w:val="clear" w:color="156082" w:fill="156082"/>
            <w:vAlign w:val="center"/>
            <w:hideMark/>
          </w:tcPr>
          <w:p w14:paraId="25A9821F" w14:textId="77777777" w:rsidR="001107E9" w:rsidRPr="001107E9" w:rsidRDefault="001107E9" w:rsidP="001107E9">
            <w:pPr>
              <w:rPr>
                <w:rFonts w:ascii="Aptos Narrow" w:hAnsi="Aptos Narrow"/>
                <w:b/>
                <w:bCs/>
                <w:color w:val="FFFFFF"/>
                <w:sz w:val="22"/>
                <w:szCs w:val="22"/>
                <w:lang w:eastAsia="fi-FI"/>
              </w:rPr>
            </w:pPr>
            <w:r w:rsidRPr="001107E9">
              <w:rPr>
                <w:rFonts w:ascii="Aptos Narrow" w:hAnsi="Aptos Narrow"/>
                <w:b/>
                <w:bCs/>
                <w:color w:val="FFFFFF"/>
                <w:sz w:val="22"/>
                <w:szCs w:val="22"/>
                <w:lang w:eastAsia="fi-FI"/>
              </w:rPr>
              <w:t>Osuus rakennuskustannuksesta</w:t>
            </w:r>
          </w:p>
        </w:tc>
      </w:tr>
      <w:tr w:rsidR="001107E9" w:rsidRPr="001107E9" w14:paraId="55D613FB" w14:textId="77777777" w:rsidTr="001107E9">
        <w:trPr>
          <w:trHeight w:val="1200"/>
        </w:trPr>
        <w:tc>
          <w:tcPr>
            <w:tcW w:w="1940" w:type="dxa"/>
            <w:tcBorders>
              <w:top w:val="single" w:sz="4" w:space="0" w:color="44B3E1"/>
              <w:left w:val="single" w:sz="4" w:space="0" w:color="44B3E1"/>
              <w:bottom w:val="single" w:sz="4" w:space="0" w:color="44B3E1"/>
              <w:right w:val="nil"/>
            </w:tcBorders>
            <w:shd w:val="clear" w:color="C0E6F5" w:fill="C0E6F5"/>
            <w:vAlign w:val="center"/>
            <w:hideMark/>
          </w:tcPr>
          <w:p w14:paraId="3B65CE00" w14:textId="77777777" w:rsidR="001107E9" w:rsidRPr="001107E9" w:rsidRDefault="001107E9" w:rsidP="001107E9">
            <w:pPr>
              <w:rPr>
                <w:rFonts w:ascii="Aptos Narrow" w:hAnsi="Aptos Narrow"/>
                <w:color w:val="000000"/>
                <w:sz w:val="22"/>
                <w:szCs w:val="22"/>
                <w:lang w:eastAsia="fi-FI"/>
              </w:rPr>
            </w:pPr>
            <w:r w:rsidRPr="001107E9">
              <w:rPr>
                <w:rFonts w:ascii="Aptos Narrow" w:hAnsi="Aptos Narrow"/>
                <w:color w:val="000000"/>
                <w:sz w:val="22"/>
                <w:szCs w:val="22"/>
                <w:lang w:eastAsia="fi-FI"/>
              </w:rPr>
              <w:t>Sähköjärjestelmät (kytkinlaitteet, UPS, generaattorit, jakelu)</w:t>
            </w:r>
          </w:p>
        </w:tc>
        <w:tc>
          <w:tcPr>
            <w:tcW w:w="3340" w:type="dxa"/>
            <w:tcBorders>
              <w:top w:val="single" w:sz="4" w:space="0" w:color="44B3E1"/>
              <w:left w:val="nil"/>
              <w:bottom w:val="single" w:sz="4" w:space="0" w:color="44B3E1"/>
              <w:right w:val="single" w:sz="4" w:space="0" w:color="44B3E1"/>
            </w:tcBorders>
            <w:shd w:val="clear" w:color="C0E6F5" w:fill="C0E6F5"/>
            <w:vAlign w:val="center"/>
            <w:hideMark/>
          </w:tcPr>
          <w:p w14:paraId="4B9CB4EF" w14:textId="77777777" w:rsidR="001107E9" w:rsidRPr="001107E9" w:rsidRDefault="001107E9" w:rsidP="001107E9">
            <w:pPr>
              <w:jc w:val="center"/>
              <w:rPr>
                <w:rFonts w:ascii="Aptos Narrow" w:hAnsi="Aptos Narrow"/>
                <w:color w:val="000000"/>
                <w:sz w:val="22"/>
                <w:szCs w:val="22"/>
                <w:lang w:eastAsia="fi-FI"/>
              </w:rPr>
            </w:pPr>
            <w:r w:rsidRPr="001107E9">
              <w:rPr>
                <w:rFonts w:ascii="Aptos Narrow" w:hAnsi="Aptos Narrow"/>
                <w:color w:val="000000"/>
                <w:sz w:val="22"/>
                <w:szCs w:val="22"/>
                <w:lang w:eastAsia="fi-FI"/>
              </w:rPr>
              <w:t>35–45 %</w:t>
            </w:r>
          </w:p>
        </w:tc>
      </w:tr>
      <w:tr w:rsidR="001107E9" w:rsidRPr="001107E9" w14:paraId="37189351" w14:textId="77777777" w:rsidTr="00176EE9">
        <w:trPr>
          <w:trHeight w:val="635"/>
        </w:trPr>
        <w:tc>
          <w:tcPr>
            <w:tcW w:w="1940" w:type="dxa"/>
            <w:tcBorders>
              <w:top w:val="single" w:sz="4" w:space="0" w:color="44B3E1"/>
              <w:left w:val="single" w:sz="4" w:space="0" w:color="44B3E1"/>
              <w:bottom w:val="single" w:sz="4" w:space="0" w:color="44B3E1"/>
              <w:right w:val="nil"/>
            </w:tcBorders>
            <w:vAlign w:val="center"/>
            <w:hideMark/>
          </w:tcPr>
          <w:p w14:paraId="10C97840" w14:textId="77777777" w:rsidR="001107E9" w:rsidRPr="001107E9" w:rsidRDefault="001107E9" w:rsidP="001107E9">
            <w:pPr>
              <w:rPr>
                <w:rFonts w:ascii="Aptos Narrow" w:hAnsi="Aptos Narrow"/>
                <w:color w:val="000000"/>
                <w:sz w:val="22"/>
                <w:szCs w:val="22"/>
                <w:lang w:eastAsia="fi-FI"/>
              </w:rPr>
            </w:pPr>
            <w:r w:rsidRPr="001107E9">
              <w:rPr>
                <w:rFonts w:ascii="Aptos Narrow" w:hAnsi="Aptos Narrow"/>
                <w:color w:val="000000"/>
                <w:sz w:val="22"/>
                <w:szCs w:val="22"/>
                <w:lang w:eastAsia="fi-FI"/>
              </w:rPr>
              <w:t>Mekaaniset ja jäähdytysjärjestelmät</w:t>
            </w:r>
          </w:p>
        </w:tc>
        <w:tc>
          <w:tcPr>
            <w:tcW w:w="3340" w:type="dxa"/>
            <w:tcBorders>
              <w:top w:val="single" w:sz="4" w:space="0" w:color="44B3E1"/>
              <w:left w:val="nil"/>
              <w:bottom w:val="single" w:sz="4" w:space="0" w:color="44B3E1"/>
              <w:right w:val="single" w:sz="4" w:space="0" w:color="44B3E1"/>
            </w:tcBorders>
            <w:vAlign w:val="center"/>
            <w:hideMark/>
          </w:tcPr>
          <w:p w14:paraId="1C16F097" w14:textId="77777777" w:rsidR="001107E9" w:rsidRPr="001107E9" w:rsidRDefault="001107E9" w:rsidP="001107E9">
            <w:pPr>
              <w:jc w:val="center"/>
              <w:rPr>
                <w:rFonts w:ascii="Aptos Narrow" w:hAnsi="Aptos Narrow"/>
                <w:color w:val="000000"/>
                <w:sz w:val="22"/>
                <w:szCs w:val="22"/>
                <w:lang w:eastAsia="fi-FI"/>
              </w:rPr>
            </w:pPr>
            <w:r w:rsidRPr="001107E9">
              <w:rPr>
                <w:rFonts w:ascii="Aptos Narrow" w:hAnsi="Aptos Narrow"/>
                <w:color w:val="000000"/>
                <w:sz w:val="22"/>
                <w:szCs w:val="22"/>
                <w:lang w:eastAsia="fi-FI"/>
              </w:rPr>
              <w:t>20–30 %</w:t>
            </w:r>
          </w:p>
        </w:tc>
      </w:tr>
      <w:tr w:rsidR="001107E9" w:rsidRPr="001107E9" w14:paraId="32B7E1D1" w14:textId="77777777" w:rsidTr="001107E9">
        <w:trPr>
          <w:trHeight w:val="900"/>
        </w:trPr>
        <w:tc>
          <w:tcPr>
            <w:tcW w:w="1940" w:type="dxa"/>
            <w:tcBorders>
              <w:top w:val="single" w:sz="4" w:space="0" w:color="44B3E1"/>
              <w:left w:val="single" w:sz="4" w:space="0" w:color="44B3E1"/>
              <w:bottom w:val="single" w:sz="4" w:space="0" w:color="44B3E1"/>
              <w:right w:val="nil"/>
            </w:tcBorders>
            <w:shd w:val="clear" w:color="C0E6F5" w:fill="C0E6F5"/>
            <w:vAlign w:val="center"/>
            <w:hideMark/>
          </w:tcPr>
          <w:p w14:paraId="44D868B0" w14:textId="77777777" w:rsidR="001107E9" w:rsidRPr="001107E9" w:rsidRDefault="001107E9" w:rsidP="001107E9">
            <w:pPr>
              <w:rPr>
                <w:rFonts w:ascii="Aptos Narrow" w:hAnsi="Aptos Narrow"/>
                <w:color w:val="000000"/>
                <w:sz w:val="22"/>
                <w:szCs w:val="22"/>
                <w:lang w:eastAsia="fi-FI"/>
              </w:rPr>
            </w:pPr>
            <w:r w:rsidRPr="001107E9">
              <w:rPr>
                <w:rFonts w:ascii="Aptos Narrow" w:hAnsi="Aptos Narrow"/>
                <w:color w:val="000000"/>
                <w:sz w:val="22"/>
                <w:szCs w:val="22"/>
                <w:lang w:eastAsia="fi-FI"/>
              </w:rPr>
              <w:t>Rungon rakenne (perustukset, seinät, laatat)</w:t>
            </w:r>
          </w:p>
        </w:tc>
        <w:tc>
          <w:tcPr>
            <w:tcW w:w="3340" w:type="dxa"/>
            <w:tcBorders>
              <w:top w:val="single" w:sz="4" w:space="0" w:color="44B3E1"/>
              <w:left w:val="nil"/>
              <w:bottom w:val="single" w:sz="4" w:space="0" w:color="44B3E1"/>
              <w:right w:val="single" w:sz="4" w:space="0" w:color="44B3E1"/>
            </w:tcBorders>
            <w:shd w:val="clear" w:color="C0E6F5" w:fill="C0E6F5"/>
            <w:vAlign w:val="center"/>
            <w:hideMark/>
          </w:tcPr>
          <w:p w14:paraId="3D34EEBF" w14:textId="77777777" w:rsidR="001107E9" w:rsidRPr="001107E9" w:rsidRDefault="001107E9" w:rsidP="001107E9">
            <w:pPr>
              <w:jc w:val="center"/>
              <w:rPr>
                <w:rFonts w:ascii="Aptos Narrow" w:hAnsi="Aptos Narrow"/>
                <w:color w:val="000000"/>
                <w:sz w:val="22"/>
                <w:szCs w:val="22"/>
                <w:lang w:eastAsia="fi-FI"/>
              </w:rPr>
            </w:pPr>
            <w:r w:rsidRPr="001107E9">
              <w:rPr>
                <w:rFonts w:ascii="Aptos Narrow" w:hAnsi="Aptos Narrow"/>
                <w:color w:val="000000"/>
                <w:sz w:val="22"/>
                <w:szCs w:val="22"/>
                <w:lang w:eastAsia="fi-FI"/>
              </w:rPr>
              <w:t>10–15 %</w:t>
            </w:r>
          </w:p>
        </w:tc>
      </w:tr>
      <w:tr w:rsidR="001107E9" w:rsidRPr="001107E9" w14:paraId="1D1C2371" w14:textId="77777777" w:rsidTr="00176EE9">
        <w:trPr>
          <w:trHeight w:val="519"/>
        </w:trPr>
        <w:tc>
          <w:tcPr>
            <w:tcW w:w="1940" w:type="dxa"/>
            <w:tcBorders>
              <w:top w:val="single" w:sz="4" w:space="0" w:color="44B3E1"/>
              <w:left w:val="single" w:sz="4" w:space="0" w:color="44B3E1"/>
              <w:bottom w:val="single" w:sz="4" w:space="0" w:color="44B3E1"/>
              <w:right w:val="nil"/>
            </w:tcBorders>
            <w:vAlign w:val="center"/>
            <w:hideMark/>
          </w:tcPr>
          <w:p w14:paraId="535ECCE4" w14:textId="77777777" w:rsidR="001107E9" w:rsidRPr="001107E9" w:rsidRDefault="001107E9" w:rsidP="001107E9">
            <w:pPr>
              <w:rPr>
                <w:rFonts w:ascii="Aptos Narrow" w:hAnsi="Aptos Narrow"/>
                <w:color w:val="000000"/>
                <w:sz w:val="22"/>
                <w:szCs w:val="22"/>
                <w:lang w:eastAsia="fi-FI"/>
              </w:rPr>
            </w:pPr>
            <w:r w:rsidRPr="001107E9">
              <w:rPr>
                <w:rFonts w:ascii="Aptos Narrow" w:hAnsi="Aptos Narrow"/>
                <w:color w:val="000000"/>
                <w:sz w:val="22"/>
                <w:szCs w:val="22"/>
                <w:lang w:eastAsia="fi-FI"/>
              </w:rPr>
              <w:t>Tontti, maarakennus, esivalmistelu</w:t>
            </w:r>
          </w:p>
        </w:tc>
        <w:tc>
          <w:tcPr>
            <w:tcW w:w="3340" w:type="dxa"/>
            <w:tcBorders>
              <w:top w:val="single" w:sz="4" w:space="0" w:color="44B3E1"/>
              <w:left w:val="nil"/>
              <w:bottom w:val="single" w:sz="4" w:space="0" w:color="44B3E1"/>
              <w:right w:val="single" w:sz="4" w:space="0" w:color="44B3E1"/>
            </w:tcBorders>
            <w:vAlign w:val="center"/>
            <w:hideMark/>
          </w:tcPr>
          <w:p w14:paraId="76E728FB" w14:textId="77777777" w:rsidR="001107E9" w:rsidRPr="001107E9" w:rsidRDefault="001107E9" w:rsidP="001107E9">
            <w:pPr>
              <w:jc w:val="center"/>
              <w:rPr>
                <w:rFonts w:ascii="Aptos Narrow" w:hAnsi="Aptos Narrow"/>
                <w:color w:val="000000"/>
                <w:sz w:val="22"/>
                <w:szCs w:val="22"/>
                <w:lang w:eastAsia="fi-FI"/>
              </w:rPr>
            </w:pPr>
            <w:r w:rsidRPr="001107E9">
              <w:rPr>
                <w:rFonts w:ascii="Aptos Narrow" w:hAnsi="Aptos Narrow"/>
                <w:color w:val="000000"/>
                <w:sz w:val="22"/>
                <w:szCs w:val="22"/>
                <w:lang w:eastAsia="fi-FI"/>
              </w:rPr>
              <w:t>5–10 %</w:t>
            </w:r>
          </w:p>
        </w:tc>
      </w:tr>
      <w:tr w:rsidR="001107E9" w:rsidRPr="001107E9" w14:paraId="720E9326" w14:textId="77777777" w:rsidTr="00176EE9">
        <w:trPr>
          <w:trHeight w:val="683"/>
        </w:trPr>
        <w:tc>
          <w:tcPr>
            <w:tcW w:w="1940" w:type="dxa"/>
            <w:tcBorders>
              <w:top w:val="single" w:sz="4" w:space="0" w:color="44B3E1"/>
              <w:left w:val="single" w:sz="4" w:space="0" w:color="44B3E1"/>
              <w:bottom w:val="single" w:sz="4" w:space="0" w:color="44B3E1"/>
              <w:right w:val="nil"/>
            </w:tcBorders>
            <w:shd w:val="clear" w:color="C0E6F5" w:fill="C0E6F5"/>
            <w:vAlign w:val="center"/>
            <w:hideMark/>
          </w:tcPr>
          <w:p w14:paraId="5B885C13" w14:textId="77777777" w:rsidR="001107E9" w:rsidRPr="001107E9" w:rsidRDefault="001107E9" w:rsidP="001107E9">
            <w:pPr>
              <w:rPr>
                <w:rFonts w:ascii="Aptos Narrow" w:hAnsi="Aptos Narrow"/>
                <w:color w:val="000000"/>
                <w:sz w:val="22"/>
                <w:szCs w:val="22"/>
                <w:lang w:eastAsia="fi-FI"/>
              </w:rPr>
            </w:pPr>
            <w:r w:rsidRPr="001107E9">
              <w:rPr>
                <w:rFonts w:ascii="Aptos Narrow" w:hAnsi="Aptos Narrow"/>
                <w:color w:val="000000"/>
                <w:sz w:val="22"/>
                <w:szCs w:val="22"/>
                <w:lang w:eastAsia="fi-FI"/>
              </w:rPr>
              <w:t>IT-tilan sisustus, ohjaus- ja käyttöönottotestaus</w:t>
            </w:r>
          </w:p>
        </w:tc>
        <w:tc>
          <w:tcPr>
            <w:tcW w:w="3340" w:type="dxa"/>
            <w:tcBorders>
              <w:top w:val="single" w:sz="4" w:space="0" w:color="44B3E1"/>
              <w:left w:val="nil"/>
              <w:bottom w:val="single" w:sz="4" w:space="0" w:color="44B3E1"/>
              <w:right w:val="single" w:sz="4" w:space="0" w:color="44B3E1"/>
            </w:tcBorders>
            <w:shd w:val="clear" w:color="C0E6F5" w:fill="C0E6F5"/>
            <w:vAlign w:val="center"/>
            <w:hideMark/>
          </w:tcPr>
          <w:p w14:paraId="19411D52" w14:textId="77777777" w:rsidR="001107E9" w:rsidRPr="001107E9" w:rsidRDefault="001107E9" w:rsidP="001107E9">
            <w:pPr>
              <w:jc w:val="center"/>
              <w:rPr>
                <w:rFonts w:ascii="Aptos Narrow" w:hAnsi="Aptos Narrow"/>
                <w:color w:val="000000"/>
                <w:sz w:val="22"/>
                <w:szCs w:val="22"/>
                <w:lang w:eastAsia="fi-FI"/>
              </w:rPr>
            </w:pPr>
            <w:r w:rsidRPr="001107E9">
              <w:rPr>
                <w:rFonts w:ascii="Aptos Narrow" w:hAnsi="Aptos Narrow"/>
                <w:color w:val="000000"/>
                <w:sz w:val="22"/>
                <w:szCs w:val="22"/>
                <w:lang w:eastAsia="fi-FI"/>
              </w:rPr>
              <w:t>5–10 %</w:t>
            </w:r>
          </w:p>
        </w:tc>
      </w:tr>
    </w:tbl>
    <w:p w14:paraId="09949DF8" w14:textId="77777777" w:rsidR="001107E9" w:rsidRDefault="001107E9" w:rsidP="001107E9"/>
    <w:p w14:paraId="0F3042B2" w14:textId="77777777" w:rsidR="00142724" w:rsidRPr="00EE7A9F" w:rsidRDefault="00142724" w:rsidP="001107E9"/>
    <w:p w14:paraId="1683F18E" w14:textId="0AAB1B3E" w:rsidR="005E72EF" w:rsidRDefault="00307D93" w:rsidP="005E72EF">
      <w:pPr>
        <w:pStyle w:val="Otsikko3"/>
      </w:pPr>
      <w:r>
        <w:t>Käytt</w:t>
      </w:r>
      <w:r w:rsidR="0000306F">
        <w:t>ö</w:t>
      </w:r>
      <w:r>
        <w:t>ö</w:t>
      </w:r>
      <w:r w:rsidR="0000306F">
        <w:t>notto</w:t>
      </w:r>
      <w:r>
        <w:t>vaihe</w:t>
      </w:r>
      <w:r w:rsidR="0000306F">
        <w:t>en vaikutukset</w:t>
      </w:r>
    </w:p>
    <w:p w14:paraId="104CD06C" w14:textId="77777777" w:rsidR="0000306F" w:rsidRDefault="0000306F" w:rsidP="0000306F"/>
    <w:p w14:paraId="711CD5C2" w14:textId="45DD9F0E" w:rsidR="0000306F" w:rsidRDefault="00543EE3" w:rsidP="0000306F">
      <w:r>
        <w:t xml:space="preserve">Edelleen Rambollin selvityksen perusteella </w:t>
      </w:r>
      <w:r w:rsidR="007D4EDC">
        <w:t xml:space="preserve">12 mrd. investoinnit datakeskuksiin tuottaisivat vuoteen 2030 mennessä </w:t>
      </w:r>
      <w:r w:rsidR="00F2741F">
        <w:t xml:space="preserve">seuraavat </w:t>
      </w:r>
      <w:r w:rsidR="00E96D47">
        <w:t>vuosittaiset</w:t>
      </w:r>
      <w:r w:rsidR="004F2C3B">
        <w:t xml:space="preserve"> lisäykset</w:t>
      </w:r>
      <w:r w:rsidR="00E96D47">
        <w:t xml:space="preserve"> </w:t>
      </w:r>
      <w:r w:rsidR="00F2741F">
        <w:t xml:space="preserve">kokonaisvaikutukset, kun huomioidaan mukaan </w:t>
      </w:r>
      <w:r w:rsidR="00593C74">
        <w:t xml:space="preserve">suorat ja </w:t>
      </w:r>
      <w:r w:rsidR="004636AE">
        <w:t>kerrannais</w:t>
      </w:r>
      <w:r w:rsidR="00593C74">
        <w:t>vaikutukset:</w:t>
      </w:r>
    </w:p>
    <w:p w14:paraId="3640FEE5" w14:textId="77777777" w:rsidR="00593C74" w:rsidRDefault="00593C74" w:rsidP="0000306F"/>
    <w:p w14:paraId="112E9C72" w14:textId="4B00194C" w:rsidR="00593C74" w:rsidRDefault="009E749F" w:rsidP="009E749F">
      <w:pPr>
        <w:pStyle w:val="Luettelokappale"/>
        <w:numPr>
          <w:ilvl w:val="0"/>
          <w:numId w:val="21"/>
        </w:numPr>
      </w:pPr>
      <w:r>
        <w:t xml:space="preserve">Työllisyys </w:t>
      </w:r>
      <w:r w:rsidR="00FA4C07">
        <w:t>7</w:t>
      </w:r>
      <w:r>
        <w:t> </w:t>
      </w:r>
      <w:r w:rsidR="00FA4C07">
        <w:t>5</w:t>
      </w:r>
      <w:r>
        <w:t>00 htv</w:t>
      </w:r>
      <w:r w:rsidR="00FA4C07">
        <w:t xml:space="preserve"> (</w:t>
      </w:r>
      <w:r w:rsidR="00AB7F3A">
        <w:t>625htv/mrd.€</w:t>
      </w:r>
      <w:r w:rsidR="00FA4C07">
        <w:t>)</w:t>
      </w:r>
    </w:p>
    <w:p w14:paraId="3FD58276" w14:textId="07E2D0D2" w:rsidR="009E749F" w:rsidRDefault="000D6007" w:rsidP="009E749F">
      <w:pPr>
        <w:pStyle w:val="Luettelokappale"/>
        <w:numPr>
          <w:ilvl w:val="0"/>
          <w:numId w:val="21"/>
        </w:numPr>
      </w:pPr>
      <w:r>
        <w:t xml:space="preserve">Tuotos </w:t>
      </w:r>
      <w:r w:rsidR="004F2C3B">
        <w:t>3 mrd.€</w:t>
      </w:r>
      <w:r w:rsidR="00AB7F3A">
        <w:t xml:space="preserve"> (</w:t>
      </w:r>
      <w:r w:rsidR="000E56B5">
        <w:t>250milj./mrd.€)</w:t>
      </w:r>
    </w:p>
    <w:p w14:paraId="1731D9E1" w14:textId="77777777" w:rsidR="00D35986" w:rsidRDefault="00D35986" w:rsidP="00D35986"/>
    <w:p w14:paraId="2F446403" w14:textId="33444EB9" w:rsidR="00D35986" w:rsidRDefault="00AF062C" w:rsidP="0082436F">
      <w:pPr>
        <w:pStyle w:val="Otsikko2"/>
      </w:pPr>
      <w:r>
        <w:t>Vaikutukset julkisiin tuloihin</w:t>
      </w:r>
    </w:p>
    <w:p w14:paraId="0F8F3835" w14:textId="756E4F59" w:rsidR="00AA2CEB" w:rsidRDefault="00AA2CEB" w:rsidP="00AA2CEB">
      <w:r>
        <w:t>Verovaikutukset ulottuvat useisiin verolajeihin, kuten kunnallisveroon, arvonlisäveroon, kiinteistöveroon</w:t>
      </w:r>
      <w:r w:rsidR="00BA79F4">
        <w:t>, sähkövero</w:t>
      </w:r>
      <w:r>
        <w:t xml:space="preserve"> ja yhteisöveroon.</w:t>
      </w:r>
    </w:p>
    <w:p w14:paraId="34456E71" w14:textId="77777777" w:rsidR="00271D40" w:rsidRDefault="00271D40" w:rsidP="00AA2CEB"/>
    <w:p w14:paraId="3B7BEFC4" w14:textId="0BE909CD" w:rsidR="00271D40" w:rsidRDefault="00A67E4D" w:rsidP="0082436F">
      <w:pPr>
        <w:pStyle w:val="Otsikko3"/>
      </w:pPr>
      <w:r w:rsidRPr="00A67E4D">
        <w:lastRenderedPageBreak/>
        <w:t>Yhteisövero</w:t>
      </w:r>
    </w:p>
    <w:p w14:paraId="6D3B9EC3" w14:textId="213DA800" w:rsidR="0057575D" w:rsidRDefault="000C3E9C" w:rsidP="004468FD">
      <w:r w:rsidRPr="000C3E9C">
        <w:t>Datakeskusten Suomeen maksamat yhteisöverot ovat investointien miljardiluokkaan nähden hyvin pieniä, ja useimpina vuosina monen suuren toimijan kohdalla lähes nolla euroa.</w:t>
      </w:r>
      <w:r>
        <w:t xml:space="preserve"> Syynä </w:t>
      </w:r>
      <w:r w:rsidRPr="000C3E9C">
        <w:t>yritysverotuksen siirtohinnoittelu</w:t>
      </w:r>
      <w:r w:rsidR="00993B90">
        <w:t xml:space="preserve"> ja </w:t>
      </w:r>
      <w:r w:rsidRPr="000C3E9C">
        <w:t>Suomen elinkeinoverolain (EVL) mukais</w:t>
      </w:r>
      <w:r>
        <w:t>et</w:t>
      </w:r>
      <w:r w:rsidRPr="000C3E9C">
        <w:t xml:space="preserve"> poistosäännö</w:t>
      </w:r>
      <w:r>
        <w:t>t.</w:t>
      </w:r>
      <w:r w:rsidR="0057575D">
        <w:t xml:space="preserve"> Siirtohinnoittelussa </w:t>
      </w:r>
      <w:r w:rsidR="00B50BFA">
        <w:t>l</w:t>
      </w:r>
      <w:r w:rsidR="00B50BFA" w:rsidRPr="00B50BFA">
        <w:t>iikevaihdot kirjataan tyypillisesti konsernin eurooppalaiseen päämajaan (usein Irlantiin) tai emoyhtiöön Yhdysvaltoihin.</w:t>
      </w:r>
      <w:r w:rsidR="00AB28D7">
        <w:t xml:space="preserve"> Suomessa toimiva tytäryhtiö laskuttaa emoyhtiötä </w:t>
      </w:r>
      <w:r w:rsidR="00AB28D7" w:rsidRPr="00AB28D7">
        <w:t xml:space="preserve">emoyhtiöltä konesalin pyörittämisestä aiheutuneet kulut lisättynä pienellä verottajan hyväksymällä voittomarginaalilla (tyypillisesti </w:t>
      </w:r>
      <w:r w:rsidR="00AB28D7" w:rsidRPr="000D3094">
        <w:t>5–8 % lisäkate</w:t>
      </w:r>
      <w:r w:rsidR="00AB28D7" w:rsidRPr="00AB28D7">
        <w:t xml:space="preserve"> kuluista).</w:t>
      </w:r>
      <w:r w:rsidR="00E54C0B">
        <w:t xml:space="preserve"> </w:t>
      </w:r>
      <w:r w:rsidR="003F70A4">
        <w:t xml:space="preserve">Poistoissa puolestaan </w:t>
      </w:r>
      <w:r w:rsidR="00936000">
        <w:t xml:space="preserve">Suomessa toimivan tytäryhtiön liikevoitosta vähennetään </w:t>
      </w:r>
      <w:r w:rsidR="002A2DB0">
        <w:t xml:space="preserve">investointikuluja. Koska datakeskusten </w:t>
      </w:r>
      <w:r w:rsidR="0018377A">
        <w:t xml:space="preserve">palvelimia ja </w:t>
      </w:r>
      <w:r w:rsidR="00D24D29">
        <w:t xml:space="preserve">suorittimia uusitaan </w:t>
      </w:r>
      <w:proofErr w:type="gramStart"/>
      <w:r w:rsidR="00D24D29">
        <w:t>33-5</w:t>
      </w:r>
      <w:proofErr w:type="gramEnd"/>
      <w:r w:rsidR="00D24D29">
        <w:t xml:space="preserve"> vuoden sykleissä, </w:t>
      </w:r>
      <w:r w:rsidR="006D662F">
        <w:t xml:space="preserve">investointien tuomat vähennykset liikevoitosta pysyvät </w:t>
      </w:r>
      <w:r w:rsidR="00557573">
        <w:t xml:space="preserve">korkeina myös aloituksen jälkeen. </w:t>
      </w:r>
    </w:p>
    <w:p w14:paraId="645C3CAE" w14:textId="77777777" w:rsidR="0057575D" w:rsidRDefault="0057575D" w:rsidP="004468FD"/>
    <w:p w14:paraId="3F92390C" w14:textId="769C51A1" w:rsidR="004468FD" w:rsidRPr="004468FD" w:rsidRDefault="004468FD" w:rsidP="004468FD">
      <w:r>
        <w:t xml:space="preserve">Esimerkiksi </w:t>
      </w:r>
      <w:r w:rsidRPr="004468FD">
        <w:rPr>
          <w:b/>
          <w:bCs/>
        </w:rPr>
        <w:t>Google Finland Oy</w:t>
      </w:r>
    </w:p>
    <w:p w14:paraId="67A34804" w14:textId="77777777" w:rsidR="004468FD" w:rsidRPr="004468FD" w:rsidRDefault="004468FD" w:rsidP="004468FD">
      <w:pPr>
        <w:numPr>
          <w:ilvl w:val="0"/>
          <w:numId w:val="22"/>
        </w:numPr>
      </w:pPr>
      <w:r w:rsidRPr="004468FD">
        <w:t>Google Finland Oy:n vuotuinen liikevaihto Suomessa on tyypillisesti pyörinyt kymmenissä tai reilussa sadassa miljoonassa eurossa, koska kyseessä on sisäinen palveluyhtiö.</w:t>
      </w:r>
    </w:p>
    <w:p w14:paraId="7E0EA64E" w14:textId="77777777" w:rsidR="004468FD" w:rsidRPr="004468FD" w:rsidRDefault="004468FD" w:rsidP="004468FD">
      <w:pPr>
        <w:numPr>
          <w:ilvl w:val="0"/>
          <w:numId w:val="22"/>
        </w:numPr>
      </w:pPr>
      <w:r w:rsidRPr="004468FD">
        <w:t xml:space="preserve">Yhtiön Suomeen maksama yhteisövero (20 %) on ollut useimpina vuosina vain noin </w:t>
      </w:r>
      <w:r w:rsidRPr="004468FD">
        <w:rPr>
          <w:b/>
          <w:bCs/>
        </w:rPr>
        <w:t>muutamasta sadasta tuhannesta eurosta muutamaan miljoonaan euroon vuodessa</w:t>
      </w:r>
      <w:r w:rsidRPr="004468FD">
        <w:t xml:space="preserve"> (esimerkiksi useina vuosina n. 1,5–4 milj. €).</w:t>
      </w:r>
    </w:p>
    <w:p w14:paraId="130EEAE9" w14:textId="77777777" w:rsidR="004468FD" w:rsidRDefault="004468FD" w:rsidP="004468FD">
      <w:pPr>
        <w:numPr>
          <w:ilvl w:val="0"/>
          <w:numId w:val="22"/>
        </w:numPr>
      </w:pPr>
      <w:r w:rsidRPr="004468FD">
        <w:t>Suhteutettuna monen miljardin euron pääomainvestointiin efektiivinen yhteisöverokertymä valtiolle on marginaalinen.</w:t>
      </w:r>
    </w:p>
    <w:p w14:paraId="4E79A522" w14:textId="77777777" w:rsidR="00BD2EB5" w:rsidRDefault="00BD2EB5" w:rsidP="00BD2EB5"/>
    <w:p w14:paraId="35774504" w14:textId="24E27E92" w:rsidR="00A161F6" w:rsidRDefault="00A161F6" w:rsidP="00BD2EB5">
      <w:r>
        <w:t>Yhteisöveron veron laskenta</w:t>
      </w:r>
      <w:r w:rsidR="00D576C0">
        <w:t xml:space="preserve"> n. 12 mrd. € datakeskusinvestoinnille:</w:t>
      </w:r>
    </w:p>
    <w:p w14:paraId="60CC9C39" w14:textId="27ECBD0F" w:rsidR="00D576C0" w:rsidRDefault="00D576C0" w:rsidP="00BD2EB5">
      <w:r>
        <w:t>Vuotuiset operatiiviset kulut:</w:t>
      </w:r>
    </w:p>
    <w:p w14:paraId="4E24000A" w14:textId="319702E0" w:rsidR="00D576C0" w:rsidRDefault="006B6FA6" w:rsidP="006B6FA6">
      <w:pPr>
        <w:pStyle w:val="Luettelokappale"/>
        <w:numPr>
          <w:ilvl w:val="0"/>
          <w:numId w:val="22"/>
        </w:numPr>
      </w:pPr>
      <w:r>
        <w:t>Sähköenergia</w:t>
      </w:r>
      <w:r w:rsidR="007D1157">
        <w:t xml:space="preserve"> </w:t>
      </w:r>
      <w:r w:rsidR="00D8342D">
        <w:t>j</w:t>
      </w:r>
      <w:r w:rsidR="007D1157">
        <w:t xml:space="preserve">a </w:t>
      </w:r>
      <w:r w:rsidR="00D8342D">
        <w:t xml:space="preserve">kantaverkon </w:t>
      </w:r>
      <w:proofErr w:type="gramStart"/>
      <w:r w:rsidR="007D1157">
        <w:t>siirtoma</w:t>
      </w:r>
      <w:r w:rsidR="00D8342D">
        <w:t>ksu</w:t>
      </w:r>
      <w:r>
        <w:t xml:space="preserve">  =</w:t>
      </w:r>
      <w:proofErr w:type="gramEnd"/>
      <w:r>
        <w:t xml:space="preserve">9,0 </w:t>
      </w:r>
      <w:proofErr w:type="spellStart"/>
      <w:r>
        <w:t>T</w:t>
      </w:r>
      <w:r w:rsidR="00D8342D">
        <w:t>Wh</w:t>
      </w:r>
      <w:proofErr w:type="spellEnd"/>
      <w:r w:rsidR="00D8342D">
        <w:t xml:space="preserve"> * </w:t>
      </w:r>
      <w:r w:rsidR="006E5763">
        <w:t>50-</w:t>
      </w:r>
      <w:proofErr w:type="gramStart"/>
      <w:r w:rsidR="006E5763">
        <w:t>70€</w:t>
      </w:r>
      <w:proofErr w:type="gramEnd"/>
      <w:r w:rsidR="006E5763">
        <w:t xml:space="preserve">/MWh = </w:t>
      </w:r>
      <w:proofErr w:type="gramStart"/>
      <w:r w:rsidR="006E5763">
        <w:t>450-630</w:t>
      </w:r>
      <w:proofErr w:type="gramEnd"/>
      <w:r w:rsidR="006E5763">
        <w:t xml:space="preserve"> </w:t>
      </w:r>
      <w:proofErr w:type="spellStart"/>
      <w:r w:rsidR="006E5763">
        <w:t>milj</w:t>
      </w:r>
      <w:proofErr w:type="spellEnd"/>
      <w:r w:rsidR="006E5763">
        <w:t>€</w:t>
      </w:r>
    </w:p>
    <w:p w14:paraId="0105FA98" w14:textId="77777777" w:rsidR="001568CF" w:rsidRDefault="00BB7DC6" w:rsidP="006B6FA6">
      <w:pPr>
        <w:pStyle w:val="Luettelokappale"/>
        <w:numPr>
          <w:ilvl w:val="0"/>
          <w:numId w:val="22"/>
        </w:numPr>
      </w:pPr>
      <w:r>
        <w:t xml:space="preserve">Henkilöstö ja ylläpito: 1000-1500 </w:t>
      </w:r>
      <w:r w:rsidR="002059CA">
        <w:t>htv</w:t>
      </w:r>
      <w:r w:rsidR="0049639B">
        <w:t xml:space="preserve"> = </w:t>
      </w:r>
      <w:proofErr w:type="gramStart"/>
      <w:r w:rsidR="0049639B">
        <w:t>100-150</w:t>
      </w:r>
      <w:proofErr w:type="gramEnd"/>
      <w:r w:rsidR="0049639B">
        <w:t xml:space="preserve"> milj.€</w:t>
      </w:r>
    </w:p>
    <w:p w14:paraId="4D222A55" w14:textId="6283D83F" w:rsidR="00BB7DC6" w:rsidRDefault="001568CF" w:rsidP="006B6FA6">
      <w:pPr>
        <w:pStyle w:val="Luettelokappale"/>
        <w:numPr>
          <w:ilvl w:val="0"/>
          <w:numId w:val="22"/>
        </w:numPr>
      </w:pPr>
      <w:r>
        <w:t xml:space="preserve">Yhteensä kuluja vuodessa </w:t>
      </w:r>
      <w:proofErr w:type="gramStart"/>
      <w:r>
        <w:t>600-800</w:t>
      </w:r>
      <w:proofErr w:type="gramEnd"/>
      <w:r>
        <w:t xml:space="preserve"> milj.€</w:t>
      </w:r>
      <w:r w:rsidR="00BB7DC6">
        <w:t xml:space="preserve"> </w:t>
      </w:r>
    </w:p>
    <w:p w14:paraId="1956E9F4" w14:textId="77777777" w:rsidR="001568CF" w:rsidRDefault="001568CF" w:rsidP="001568CF"/>
    <w:p w14:paraId="1C741480" w14:textId="29D0B789" w:rsidR="001568CF" w:rsidRDefault="00C70030" w:rsidP="001568CF">
      <w:r>
        <w:t>Siten ve</w:t>
      </w:r>
      <w:r w:rsidR="001945DB">
        <w:t>r</w:t>
      </w:r>
      <w:r>
        <w:t>otetta</w:t>
      </w:r>
      <w:r w:rsidR="00A11C58">
        <w:t>van</w:t>
      </w:r>
      <w:r>
        <w:t xml:space="preserve"> liikevoiton muodostuminen suomen tytäryhtiölle on:</w:t>
      </w:r>
    </w:p>
    <w:p w14:paraId="0EC6C887" w14:textId="61B552DC" w:rsidR="00C70030" w:rsidRDefault="00C70030" w:rsidP="001568CF">
      <w:r>
        <w:tab/>
      </w:r>
      <w:r w:rsidR="002F3A70">
        <w:t xml:space="preserve">600 x </w:t>
      </w:r>
      <w:proofErr w:type="gramStart"/>
      <w:r w:rsidR="002F3A70">
        <w:t>6%</w:t>
      </w:r>
      <w:proofErr w:type="gramEnd"/>
      <w:r w:rsidR="002F3A70">
        <w:t xml:space="preserve"> - </w:t>
      </w:r>
      <w:r w:rsidR="001945DB">
        <w:t xml:space="preserve">800 x </w:t>
      </w:r>
      <w:proofErr w:type="gramStart"/>
      <w:r w:rsidR="001945DB">
        <w:t>8%</w:t>
      </w:r>
      <w:proofErr w:type="gramEnd"/>
      <w:r w:rsidR="001945DB">
        <w:t xml:space="preserve">= </w:t>
      </w:r>
      <w:proofErr w:type="gramStart"/>
      <w:r w:rsidR="001945DB">
        <w:t>36-64</w:t>
      </w:r>
      <w:proofErr w:type="gramEnd"/>
      <w:r w:rsidR="00A11C58">
        <w:t xml:space="preserve"> milj.€</w:t>
      </w:r>
    </w:p>
    <w:p w14:paraId="71EE8D00" w14:textId="48E62FCA" w:rsidR="00E500A6" w:rsidRDefault="00E500A6" w:rsidP="001568CF">
      <w:r>
        <w:t>josta maksettava yhteisövero (</w:t>
      </w:r>
      <w:proofErr w:type="gramStart"/>
      <w:r>
        <w:t>20%</w:t>
      </w:r>
      <w:proofErr w:type="gramEnd"/>
      <w:r>
        <w:t xml:space="preserve">) </w:t>
      </w:r>
    </w:p>
    <w:p w14:paraId="21768779" w14:textId="608F4E05" w:rsidR="00E500A6" w:rsidRDefault="00E500A6" w:rsidP="001568CF">
      <w:r>
        <w:tab/>
        <w:t>7,2M€-12,8M€</w:t>
      </w:r>
      <w:r w:rsidR="00654D5E">
        <w:t xml:space="preserve"> vuodessa.</w:t>
      </w:r>
    </w:p>
    <w:p w14:paraId="7E3C0F34" w14:textId="77777777" w:rsidR="00A161F6" w:rsidRDefault="00A161F6" w:rsidP="00BD2EB5"/>
    <w:p w14:paraId="214EB226" w14:textId="34FF6178" w:rsidR="00BD2EB5" w:rsidRDefault="00FB1990" w:rsidP="00BD2EB5">
      <w:r>
        <w:t>Empiiri</w:t>
      </w:r>
      <w:r w:rsidR="00BD5CFC">
        <w:t>senä</w:t>
      </w:r>
      <w:r>
        <w:t xml:space="preserve"> vertailukohta</w:t>
      </w:r>
      <w:r w:rsidR="00E00AC9">
        <w:t>na</w:t>
      </w:r>
      <w:r>
        <w:t xml:space="preserve"> Goog</w:t>
      </w:r>
      <w:r w:rsidR="00951D94">
        <w:t>le</w:t>
      </w:r>
      <w:r>
        <w:t xml:space="preserve"> </w:t>
      </w:r>
      <w:r w:rsidR="00951D94">
        <w:t>F</w:t>
      </w:r>
      <w:r>
        <w:t>inland</w:t>
      </w:r>
      <w:r w:rsidR="00BD5CFC">
        <w:t xml:space="preserve">, joka on </w:t>
      </w:r>
      <w:r>
        <w:t xml:space="preserve">aiemmin maksanut n. </w:t>
      </w:r>
      <w:proofErr w:type="gramStart"/>
      <w:r>
        <w:t>3,5-4,5</w:t>
      </w:r>
      <w:proofErr w:type="gramEnd"/>
      <w:r>
        <w:t xml:space="preserve"> mrd.€ investoinneilla Haminaan </w:t>
      </w:r>
      <w:r w:rsidR="00240996">
        <w:t xml:space="preserve">yhteisöveroa </w:t>
      </w:r>
      <w:proofErr w:type="gramStart"/>
      <w:r w:rsidR="00240996">
        <w:t>3-4</w:t>
      </w:r>
      <w:proofErr w:type="gramEnd"/>
      <w:r w:rsidR="00240996">
        <w:t xml:space="preserve"> milj. per vuosi. </w:t>
      </w:r>
      <w:r w:rsidR="00E00AC9">
        <w:t>Täten suuruusluokka on pitkälti sama kuin yllä olevassa laskelmas</w:t>
      </w:r>
      <w:r w:rsidR="00A161F6">
        <w:t>sa</w:t>
      </w:r>
      <w:r w:rsidR="00E00AC9">
        <w:t>.</w:t>
      </w:r>
    </w:p>
    <w:p w14:paraId="4BE1DBF9" w14:textId="77777777" w:rsidR="000C360B" w:rsidRDefault="000C360B" w:rsidP="000C3E9C"/>
    <w:p w14:paraId="68A0F215" w14:textId="0F330F1F" w:rsidR="00B27268" w:rsidRDefault="00B27268" w:rsidP="000C3E9C">
      <w:r w:rsidRPr="00B27268">
        <w:t xml:space="preserve">Noin 7–13 miljoonan euron vuotuinen yhteisövero on vain noin </w:t>
      </w:r>
      <w:proofErr w:type="gramStart"/>
      <w:r w:rsidRPr="00B27268">
        <w:rPr>
          <w:b/>
          <w:bCs/>
        </w:rPr>
        <w:t>0,06 – 0,11</w:t>
      </w:r>
      <w:proofErr w:type="gramEnd"/>
      <w:r w:rsidRPr="00B27268">
        <w:rPr>
          <w:b/>
          <w:bCs/>
        </w:rPr>
        <w:t xml:space="preserve"> %</w:t>
      </w:r>
      <w:r w:rsidRPr="00B27268">
        <w:t xml:space="preserve"> suhteessa 12 miljardin euron pääomainvestointiin. Tämä havainnollistaa hyvin sen, miksi datakeskusten suorat yhteisöverotuotot jäävät usein odotettua pienemmiksi: globaali aineeton arvonluonti</w:t>
      </w:r>
      <w:r w:rsidR="009B2DBA">
        <w:t>, AI</w:t>
      </w:r>
      <w:r w:rsidR="000547F2">
        <w:t>-palvelut, pilvitallennus</w:t>
      </w:r>
      <w:r w:rsidRPr="00B27268">
        <w:t xml:space="preserve"> ja digitaalisten mainospalveluiden myyntituotot eivät kerry Suomen tytäryhtiölle.</w:t>
      </w:r>
    </w:p>
    <w:p w14:paraId="13EEAF40" w14:textId="77777777" w:rsidR="00712D91" w:rsidRDefault="00712D91" w:rsidP="000C3E9C"/>
    <w:p w14:paraId="32DD3774" w14:textId="2D769C29" w:rsidR="00712D91" w:rsidRDefault="00712D91" w:rsidP="000C3E9C">
      <w:r w:rsidRPr="00712D91">
        <w:t xml:space="preserve">Maksetusta 7,2–12,8 miljoonan euron yhteisöverosta </w:t>
      </w:r>
      <w:r w:rsidR="000644C1">
        <w:t>kuntien</w:t>
      </w:r>
      <w:r w:rsidRPr="00712D91">
        <w:t xml:space="preserve"> jako-osuus</w:t>
      </w:r>
      <w:r>
        <w:t xml:space="preserve"> on noin kolmannes</w:t>
      </w:r>
      <w:r w:rsidR="000644C1">
        <w:t xml:space="preserve"> koko yhteisöverosta.</w:t>
      </w:r>
    </w:p>
    <w:p w14:paraId="39814BC2" w14:textId="77777777" w:rsidR="00E83C4B" w:rsidRDefault="00E83C4B" w:rsidP="000C3E9C"/>
    <w:p w14:paraId="3FC6308D" w14:textId="6FD00D61" w:rsidR="00E83C4B" w:rsidRDefault="00E83C4B" w:rsidP="000C3E9C">
      <w:r>
        <w:t xml:space="preserve">Rakennusvaiheessa </w:t>
      </w:r>
      <w:r w:rsidR="005E7FDD">
        <w:t xml:space="preserve">datakeskuksen operaattori ei maksa </w:t>
      </w:r>
      <w:proofErr w:type="gramStart"/>
      <w:r w:rsidR="005E7FDD">
        <w:t>yhteisöveroa</w:t>
      </w:r>
      <w:proofErr w:type="gramEnd"/>
      <w:r w:rsidR="005E7FDD">
        <w:t xml:space="preserve"> kun verotettavaa tuloakaan ei muodostu. Sen sijaan </w:t>
      </w:r>
      <w:r w:rsidR="00D57205">
        <w:t>investointivaiheen urakoitsijoiden, laitetoimittajien, suunnittelun, jne.</w:t>
      </w:r>
      <w:r w:rsidR="00816B94">
        <w:t xml:space="preserve"> tuloksesta kannetaan yhteisöveroa. 12mrd. investoinnissa </w:t>
      </w:r>
      <w:r w:rsidR="000E7213">
        <w:t xml:space="preserve">yhteisöveron suuruus on n. </w:t>
      </w:r>
      <w:proofErr w:type="gramStart"/>
      <w:r w:rsidR="000E7213">
        <w:t>25-60</w:t>
      </w:r>
      <w:proofErr w:type="gramEnd"/>
      <w:r w:rsidR="000E7213">
        <w:t xml:space="preserve"> M€.</w:t>
      </w:r>
      <w:r w:rsidR="0029518E">
        <w:t xml:space="preserve"> rakennusvaiheen aikana</w:t>
      </w:r>
      <w:r w:rsidR="00C42105">
        <w:t>.</w:t>
      </w:r>
    </w:p>
    <w:p w14:paraId="1E0681CD" w14:textId="77777777" w:rsidR="00C42105" w:rsidRDefault="00C42105" w:rsidP="000C3E9C"/>
    <w:p w14:paraId="0F22568F" w14:textId="4735C03F" w:rsidR="00C42105" w:rsidRDefault="00D45530" w:rsidP="000C3E9C">
      <w:r w:rsidRPr="00D45530">
        <w:lastRenderedPageBreak/>
        <w:t>Datakeskushankkeen pääomamenoista vain murto-osa jää perinteiseen kotimaiseen rakentamiseen:</w:t>
      </w:r>
    </w:p>
    <w:tbl>
      <w:tblPr>
        <w:tblW w:w="7933" w:type="dxa"/>
        <w:tblCellMar>
          <w:left w:w="70" w:type="dxa"/>
          <w:right w:w="70" w:type="dxa"/>
        </w:tblCellMar>
        <w:tblLook w:val="04A0" w:firstRow="1" w:lastRow="0" w:firstColumn="1" w:lastColumn="0" w:noHBand="0" w:noVBand="1"/>
      </w:tblPr>
      <w:tblGrid>
        <w:gridCol w:w="1869"/>
        <w:gridCol w:w="1377"/>
        <w:gridCol w:w="1427"/>
        <w:gridCol w:w="3260"/>
      </w:tblGrid>
      <w:tr w:rsidR="00C42105" w:rsidRPr="00C42105" w14:paraId="3BEDF881" w14:textId="77777777" w:rsidTr="00C42105">
        <w:trPr>
          <w:trHeight w:val="630"/>
        </w:trPr>
        <w:tc>
          <w:tcPr>
            <w:tcW w:w="1869" w:type="dxa"/>
            <w:tcBorders>
              <w:top w:val="single" w:sz="4" w:space="0" w:color="44B3E1"/>
              <w:left w:val="single" w:sz="4" w:space="0" w:color="44B3E1"/>
              <w:bottom w:val="single" w:sz="4" w:space="0" w:color="44B3E1"/>
              <w:right w:val="nil"/>
            </w:tcBorders>
            <w:shd w:val="clear" w:color="C0E6F5" w:fill="C0E6F5"/>
            <w:hideMark/>
          </w:tcPr>
          <w:p w14:paraId="795DA997" w14:textId="77777777" w:rsidR="00C42105" w:rsidRPr="00C42105" w:rsidRDefault="00C42105" w:rsidP="00C42105">
            <w:pPr>
              <w:rPr>
                <w:rFonts w:ascii="Aptos Narrow" w:hAnsi="Aptos Narrow"/>
                <w:b/>
                <w:bCs/>
                <w:color w:val="000000"/>
                <w:sz w:val="22"/>
                <w:szCs w:val="22"/>
                <w:lang w:eastAsia="fi-FI"/>
              </w:rPr>
            </w:pPr>
            <w:r w:rsidRPr="00C42105">
              <w:rPr>
                <w:rFonts w:ascii="Aptos Narrow" w:hAnsi="Aptos Narrow"/>
                <w:b/>
                <w:bCs/>
                <w:color w:val="000000"/>
                <w:sz w:val="22"/>
                <w:szCs w:val="22"/>
                <w:lang w:eastAsia="fi-FI"/>
              </w:rPr>
              <w:t>Investointierä</w:t>
            </w:r>
          </w:p>
        </w:tc>
        <w:tc>
          <w:tcPr>
            <w:tcW w:w="1377" w:type="dxa"/>
            <w:tcBorders>
              <w:top w:val="single" w:sz="4" w:space="0" w:color="44B3E1"/>
              <w:left w:val="nil"/>
              <w:bottom w:val="single" w:sz="4" w:space="0" w:color="44B3E1"/>
              <w:right w:val="nil"/>
            </w:tcBorders>
            <w:shd w:val="clear" w:color="C0E6F5" w:fill="C0E6F5"/>
            <w:hideMark/>
          </w:tcPr>
          <w:p w14:paraId="193FF906" w14:textId="77777777" w:rsidR="00C42105" w:rsidRPr="00C42105" w:rsidRDefault="00C42105" w:rsidP="00C42105">
            <w:pPr>
              <w:rPr>
                <w:rFonts w:ascii="Aptos Narrow" w:hAnsi="Aptos Narrow"/>
                <w:b/>
                <w:bCs/>
                <w:color w:val="000000"/>
                <w:sz w:val="22"/>
                <w:szCs w:val="22"/>
                <w:lang w:eastAsia="fi-FI"/>
              </w:rPr>
            </w:pPr>
            <w:r w:rsidRPr="00C42105">
              <w:rPr>
                <w:rFonts w:ascii="Aptos Narrow" w:hAnsi="Aptos Narrow"/>
                <w:b/>
                <w:bCs/>
                <w:color w:val="000000"/>
                <w:sz w:val="22"/>
                <w:szCs w:val="22"/>
                <w:lang w:eastAsia="fi-FI"/>
              </w:rPr>
              <w:t>Osuus 12 mrd. €:</w:t>
            </w:r>
            <w:proofErr w:type="spellStart"/>
            <w:r w:rsidRPr="00C42105">
              <w:rPr>
                <w:rFonts w:ascii="Aptos Narrow" w:hAnsi="Aptos Narrow"/>
                <w:b/>
                <w:bCs/>
                <w:color w:val="000000"/>
                <w:sz w:val="22"/>
                <w:szCs w:val="22"/>
                <w:lang w:eastAsia="fi-FI"/>
              </w:rPr>
              <w:t>sta</w:t>
            </w:r>
            <w:proofErr w:type="spellEnd"/>
          </w:p>
        </w:tc>
        <w:tc>
          <w:tcPr>
            <w:tcW w:w="1427" w:type="dxa"/>
            <w:tcBorders>
              <w:top w:val="single" w:sz="4" w:space="0" w:color="44B3E1"/>
              <w:left w:val="nil"/>
              <w:bottom w:val="single" w:sz="4" w:space="0" w:color="44B3E1"/>
              <w:right w:val="nil"/>
            </w:tcBorders>
            <w:shd w:val="clear" w:color="C0E6F5" w:fill="C0E6F5"/>
            <w:hideMark/>
          </w:tcPr>
          <w:p w14:paraId="464115B3" w14:textId="77777777" w:rsidR="00C42105" w:rsidRPr="00C42105" w:rsidRDefault="00C42105" w:rsidP="00C42105">
            <w:pPr>
              <w:rPr>
                <w:rFonts w:ascii="Aptos Narrow" w:hAnsi="Aptos Narrow"/>
                <w:b/>
                <w:bCs/>
                <w:color w:val="000000"/>
                <w:sz w:val="22"/>
                <w:szCs w:val="22"/>
                <w:lang w:eastAsia="fi-FI"/>
              </w:rPr>
            </w:pPr>
            <w:r w:rsidRPr="00C42105">
              <w:rPr>
                <w:rFonts w:ascii="Aptos Narrow" w:hAnsi="Aptos Narrow"/>
                <w:b/>
                <w:bCs/>
                <w:color w:val="000000"/>
                <w:sz w:val="22"/>
                <w:szCs w:val="22"/>
                <w:lang w:eastAsia="fi-FI"/>
              </w:rPr>
              <w:t>Summa M€</w:t>
            </w:r>
          </w:p>
        </w:tc>
        <w:tc>
          <w:tcPr>
            <w:tcW w:w="3260" w:type="dxa"/>
            <w:tcBorders>
              <w:top w:val="single" w:sz="4" w:space="0" w:color="44B3E1"/>
              <w:left w:val="nil"/>
              <w:bottom w:val="single" w:sz="4" w:space="0" w:color="44B3E1"/>
              <w:right w:val="single" w:sz="4" w:space="0" w:color="44B3E1"/>
            </w:tcBorders>
            <w:shd w:val="clear" w:color="C0E6F5" w:fill="C0E6F5"/>
            <w:hideMark/>
          </w:tcPr>
          <w:p w14:paraId="49EA488C" w14:textId="77777777" w:rsidR="00C42105" w:rsidRPr="00C42105" w:rsidRDefault="00C42105" w:rsidP="00C42105">
            <w:pPr>
              <w:rPr>
                <w:rFonts w:ascii="Aptos Narrow" w:hAnsi="Aptos Narrow"/>
                <w:b/>
                <w:bCs/>
                <w:color w:val="000000"/>
                <w:sz w:val="22"/>
                <w:szCs w:val="22"/>
                <w:lang w:eastAsia="fi-FI"/>
              </w:rPr>
            </w:pPr>
            <w:r w:rsidRPr="00C42105">
              <w:rPr>
                <w:rFonts w:ascii="Aptos Narrow" w:hAnsi="Aptos Narrow"/>
                <w:b/>
                <w:bCs/>
                <w:color w:val="000000"/>
                <w:sz w:val="22"/>
                <w:szCs w:val="22"/>
                <w:lang w:eastAsia="fi-FI"/>
              </w:rPr>
              <w:t>Kotimainen arvonlisä ja yhteisövero</w:t>
            </w:r>
          </w:p>
        </w:tc>
      </w:tr>
      <w:tr w:rsidR="00C42105" w:rsidRPr="00C42105" w14:paraId="7C8DC657" w14:textId="77777777" w:rsidTr="00C42105">
        <w:trPr>
          <w:trHeight w:val="630"/>
        </w:trPr>
        <w:tc>
          <w:tcPr>
            <w:tcW w:w="1869" w:type="dxa"/>
            <w:tcBorders>
              <w:top w:val="single" w:sz="4" w:space="0" w:color="44B3E1"/>
              <w:left w:val="single" w:sz="4" w:space="0" w:color="44B3E1"/>
              <w:bottom w:val="single" w:sz="4" w:space="0" w:color="44B3E1"/>
              <w:right w:val="nil"/>
            </w:tcBorders>
            <w:hideMark/>
          </w:tcPr>
          <w:p w14:paraId="336337F1" w14:textId="4046B50B"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 xml:space="preserve">IT- ja palvelininfrastruktuuri </w:t>
            </w:r>
          </w:p>
        </w:tc>
        <w:tc>
          <w:tcPr>
            <w:tcW w:w="1377" w:type="dxa"/>
            <w:tcBorders>
              <w:top w:val="single" w:sz="4" w:space="0" w:color="44B3E1"/>
              <w:left w:val="nil"/>
              <w:bottom w:val="single" w:sz="4" w:space="0" w:color="44B3E1"/>
              <w:right w:val="nil"/>
            </w:tcBorders>
            <w:hideMark/>
          </w:tcPr>
          <w:p w14:paraId="0065F28B"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n. 65–75 %</w:t>
            </w:r>
          </w:p>
        </w:tc>
        <w:tc>
          <w:tcPr>
            <w:tcW w:w="1427" w:type="dxa"/>
            <w:tcBorders>
              <w:top w:val="single" w:sz="4" w:space="0" w:color="44B3E1"/>
              <w:left w:val="nil"/>
              <w:bottom w:val="single" w:sz="4" w:space="0" w:color="44B3E1"/>
              <w:right w:val="nil"/>
            </w:tcBorders>
            <w:hideMark/>
          </w:tcPr>
          <w:p w14:paraId="621677BD" w14:textId="77777777" w:rsidR="00C42105" w:rsidRPr="00C42105" w:rsidRDefault="00C42105" w:rsidP="00C42105">
            <w:pPr>
              <w:rPr>
                <w:rFonts w:ascii="Aptos Narrow" w:hAnsi="Aptos Narrow"/>
                <w:color w:val="000000"/>
                <w:sz w:val="22"/>
                <w:szCs w:val="22"/>
                <w:lang w:eastAsia="fi-FI"/>
              </w:rPr>
            </w:pPr>
            <w:proofErr w:type="gramStart"/>
            <w:r w:rsidRPr="00C42105">
              <w:rPr>
                <w:rFonts w:ascii="Aptos Narrow" w:hAnsi="Aptos Narrow"/>
                <w:color w:val="000000"/>
                <w:sz w:val="22"/>
                <w:szCs w:val="22"/>
                <w:lang w:eastAsia="fi-FI"/>
              </w:rPr>
              <w:t>8 000 – 9 000</w:t>
            </w:r>
            <w:proofErr w:type="gramEnd"/>
          </w:p>
        </w:tc>
        <w:tc>
          <w:tcPr>
            <w:tcW w:w="3260" w:type="dxa"/>
            <w:tcBorders>
              <w:top w:val="single" w:sz="4" w:space="0" w:color="44B3E1"/>
              <w:left w:val="nil"/>
              <w:bottom w:val="single" w:sz="4" w:space="0" w:color="44B3E1"/>
              <w:right w:val="single" w:sz="4" w:space="0" w:color="44B3E1"/>
            </w:tcBorders>
            <w:hideMark/>
          </w:tcPr>
          <w:p w14:paraId="12FC852D" w14:textId="4F81E6CF"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Lähes 0 € Suomeen. Tuodaan suoraan ulkomailta globaaleilta</w:t>
            </w:r>
            <w:r>
              <w:rPr>
                <w:rFonts w:ascii="Aptos Narrow" w:hAnsi="Aptos Narrow"/>
                <w:color w:val="000000"/>
                <w:sz w:val="22"/>
                <w:szCs w:val="22"/>
                <w:lang w:eastAsia="fi-FI"/>
              </w:rPr>
              <w:t>.</w:t>
            </w:r>
          </w:p>
        </w:tc>
      </w:tr>
      <w:tr w:rsidR="00C42105" w:rsidRPr="00C42105" w14:paraId="1428F628" w14:textId="77777777" w:rsidTr="00C42105">
        <w:trPr>
          <w:trHeight w:val="630"/>
        </w:trPr>
        <w:tc>
          <w:tcPr>
            <w:tcW w:w="1869" w:type="dxa"/>
            <w:tcBorders>
              <w:top w:val="single" w:sz="4" w:space="0" w:color="44B3E1"/>
              <w:left w:val="single" w:sz="4" w:space="0" w:color="44B3E1"/>
              <w:bottom w:val="single" w:sz="4" w:space="0" w:color="44B3E1"/>
              <w:right w:val="nil"/>
            </w:tcBorders>
            <w:shd w:val="clear" w:color="C0E6F5" w:fill="C0E6F5"/>
            <w:hideMark/>
          </w:tcPr>
          <w:p w14:paraId="65FF043E"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 xml:space="preserve">Talotekniikka ja sähköinfrastruktuuri (muuntajat, varavoimakoneet, </w:t>
            </w:r>
            <w:proofErr w:type="spellStart"/>
            <w:r w:rsidRPr="00C42105">
              <w:rPr>
                <w:rFonts w:ascii="Aptos Narrow" w:hAnsi="Aptos Narrow"/>
                <w:color w:val="000000"/>
                <w:sz w:val="22"/>
                <w:szCs w:val="22"/>
                <w:lang w:eastAsia="fi-FI"/>
              </w:rPr>
              <w:t>UPS:t</w:t>
            </w:r>
            <w:proofErr w:type="spellEnd"/>
            <w:r w:rsidRPr="00C42105">
              <w:rPr>
                <w:rFonts w:ascii="Aptos Narrow" w:hAnsi="Aptos Narrow"/>
                <w:color w:val="000000"/>
                <w:sz w:val="22"/>
                <w:szCs w:val="22"/>
                <w:lang w:eastAsia="fi-FI"/>
              </w:rPr>
              <w:t>, jäähdytys)</w:t>
            </w:r>
          </w:p>
        </w:tc>
        <w:tc>
          <w:tcPr>
            <w:tcW w:w="1377" w:type="dxa"/>
            <w:tcBorders>
              <w:top w:val="single" w:sz="4" w:space="0" w:color="44B3E1"/>
              <w:left w:val="nil"/>
              <w:bottom w:val="single" w:sz="4" w:space="0" w:color="44B3E1"/>
              <w:right w:val="nil"/>
            </w:tcBorders>
            <w:shd w:val="clear" w:color="C0E6F5" w:fill="C0E6F5"/>
            <w:hideMark/>
          </w:tcPr>
          <w:p w14:paraId="0352BC7B"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n. 15–20 %</w:t>
            </w:r>
          </w:p>
        </w:tc>
        <w:tc>
          <w:tcPr>
            <w:tcW w:w="1427" w:type="dxa"/>
            <w:tcBorders>
              <w:top w:val="single" w:sz="4" w:space="0" w:color="44B3E1"/>
              <w:left w:val="nil"/>
              <w:bottom w:val="single" w:sz="4" w:space="0" w:color="44B3E1"/>
              <w:right w:val="nil"/>
            </w:tcBorders>
            <w:shd w:val="clear" w:color="C0E6F5" w:fill="C0E6F5"/>
            <w:hideMark/>
          </w:tcPr>
          <w:p w14:paraId="18157B20" w14:textId="77777777" w:rsidR="00C42105" w:rsidRPr="00C42105" w:rsidRDefault="00C42105" w:rsidP="00C42105">
            <w:pPr>
              <w:rPr>
                <w:rFonts w:ascii="Aptos Narrow" w:hAnsi="Aptos Narrow"/>
                <w:color w:val="000000"/>
                <w:sz w:val="22"/>
                <w:szCs w:val="22"/>
                <w:lang w:eastAsia="fi-FI"/>
              </w:rPr>
            </w:pPr>
            <w:proofErr w:type="gramStart"/>
            <w:r w:rsidRPr="00C42105">
              <w:rPr>
                <w:rFonts w:ascii="Aptos Narrow" w:hAnsi="Aptos Narrow"/>
                <w:color w:val="000000"/>
                <w:sz w:val="22"/>
                <w:szCs w:val="22"/>
                <w:lang w:eastAsia="fi-FI"/>
              </w:rPr>
              <w:t>1 800 – 2 400</w:t>
            </w:r>
            <w:proofErr w:type="gramEnd"/>
          </w:p>
        </w:tc>
        <w:tc>
          <w:tcPr>
            <w:tcW w:w="3260" w:type="dxa"/>
            <w:tcBorders>
              <w:top w:val="single" w:sz="4" w:space="0" w:color="44B3E1"/>
              <w:left w:val="nil"/>
              <w:bottom w:val="single" w:sz="4" w:space="0" w:color="44B3E1"/>
              <w:right w:val="single" w:sz="4" w:space="0" w:color="44B3E1"/>
            </w:tcBorders>
            <w:shd w:val="clear" w:color="C0E6F5" w:fill="C0E6F5"/>
            <w:hideMark/>
          </w:tcPr>
          <w:p w14:paraId="0B213633"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Vähäinen. Laitteet valmistetaan ulkomailla. Suomeen jää asennus- ja kytkentätyötä sekä kantaverkkoliityntöjä.</w:t>
            </w:r>
          </w:p>
        </w:tc>
      </w:tr>
      <w:tr w:rsidR="00C42105" w:rsidRPr="00C42105" w14:paraId="25DD6E0B" w14:textId="77777777" w:rsidTr="00C42105">
        <w:trPr>
          <w:trHeight w:val="630"/>
        </w:trPr>
        <w:tc>
          <w:tcPr>
            <w:tcW w:w="1869" w:type="dxa"/>
            <w:tcBorders>
              <w:top w:val="single" w:sz="4" w:space="0" w:color="44B3E1"/>
              <w:left w:val="single" w:sz="4" w:space="0" w:color="44B3E1"/>
              <w:bottom w:val="single" w:sz="4" w:space="0" w:color="44B3E1"/>
              <w:right w:val="nil"/>
            </w:tcBorders>
            <w:hideMark/>
          </w:tcPr>
          <w:p w14:paraId="027815C8"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Maanrakennus, perustus ja kuorirakenteet (hallit, betonityöt, maanmuokkaus)</w:t>
            </w:r>
          </w:p>
        </w:tc>
        <w:tc>
          <w:tcPr>
            <w:tcW w:w="1377" w:type="dxa"/>
            <w:tcBorders>
              <w:top w:val="single" w:sz="4" w:space="0" w:color="44B3E1"/>
              <w:left w:val="nil"/>
              <w:bottom w:val="single" w:sz="4" w:space="0" w:color="44B3E1"/>
              <w:right w:val="nil"/>
            </w:tcBorders>
            <w:hideMark/>
          </w:tcPr>
          <w:p w14:paraId="53E84470"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n. 10–15 %</w:t>
            </w:r>
          </w:p>
        </w:tc>
        <w:tc>
          <w:tcPr>
            <w:tcW w:w="1427" w:type="dxa"/>
            <w:tcBorders>
              <w:top w:val="single" w:sz="4" w:space="0" w:color="44B3E1"/>
              <w:left w:val="nil"/>
              <w:bottom w:val="single" w:sz="4" w:space="0" w:color="44B3E1"/>
              <w:right w:val="nil"/>
            </w:tcBorders>
            <w:hideMark/>
          </w:tcPr>
          <w:p w14:paraId="10967208" w14:textId="77777777" w:rsidR="00C42105" w:rsidRPr="00C42105" w:rsidRDefault="00C42105" w:rsidP="00C42105">
            <w:pPr>
              <w:rPr>
                <w:rFonts w:ascii="Aptos Narrow" w:hAnsi="Aptos Narrow"/>
                <w:color w:val="000000"/>
                <w:sz w:val="22"/>
                <w:szCs w:val="22"/>
                <w:lang w:eastAsia="fi-FI"/>
              </w:rPr>
            </w:pPr>
            <w:proofErr w:type="gramStart"/>
            <w:r w:rsidRPr="00C42105">
              <w:rPr>
                <w:rFonts w:ascii="Aptos Narrow" w:hAnsi="Aptos Narrow"/>
                <w:color w:val="000000"/>
                <w:sz w:val="22"/>
                <w:szCs w:val="22"/>
                <w:lang w:eastAsia="fi-FI"/>
              </w:rPr>
              <w:t>1 200 – 1 800</w:t>
            </w:r>
            <w:proofErr w:type="gramEnd"/>
          </w:p>
        </w:tc>
        <w:tc>
          <w:tcPr>
            <w:tcW w:w="3260" w:type="dxa"/>
            <w:tcBorders>
              <w:top w:val="single" w:sz="4" w:space="0" w:color="44B3E1"/>
              <w:left w:val="nil"/>
              <w:bottom w:val="single" w:sz="4" w:space="0" w:color="44B3E1"/>
              <w:right w:val="single" w:sz="4" w:space="0" w:color="44B3E1"/>
            </w:tcBorders>
            <w:hideMark/>
          </w:tcPr>
          <w:p w14:paraId="76A15241" w14:textId="77777777" w:rsidR="00C42105" w:rsidRPr="00C42105" w:rsidRDefault="00C42105" w:rsidP="00C42105">
            <w:pPr>
              <w:rPr>
                <w:rFonts w:ascii="Aptos Narrow" w:hAnsi="Aptos Narrow"/>
                <w:color w:val="000000"/>
                <w:sz w:val="22"/>
                <w:szCs w:val="22"/>
                <w:lang w:eastAsia="fi-FI"/>
              </w:rPr>
            </w:pPr>
            <w:r w:rsidRPr="00C42105">
              <w:rPr>
                <w:rFonts w:ascii="Aptos Narrow" w:hAnsi="Aptos Narrow"/>
                <w:color w:val="000000"/>
                <w:sz w:val="22"/>
                <w:szCs w:val="22"/>
                <w:lang w:eastAsia="fi-FI"/>
              </w:rPr>
              <w:t>Pääosin kotimaista. Maanrakennus-, betoni-, runko- ja LVI-urakat työllistävät paikallisia yrityksiä.</w:t>
            </w:r>
          </w:p>
        </w:tc>
      </w:tr>
    </w:tbl>
    <w:p w14:paraId="55B42B0A" w14:textId="77777777" w:rsidR="000E7213" w:rsidRDefault="000E7213" w:rsidP="000C3E9C"/>
    <w:p w14:paraId="72A3786E" w14:textId="7C8AA755" w:rsidR="000E7213" w:rsidRDefault="00D45530" w:rsidP="000C3E9C">
      <w:r>
        <w:t>Oletukset:</w:t>
      </w:r>
    </w:p>
    <w:p w14:paraId="056EB611" w14:textId="70090B41" w:rsidR="00D45530" w:rsidRDefault="005B72B7" w:rsidP="00D45530">
      <w:pPr>
        <w:pStyle w:val="Luettelokappale"/>
        <w:numPr>
          <w:ilvl w:val="0"/>
          <w:numId w:val="22"/>
        </w:numPr>
      </w:pPr>
      <w:r w:rsidRPr="005B72B7">
        <w:t>Kotimaisen toimitusketjun laskutus: n. 2</w:t>
      </w:r>
      <w:r>
        <w:t> </w:t>
      </w:r>
      <w:r w:rsidRPr="005B72B7">
        <w:t>500</w:t>
      </w:r>
      <w:r>
        <w:t>M€</w:t>
      </w:r>
    </w:p>
    <w:p w14:paraId="28F80F3B" w14:textId="74BFB1B5" w:rsidR="005B72B7" w:rsidRDefault="002B0A55" w:rsidP="00D45530">
      <w:pPr>
        <w:pStyle w:val="Luettelokappale"/>
        <w:numPr>
          <w:ilvl w:val="0"/>
          <w:numId w:val="22"/>
        </w:numPr>
      </w:pPr>
      <w:r w:rsidRPr="002B0A55">
        <w:t>Urakointi- ja asennusalan keskimääräinen liikevoittomarginaali: Tyypillisesti n. 5–10 % (rakennusliikkeillä usein 3–5 %, erikoistekniikan ja sähköurakoinnin asennusyrityksillä 6–10 %).</w:t>
      </w:r>
    </w:p>
    <w:p w14:paraId="2B84EF54" w14:textId="33D1C45A" w:rsidR="00B95385" w:rsidRPr="00B95385" w:rsidRDefault="00B95385" w:rsidP="00621734">
      <w:pPr>
        <w:pStyle w:val="Luettelokappale"/>
        <w:numPr>
          <w:ilvl w:val="0"/>
          <w:numId w:val="22"/>
        </w:numPr>
        <w:spacing w:after="100" w:afterAutospacing="1"/>
        <w:rPr>
          <w:rFonts w:ascii="Arial" w:hAnsi="Arial" w:cs="Arial"/>
          <w:szCs w:val="24"/>
          <w:lang w:eastAsia="fi-FI"/>
        </w:rPr>
      </w:pPr>
      <w:r w:rsidRPr="00B95385">
        <w:rPr>
          <w:rFonts w:ascii="Arial" w:hAnsi="Arial" w:cs="Arial"/>
          <w:szCs w:val="24"/>
          <w:lang w:eastAsia="fi-FI"/>
        </w:rPr>
        <w:t>Verotettava liikevoitto Suomessa</w:t>
      </w:r>
      <w:r w:rsidRPr="00B95385">
        <w:rPr>
          <w:rFonts w:ascii="Arial" w:hAnsi="Arial" w:cs="Arial"/>
          <w:b/>
          <w:bCs/>
          <w:szCs w:val="24"/>
          <w:lang w:eastAsia="fi-FI"/>
        </w:rPr>
        <w:t>:</w:t>
      </w:r>
      <w:r>
        <w:rPr>
          <w:rFonts w:ascii="Arial" w:hAnsi="Arial" w:cs="Arial"/>
          <w:b/>
          <w:bCs/>
          <w:szCs w:val="24"/>
          <w:lang w:eastAsia="fi-FI"/>
        </w:rPr>
        <w:t xml:space="preserve"> </w:t>
      </w:r>
      <m:oMath>
        <m:r>
          <w:rPr>
            <w:rFonts w:ascii="Cambria Math" w:hAnsi="Cambria Math" w:cs="Arial"/>
            <w:szCs w:val="24"/>
            <w:lang w:eastAsia="fi-FI"/>
          </w:rPr>
          <m:t>2 500</m:t>
        </m:r>
        <m:r>
          <m:rPr>
            <m:nor/>
          </m:rPr>
          <w:rPr>
            <w:rFonts w:ascii="Arial" w:hAnsi="Arial" w:cs="Arial"/>
            <w:szCs w:val="24"/>
            <w:lang w:eastAsia="fi-FI"/>
          </w:rPr>
          <m:t> M€</m:t>
        </m:r>
        <m:r>
          <w:rPr>
            <w:rFonts w:ascii="Cambria Math" w:hAnsi="Cambria Math" w:cs="Arial"/>
            <w:szCs w:val="24"/>
            <w:lang w:eastAsia="fi-FI"/>
          </w:rPr>
          <m:t>×5</m:t>
        </m:r>
        <m:r>
          <m:rPr>
            <m:nor/>
          </m:rPr>
          <w:rPr>
            <w:rFonts w:ascii="Arial" w:hAnsi="Arial" w:cs="Arial"/>
            <w:szCs w:val="24"/>
            <w:lang w:eastAsia="fi-FI"/>
          </w:rPr>
          <m:t>–</m:t>
        </m:r>
        <m:r>
          <w:rPr>
            <w:rFonts w:ascii="Cambria Math" w:hAnsi="Cambria Math" w:cs="Arial"/>
            <w:szCs w:val="24"/>
            <w:lang w:eastAsia="fi-FI"/>
          </w:rPr>
          <m:t>10 %=125</m:t>
        </m:r>
        <m:r>
          <m:rPr>
            <m:nor/>
          </m:rPr>
          <w:rPr>
            <w:rFonts w:ascii="Arial" w:hAnsi="Arial" w:cs="Arial"/>
            <w:szCs w:val="24"/>
            <w:lang w:eastAsia="fi-FI"/>
          </w:rPr>
          <m:t>–</m:t>
        </m:r>
        <m:r>
          <w:rPr>
            <w:rFonts w:ascii="Cambria Math" w:hAnsi="Cambria Math" w:cs="Arial"/>
            <w:szCs w:val="24"/>
            <w:lang w:eastAsia="fi-FI"/>
          </w:rPr>
          <m:t>250</m:t>
        </m:r>
        <m:r>
          <m:rPr>
            <m:nor/>
          </m:rPr>
          <w:rPr>
            <w:rFonts w:ascii="Arial" w:hAnsi="Arial" w:cs="Arial"/>
            <w:szCs w:val="24"/>
            <w:lang w:eastAsia="fi-FI"/>
          </w:rPr>
          <m:t> milj. €</m:t>
        </m:r>
      </m:oMath>
    </w:p>
    <w:p w14:paraId="0295BE1F" w14:textId="05AC8B57" w:rsidR="002B0A55" w:rsidRDefault="00B95385" w:rsidP="00D45530">
      <w:pPr>
        <w:pStyle w:val="Luettelokappale"/>
        <w:numPr>
          <w:ilvl w:val="0"/>
          <w:numId w:val="22"/>
        </w:numPr>
      </w:pPr>
      <w:r w:rsidRPr="00B95385">
        <w:t>Yhteisövero (20 %):</w:t>
      </w:r>
      <w:r>
        <w:t xml:space="preserve"> </w:t>
      </w:r>
      <w:r w:rsidR="0076451B">
        <w:t>125 – 250M€ * 20</w:t>
      </w:r>
      <w:proofErr w:type="gramStart"/>
      <w:r w:rsidR="0076451B">
        <w:t>%</w:t>
      </w:r>
      <w:r w:rsidR="00ED2AD2">
        <w:t xml:space="preserve"> </w:t>
      </w:r>
      <w:r w:rsidR="0076451B">
        <w:t xml:space="preserve"> =</w:t>
      </w:r>
      <w:proofErr w:type="gramEnd"/>
      <w:r w:rsidR="0076451B">
        <w:t xml:space="preserve"> 25-50M€</w:t>
      </w:r>
    </w:p>
    <w:p w14:paraId="40E9D425" w14:textId="77777777" w:rsidR="00BB7260" w:rsidRDefault="00BB7260" w:rsidP="00BB7260"/>
    <w:p w14:paraId="0C93C28C" w14:textId="2DC93E44" w:rsidR="00BB7260" w:rsidRDefault="00BB7260" w:rsidP="00BB7260">
      <w:r w:rsidRPr="00BB7260">
        <w:t xml:space="preserve">Jos mukaan lasketaan laajemmat kerrannaisvaikutukset (kuten alueellinen majoitus, maanvuokrat ja paikalliset kuljetuspalvelut), koko rakennuskauden yhteenlaskettu yhteisöverovaikutus nousee noin </w:t>
      </w:r>
      <w:proofErr w:type="gramStart"/>
      <w:r w:rsidRPr="00BB7260">
        <w:rPr>
          <w:b/>
          <w:bCs/>
        </w:rPr>
        <w:t>30 – 60</w:t>
      </w:r>
      <w:proofErr w:type="gramEnd"/>
      <w:r w:rsidRPr="00BB7260">
        <w:rPr>
          <w:b/>
          <w:bCs/>
        </w:rPr>
        <w:t xml:space="preserve"> miljoonaan euroon</w:t>
      </w:r>
      <w:r w:rsidRPr="00BB7260">
        <w:t>.</w:t>
      </w:r>
    </w:p>
    <w:p w14:paraId="5B2E9FF5" w14:textId="77777777" w:rsidR="00B27268" w:rsidRDefault="00B27268" w:rsidP="000C3E9C"/>
    <w:p w14:paraId="570EB271" w14:textId="3B53DE43" w:rsidR="00AE3372" w:rsidRDefault="00AE4B09" w:rsidP="0082436F">
      <w:pPr>
        <w:pStyle w:val="Otsikko3"/>
      </w:pPr>
      <w:r w:rsidRPr="00AE4B09">
        <w:t>Arvonlisävero</w:t>
      </w:r>
    </w:p>
    <w:p w14:paraId="486373B6" w14:textId="77777777" w:rsidR="009F5877" w:rsidRDefault="009F5877" w:rsidP="00D35986">
      <w:pPr>
        <w:rPr>
          <w:b/>
          <w:bCs/>
        </w:rPr>
      </w:pPr>
    </w:p>
    <w:p w14:paraId="52EFC7BA" w14:textId="4609654B" w:rsidR="009F5877" w:rsidRPr="009F5877" w:rsidRDefault="009F5877" w:rsidP="009F5877">
      <w:r w:rsidRPr="009F5877">
        <w:t>Yritysten välisessä kaupassa ALV on vähennyskelpoinen. Rakentajat ja muut toimittajat tilittävät verot valtiolle, ja operaattori saa saman summan takaisin palautuksena. Valtiolle jää nettona vain se ALV, joka kertyy lopullisesta kulutuksesta, koska siihen ei ole vähennysoikeutta.</w:t>
      </w:r>
      <w:r>
        <w:t xml:space="preserve"> </w:t>
      </w:r>
      <w:r w:rsidRPr="009F5877">
        <w:t xml:space="preserve">Datakeskuksen palvelut myydään pääosin ulkomaille, eikä niistä peritä Suomen ALV:tä. </w:t>
      </w:r>
      <w:proofErr w:type="spellStart"/>
      <w:r w:rsidRPr="009F5877">
        <w:t>Pervilän</w:t>
      </w:r>
      <w:proofErr w:type="spellEnd"/>
      <w:r w:rsidRPr="009F5877">
        <w:t xml:space="preserve"> ja Kangasharjun raportin mukaan datakeskukset eivät yleensä myy ALV:n sisältävää palvelua Suomessa, vaikka saavat palautuksena ALV:n tekemistään hankinnoista. Tähän pitkän ketjun loppupisteeseen ei siis synny veroa.</w:t>
      </w:r>
    </w:p>
    <w:p w14:paraId="7A38EF3F" w14:textId="77777777" w:rsidR="009F5877" w:rsidRDefault="009F5877" w:rsidP="00D35986">
      <w:pPr>
        <w:rPr>
          <w:b/>
          <w:bCs/>
        </w:rPr>
      </w:pPr>
    </w:p>
    <w:p w14:paraId="12A91CA5" w14:textId="6E692EFF" w:rsidR="00AE4B09" w:rsidRDefault="00517A74" w:rsidP="00D35986">
      <w:r w:rsidRPr="00517A74">
        <w:t>ALV-tulo jää todennäköisesti lähelle nollaa. Brutto-ALV-virrat ovat noin 0,8–0,9 mrd. €, mutta ne palautuvat</w:t>
      </w:r>
      <w:r>
        <w:t xml:space="preserve"> datakeskusten</w:t>
      </w:r>
      <w:r w:rsidRPr="00517A74">
        <w:t xml:space="preserve"> operaattor</w:t>
      </w:r>
      <w:r w:rsidR="00934F3F">
        <w:t>eille</w:t>
      </w:r>
      <w:r w:rsidRPr="00517A74">
        <w:t>. Nettona jäävät vain työntekijöiden kulutuksen ALV, noin 3–11 milj. €/v käyttövaiheessa ja 20–45 milj. € koko rakennusajalta.</w:t>
      </w:r>
    </w:p>
    <w:tbl>
      <w:tblPr>
        <w:tblW w:w="6960" w:type="dxa"/>
        <w:tblCellMar>
          <w:left w:w="70" w:type="dxa"/>
          <w:right w:w="70" w:type="dxa"/>
        </w:tblCellMar>
        <w:tblLook w:val="04A0" w:firstRow="1" w:lastRow="0" w:firstColumn="1" w:lastColumn="0" w:noHBand="0" w:noVBand="1"/>
      </w:tblPr>
      <w:tblGrid>
        <w:gridCol w:w="2320"/>
        <w:gridCol w:w="2320"/>
        <w:gridCol w:w="2320"/>
      </w:tblGrid>
      <w:tr w:rsidR="00262FC4" w:rsidRPr="00262FC4" w14:paraId="06CF561B" w14:textId="77777777" w:rsidTr="00262FC4">
        <w:trPr>
          <w:trHeight w:val="900"/>
        </w:trPr>
        <w:tc>
          <w:tcPr>
            <w:tcW w:w="2320" w:type="dxa"/>
            <w:tcBorders>
              <w:top w:val="single" w:sz="4" w:space="0" w:color="44B3E1"/>
              <w:left w:val="single" w:sz="4" w:space="0" w:color="44B3E1"/>
              <w:bottom w:val="single" w:sz="4" w:space="0" w:color="44B3E1"/>
              <w:right w:val="nil"/>
            </w:tcBorders>
            <w:shd w:val="clear" w:color="C0E6F5" w:fill="C0E6F5"/>
            <w:vAlign w:val="center"/>
            <w:hideMark/>
          </w:tcPr>
          <w:p w14:paraId="1FA17B76"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ALV kotimaisista rakennus- ja palveluhankinnoista</w:t>
            </w:r>
          </w:p>
        </w:tc>
        <w:tc>
          <w:tcPr>
            <w:tcW w:w="2320" w:type="dxa"/>
            <w:tcBorders>
              <w:top w:val="single" w:sz="4" w:space="0" w:color="44B3E1"/>
              <w:left w:val="nil"/>
              <w:bottom w:val="single" w:sz="4" w:space="0" w:color="44B3E1"/>
              <w:right w:val="nil"/>
            </w:tcBorders>
            <w:shd w:val="clear" w:color="C0E6F5" w:fill="C0E6F5"/>
            <w:vAlign w:val="center"/>
            <w:hideMark/>
          </w:tcPr>
          <w:p w14:paraId="110A2521"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~0,8–0,9 mrd. € brutto</w:t>
            </w:r>
          </w:p>
        </w:tc>
        <w:tc>
          <w:tcPr>
            <w:tcW w:w="2320" w:type="dxa"/>
            <w:tcBorders>
              <w:top w:val="single" w:sz="4" w:space="0" w:color="44B3E1"/>
              <w:left w:val="nil"/>
              <w:bottom w:val="single" w:sz="4" w:space="0" w:color="44B3E1"/>
              <w:right w:val="single" w:sz="4" w:space="0" w:color="44B3E1"/>
            </w:tcBorders>
            <w:shd w:val="clear" w:color="C0E6F5" w:fill="C0E6F5"/>
            <w:vAlign w:val="center"/>
            <w:hideMark/>
          </w:tcPr>
          <w:p w14:paraId="4D3F0C80"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Palautuu operaattorille</w:t>
            </w:r>
          </w:p>
        </w:tc>
      </w:tr>
      <w:tr w:rsidR="00262FC4" w:rsidRPr="00262FC4" w14:paraId="1404629E" w14:textId="77777777" w:rsidTr="00262FC4">
        <w:trPr>
          <w:trHeight w:val="600"/>
        </w:trPr>
        <w:tc>
          <w:tcPr>
            <w:tcW w:w="2320" w:type="dxa"/>
            <w:tcBorders>
              <w:top w:val="single" w:sz="4" w:space="0" w:color="44B3E1"/>
              <w:left w:val="single" w:sz="4" w:space="0" w:color="44B3E1"/>
              <w:bottom w:val="single" w:sz="4" w:space="0" w:color="44B3E1"/>
              <w:right w:val="nil"/>
            </w:tcBorders>
            <w:vAlign w:val="center"/>
            <w:hideMark/>
          </w:tcPr>
          <w:p w14:paraId="5B2707D9"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IT-laitteiden ALV (~9 mrd. € × 25,5 %)</w:t>
            </w:r>
          </w:p>
        </w:tc>
        <w:tc>
          <w:tcPr>
            <w:tcW w:w="2320" w:type="dxa"/>
            <w:tcBorders>
              <w:top w:val="single" w:sz="4" w:space="0" w:color="44B3E1"/>
              <w:left w:val="nil"/>
              <w:bottom w:val="single" w:sz="4" w:space="0" w:color="44B3E1"/>
              <w:right w:val="nil"/>
            </w:tcBorders>
            <w:vAlign w:val="center"/>
            <w:hideMark/>
          </w:tcPr>
          <w:p w14:paraId="0364F8F6"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Teoriassa ~2,3 mrd. €</w:t>
            </w:r>
          </w:p>
        </w:tc>
        <w:tc>
          <w:tcPr>
            <w:tcW w:w="2320" w:type="dxa"/>
            <w:tcBorders>
              <w:top w:val="single" w:sz="4" w:space="0" w:color="44B3E1"/>
              <w:left w:val="nil"/>
              <w:bottom w:val="single" w:sz="4" w:space="0" w:color="44B3E1"/>
              <w:right w:val="single" w:sz="4" w:space="0" w:color="44B3E1"/>
            </w:tcBorders>
            <w:vAlign w:val="center"/>
            <w:hideMark/>
          </w:tcPr>
          <w:p w14:paraId="53AFA2C6"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Ei kerry Suomeen tai on vähennyskelpoinen</w:t>
            </w:r>
          </w:p>
        </w:tc>
      </w:tr>
      <w:tr w:rsidR="00262FC4" w:rsidRPr="00262FC4" w14:paraId="096EB9B5" w14:textId="77777777" w:rsidTr="00262FC4">
        <w:trPr>
          <w:trHeight w:val="600"/>
        </w:trPr>
        <w:tc>
          <w:tcPr>
            <w:tcW w:w="2320" w:type="dxa"/>
            <w:tcBorders>
              <w:top w:val="single" w:sz="4" w:space="0" w:color="44B3E1"/>
              <w:left w:val="single" w:sz="4" w:space="0" w:color="44B3E1"/>
              <w:bottom w:val="single" w:sz="4" w:space="0" w:color="44B3E1"/>
              <w:right w:val="nil"/>
            </w:tcBorders>
            <w:shd w:val="clear" w:color="C0E6F5" w:fill="C0E6F5"/>
            <w:vAlign w:val="center"/>
            <w:hideMark/>
          </w:tcPr>
          <w:p w14:paraId="07481554" w14:textId="77777777" w:rsidR="00262FC4" w:rsidRPr="00262FC4" w:rsidRDefault="00262FC4" w:rsidP="00262FC4">
            <w:pPr>
              <w:rPr>
                <w:rFonts w:ascii="Aptos Narrow" w:hAnsi="Aptos Narrow"/>
                <w:b/>
                <w:bCs/>
                <w:color w:val="000000"/>
                <w:sz w:val="22"/>
                <w:szCs w:val="22"/>
                <w:lang w:eastAsia="fi-FI"/>
              </w:rPr>
            </w:pPr>
            <w:r w:rsidRPr="00262FC4">
              <w:rPr>
                <w:rFonts w:ascii="Aptos Narrow" w:hAnsi="Aptos Narrow"/>
                <w:b/>
                <w:bCs/>
                <w:color w:val="000000"/>
                <w:sz w:val="22"/>
                <w:szCs w:val="22"/>
                <w:lang w:eastAsia="fi-FI"/>
              </w:rPr>
              <w:lastRenderedPageBreak/>
              <w:t>Nettovaikutus investoinnista</w:t>
            </w:r>
          </w:p>
        </w:tc>
        <w:tc>
          <w:tcPr>
            <w:tcW w:w="2320" w:type="dxa"/>
            <w:tcBorders>
              <w:top w:val="single" w:sz="4" w:space="0" w:color="44B3E1"/>
              <w:left w:val="nil"/>
              <w:bottom w:val="single" w:sz="4" w:space="0" w:color="44B3E1"/>
              <w:right w:val="nil"/>
            </w:tcBorders>
            <w:shd w:val="clear" w:color="C0E6F5" w:fill="C0E6F5"/>
            <w:vAlign w:val="center"/>
            <w:hideMark/>
          </w:tcPr>
          <w:p w14:paraId="7366E764" w14:textId="77777777" w:rsidR="00262FC4" w:rsidRPr="00262FC4" w:rsidRDefault="00262FC4" w:rsidP="00262FC4">
            <w:pPr>
              <w:rPr>
                <w:rFonts w:ascii="Aptos Narrow" w:hAnsi="Aptos Narrow"/>
                <w:b/>
                <w:bCs/>
                <w:color w:val="000000"/>
                <w:sz w:val="22"/>
                <w:szCs w:val="22"/>
                <w:lang w:eastAsia="fi-FI"/>
              </w:rPr>
            </w:pPr>
            <w:r w:rsidRPr="00262FC4">
              <w:rPr>
                <w:rFonts w:ascii="Aptos Narrow" w:hAnsi="Aptos Narrow"/>
                <w:b/>
                <w:bCs/>
                <w:color w:val="000000"/>
                <w:sz w:val="22"/>
                <w:szCs w:val="22"/>
                <w:lang w:eastAsia="fi-FI"/>
              </w:rPr>
              <w:t>~0</w:t>
            </w:r>
          </w:p>
        </w:tc>
        <w:tc>
          <w:tcPr>
            <w:tcW w:w="2320" w:type="dxa"/>
            <w:tcBorders>
              <w:top w:val="single" w:sz="4" w:space="0" w:color="44B3E1"/>
              <w:left w:val="nil"/>
              <w:bottom w:val="single" w:sz="4" w:space="0" w:color="44B3E1"/>
              <w:right w:val="single" w:sz="4" w:space="0" w:color="44B3E1"/>
            </w:tcBorders>
            <w:shd w:val="clear" w:color="C0E6F5" w:fill="C0E6F5"/>
            <w:vAlign w:val="center"/>
            <w:hideMark/>
          </w:tcPr>
          <w:p w14:paraId="4DC7EA27"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Palautukset kumoavat bruttokertymän</w:t>
            </w:r>
          </w:p>
        </w:tc>
      </w:tr>
      <w:tr w:rsidR="00262FC4" w:rsidRPr="00262FC4" w14:paraId="0724E240" w14:textId="77777777" w:rsidTr="00262FC4">
        <w:trPr>
          <w:trHeight w:val="900"/>
        </w:trPr>
        <w:tc>
          <w:tcPr>
            <w:tcW w:w="2320" w:type="dxa"/>
            <w:tcBorders>
              <w:top w:val="single" w:sz="4" w:space="0" w:color="44B3E1"/>
              <w:left w:val="single" w:sz="4" w:space="0" w:color="44B3E1"/>
              <w:bottom w:val="single" w:sz="4" w:space="0" w:color="44B3E1"/>
              <w:right w:val="nil"/>
            </w:tcBorders>
            <w:vAlign w:val="center"/>
            <w:hideMark/>
          </w:tcPr>
          <w:p w14:paraId="77D6F891"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Työntekijöiden kulutuksen ALV, käyttövaihe</w:t>
            </w:r>
          </w:p>
        </w:tc>
        <w:tc>
          <w:tcPr>
            <w:tcW w:w="2320" w:type="dxa"/>
            <w:tcBorders>
              <w:top w:val="single" w:sz="4" w:space="0" w:color="44B3E1"/>
              <w:left w:val="nil"/>
              <w:bottom w:val="single" w:sz="4" w:space="0" w:color="44B3E1"/>
              <w:right w:val="nil"/>
            </w:tcBorders>
            <w:vAlign w:val="center"/>
            <w:hideMark/>
          </w:tcPr>
          <w:p w14:paraId="0D0ACC23"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~3–11 milj. €/v</w:t>
            </w:r>
          </w:p>
        </w:tc>
        <w:tc>
          <w:tcPr>
            <w:tcW w:w="2320" w:type="dxa"/>
            <w:tcBorders>
              <w:top w:val="single" w:sz="4" w:space="0" w:color="44B3E1"/>
              <w:left w:val="nil"/>
              <w:bottom w:val="single" w:sz="4" w:space="0" w:color="44B3E1"/>
              <w:right w:val="single" w:sz="4" w:space="0" w:color="44B3E1"/>
            </w:tcBorders>
            <w:vAlign w:val="center"/>
            <w:hideMark/>
          </w:tcPr>
          <w:p w14:paraId="72461F1F" w14:textId="57687B5A" w:rsidR="00262FC4" w:rsidRPr="00262FC4" w:rsidRDefault="00262FC4" w:rsidP="00262FC4">
            <w:pPr>
              <w:rPr>
                <w:rFonts w:ascii="Aptos Narrow" w:hAnsi="Aptos Narrow"/>
                <w:color w:val="000000"/>
                <w:sz w:val="22"/>
                <w:szCs w:val="22"/>
                <w:lang w:eastAsia="fi-FI"/>
              </w:rPr>
            </w:pPr>
          </w:p>
        </w:tc>
      </w:tr>
      <w:tr w:rsidR="00262FC4" w:rsidRPr="00262FC4" w14:paraId="1B38253A" w14:textId="77777777" w:rsidTr="00262FC4">
        <w:trPr>
          <w:trHeight w:val="900"/>
        </w:trPr>
        <w:tc>
          <w:tcPr>
            <w:tcW w:w="2320" w:type="dxa"/>
            <w:tcBorders>
              <w:top w:val="single" w:sz="4" w:space="0" w:color="44B3E1"/>
              <w:left w:val="single" w:sz="4" w:space="0" w:color="44B3E1"/>
              <w:bottom w:val="single" w:sz="4" w:space="0" w:color="44B3E1"/>
              <w:right w:val="nil"/>
            </w:tcBorders>
            <w:shd w:val="clear" w:color="C0E6F5" w:fill="C0E6F5"/>
            <w:vAlign w:val="center"/>
            <w:hideMark/>
          </w:tcPr>
          <w:p w14:paraId="2D0859A3"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Rakennusajan työntekijöiden kulutuksen ALV</w:t>
            </w:r>
          </w:p>
        </w:tc>
        <w:tc>
          <w:tcPr>
            <w:tcW w:w="2320" w:type="dxa"/>
            <w:tcBorders>
              <w:top w:val="single" w:sz="4" w:space="0" w:color="44B3E1"/>
              <w:left w:val="nil"/>
              <w:bottom w:val="single" w:sz="4" w:space="0" w:color="44B3E1"/>
              <w:right w:val="nil"/>
            </w:tcBorders>
            <w:shd w:val="clear" w:color="C0E6F5" w:fill="C0E6F5"/>
            <w:vAlign w:val="center"/>
            <w:hideMark/>
          </w:tcPr>
          <w:p w14:paraId="34639862" w14:textId="77777777" w:rsidR="00262FC4" w:rsidRPr="00262FC4" w:rsidRDefault="00262FC4" w:rsidP="00262FC4">
            <w:pPr>
              <w:rPr>
                <w:rFonts w:ascii="Aptos Narrow" w:hAnsi="Aptos Narrow"/>
                <w:color w:val="000000"/>
                <w:sz w:val="22"/>
                <w:szCs w:val="22"/>
                <w:lang w:eastAsia="fi-FI"/>
              </w:rPr>
            </w:pPr>
            <w:r w:rsidRPr="00262FC4">
              <w:rPr>
                <w:rFonts w:ascii="Aptos Narrow" w:hAnsi="Aptos Narrow"/>
                <w:color w:val="000000"/>
                <w:sz w:val="22"/>
                <w:szCs w:val="22"/>
                <w:lang w:eastAsia="fi-FI"/>
              </w:rPr>
              <w:t>~20–45 milj. € yhteensä</w:t>
            </w:r>
          </w:p>
        </w:tc>
        <w:tc>
          <w:tcPr>
            <w:tcW w:w="2320" w:type="dxa"/>
            <w:tcBorders>
              <w:top w:val="single" w:sz="4" w:space="0" w:color="44B3E1"/>
              <w:left w:val="nil"/>
              <w:bottom w:val="single" w:sz="4" w:space="0" w:color="44B3E1"/>
              <w:right w:val="single" w:sz="4" w:space="0" w:color="44B3E1"/>
            </w:tcBorders>
            <w:shd w:val="clear" w:color="C0E6F5" w:fill="C0E6F5"/>
            <w:vAlign w:val="center"/>
            <w:hideMark/>
          </w:tcPr>
          <w:p w14:paraId="6BD9BD18" w14:textId="5E510349" w:rsidR="00262FC4" w:rsidRPr="00262FC4" w:rsidRDefault="00262FC4" w:rsidP="00262FC4">
            <w:pPr>
              <w:rPr>
                <w:rFonts w:ascii="Aptos Narrow" w:hAnsi="Aptos Narrow"/>
                <w:color w:val="000000"/>
                <w:sz w:val="22"/>
                <w:szCs w:val="22"/>
                <w:lang w:eastAsia="fi-FI"/>
              </w:rPr>
            </w:pPr>
          </w:p>
        </w:tc>
      </w:tr>
    </w:tbl>
    <w:p w14:paraId="191DF0F2" w14:textId="77777777" w:rsidR="00262FC4" w:rsidRDefault="00262FC4" w:rsidP="00D35986"/>
    <w:p w14:paraId="26DBAF7D" w14:textId="17DE56BB" w:rsidR="00262FC4" w:rsidRDefault="00B07D08" w:rsidP="00D35986">
      <w:r w:rsidRPr="00B07D08">
        <w:t xml:space="preserve">Verohallinto ja </w:t>
      </w:r>
      <w:proofErr w:type="spellStart"/>
      <w:r w:rsidRPr="00B07D08">
        <w:t>Pervilä</w:t>
      </w:r>
      <w:proofErr w:type="spellEnd"/>
      <w:r w:rsidRPr="00B07D08">
        <w:t>–Kangasharju: Verohallinnon pääjohtajan mukaan suurin yksittäinen ALV-palautus on ollut 240 milj. € yhdessä vuodessa. Heikuran mukaan palautukset syövät verotuottoja ja joissain tapauksissa verotulot ovat miinusmerkkisiä. Raportin mukaan palautukset ovat todennäköisesti suuremmat kuin datakeskusten koko elinaikanaan maksamat yhteisö- ja kiinteistöverot yhteensä.</w:t>
      </w:r>
    </w:p>
    <w:p w14:paraId="07367C86" w14:textId="77777777" w:rsidR="00D122E9" w:rsidRDefault="00D122E9" w:rsidP="00D35986"/>
    <w:p w14:paraId="3B2152A7" w14:textId="7155FBEE" w:rsidR="00D122E9" w:rsidRDefault="00D122E9" w:rsidP="00D35986">
      <w:r w:rsidRPr="00D122E9">
        <w:rPr>
          <w:b/>
          <w:bCs/>
        </w:rPr>
        <w:t xml:space="preserve">Satu </w:t>
      </w:r>
      <w:proofErr w:type="spellStart"/>
      <w:r w:rsidRPr="00D122E9">
        <w:rPr>
          <w:b/>
          <w:bCs/>
        </w:rPr>
        <w:t>Grekin</w:t>
      </w:r>
      <w:proofErr w:type="spellEnd"/>
      <w:r w:rsidRPr="00D122E9">
        <w:rPr>
          <w:b/>
          <w:bCs/>
        </w:rPr>
        <w:t>:</w:t>
      </w:r>
      <w:r w:rsidRPr="00D122E9">
        <w:t xml:space="preserve"> ALV-palautus ei hänen mukaansa ole valtion tappio. Se palauttaa veron, jonka myyjäyritykset ovat jo tilittäneet valtiolle, ja se on veron kertautumista estävän järjestelmän normaalia toimintaa</w:t>
      </w:r>
    </w:p>
    <w:p w14:paraId="3EF535AF" w14:textId="77777777" w:rsidR="0067349F" w:rsidRDefault="0067349F" w:rsidP="00D35986"/>
    <w:p w14:paraId="1BD89F11" w14:textId="385D0C3C" w:rsidR="00FC3B3E" w:rsidRDefault="00FC3B3E" w:rsidP="00FC3B3E">
      <w:r>
        <w:t>Rambollin laskelmassa 101MW datakeskusinvestointi tarkoittaa rakennusvaiheessa n. 75Milj.€ ALV-tuloja. Koska yhden mrd.€ investointi tarkoittaa karkeasti arvioiden juuri 100MW kapasiteetin kasvamista 12mrd.€ investointi tarkoittaisi 900M€ ALV-tuloja.</w:t>
      </w:r>
      <w:r w:rsidR="00EA4479">
        <w:t xml:space="preserve"> Ramboll ei </w:t>
      </w:r>
      <w:r w:rsidR="002A7639">
        <w:t>huomioi laskelmassaan ALV</w:t>
      </w:r>
      <w:r w:rsidR="00265F74">
        <w:t xml:space="preserve">-palautuksia tai </w:t>
      </w:r>
      <w:r w:rsidR="00C3540B">
        <w:t>vähennyksiä</w:t>
      </w:r>
      <w:r w:rsidR="00265F74">
        <w:t>.</w:t>
      </w:r>
      <w:r w:rsidR="00320A1C">
        <w:rPr>
          <w:rStyle w:val="Alaviitteenviite"/>
        </w:rPr>
        <w:footnoteReference w:id="5"/>
      </w:r>
      <w:r w:rsidR="00265F74">
        <w:t xml:space="preserve"> </w:t>
      </w:r>
    </w:p>
    <w:p w14:paraId="55D62F6A" w14:textId="77777777" w:rsidR="00FC3B3E" w:rsidRDefault="00FC3B3E" w:rsidP="00D35986"/>
    <w:p w14:paraId="4E75E4D5" w14:textId="77777777" w:rsidR="00FC3B3E" w:rsidRDefault="00FC3B3E" w:rsidP="00D35986"/>
    <w:p w14:paraId="47F04ADC" w14:textId="1C1BA159" w:rsidR="0067349F" w:rsidRDefault="0067349F" w:rsidP="0082436F">
      <w:pPr>
        <w:pStyle w:val="Otsikko3"/>
      </w:pPr>
      <w:r w:rsidRPr="0067349F">
        <w:t>Tulovero</w:t>
      </w:r>
    </w:p>
    <w:p w14:paraId="662BDEE8" w14:textId="77777777" w:rsidR="00836FBE" w:rsidRDefault="00836FBE" w:rsidP="00D35986">
      <w:pPr>
        <w:rPr>
          <w:b/>
          <w:bCs/>
        </w:rPr>
      </w:pPr>
    </w:p>
    <w:p w14:paraId="4D2B8846" w14:textId="77777777" w:rsidR="00836FBE" w:rsidRPr="0067349F" w:rsidRDefault="00836FBE" w:rsidP="00D35986">
      <w:pPr>
        <w:rPr>
          <w:b/>
          <w:bCs/>
        </w:rPr>
      </w:pPr>
    </w:p>
    <w:p w14:paraId="66906278" w14:textId="77777777" w:rsidR="008C1BB1" w:rsidRDefault="008C1BB1" w:rsidP="00D35986"/>
    <w:p w14:paraId="70FFF0DB" w14:textId="5AB6DFED" w:rsidR="00F64E11" w:rsidRDefault="008C1BB1" w:rsidP="00D35986">
      <w:r w:rsidRPr="008C1BB1">
        <w:t>Käyttövaihe, milj. €/vuosi</w:t>
      </w:r>
    </w:p>
    <w:tbl>
      <w:tblPr>
        <w:tblW w:w="6140" w:type="dxa"/>
        <w:tblCellMar>
          <w:left w:w="70" w:type="dxa"/>
          <w:right w:w="70" w:type="dxa"/>
        </w:tblCellMar>
        <w:tblLook w:val="04A0" w:firstRow="1" w:lastRow="0" w:firstColumn="1" w:lastColumn="0" w:noHBand="0" w:noVBand="1"/>
      </w:tblPr>
      <w:tblGrid>
        <w:gridCol w:w="1920"/>
        <w:gridCol w:w="1160"/>
        <w:gridCol w:w="1720"/>
        <w:gridCol w:w="1340"/>
      </w:tblGrid>
      <w:tr w:rsidR="00F64E11" w:rsidRPr="00F64E11" w14:paraId="16EEB0A2" w14:textId="77777777" w:rsidTr="00F64E11">
        <w:trPr>
          <w:trHeight w:val="300"/>
        </w:trPr>
        <w:tc>
          <w:tcPr>
            <w:tcW w:w="1920" w:type="dxa"/>
            <w:tcBorders>
              <w:top w:val="single" w:sz="4" w:space="0" w:color="44B3E1"/>
              <w:left w:val="single" w:sz="4" w:space="0" w:color="44B3E1"/>
              <w:bottom w:val="single" w:sz="4" w:space="0" w:color="44B3E1"/>
              <w:right w:val="nil"/>
            </w:tcBorders>
            <w:shd w:val="clear" w:color="156082" w:fill="156082"/>
            <w:vAlign w:val="center"/>
            <w:hideMark/>
          </w:tcPr>
          <w:p w14:paraId="4EB18B2E" w14:textId="77777777" w:rsidR="00F64E11" w:rsidRPr="00F64E11" w:rsidRDefault="00F64E11" w:rsidP="00F64E11">
            <w:pPr>
              <w:jc w:val="center"/>
              <w:rPr>
                <w:rFonts w:ascii="Aptos Narrow" w:hAnsi="Aptos Narrow"/>
                <w:b/>
                <w:bCs/>
                <w:color w:val="215C98"/>
                <w:sz w:val="22"/>
                <w:szCs w:val="22"/>
                <w:lang w:eastAsia="fi-FI"/>
              </w:rPr>
            </w:pPr>
            <w:r w:rsidRPr="00F64E11">
              <w:rPr>
                <w:rFonts w:ascii="Aptos Narrow" w:hAnsi="Aptos Narrow"/>
                <w:b/>
                <w:bCs/>
                <w:color w:val="215C98"/>
                <w:sz w:val="22"/>
                <w:szCs w:val="22"/>
                <w:lang w:eastAsia="fi-FI"/>
              </w:rPr>
              <w:t>-</w:t>
            </w:r>
          </w:p>
        </w:tc>
        <w:tc>
          <w:tcPr>
            <w:tcW w:w="1160" w:type="dxa"/>
            <w:tcBorders>
              <w:top w:val="single" w:sz="4" w:space="0" w:color="44B3E1"/>
              <w:left w:val="nil"/>
              <w:bottom w:val="single" w:sz="4" w:space="0" w:color="44B3E1"/>
              <w:right w:val="nil"/>
            </w:tcBorders>
            <w:shd w:val="clear" w:color="156082" w:fill="156082"/>
            <w:vAlign w:val="center"/>
            <w:hideMark/>
          </w:tcPr>
          <w:p w14:paraId="0C3540ED" w14:textId="77777777" w:rsidR="00F64E11" w:rsidRPr="00F64E11" w:rsidRDefault="00F64E11" w:rsidP="00F64E11">
            <w:pPr>
              <w:jc w:val="center"/>
              <w:rPr>
                <w:rFonts w:ascii="Aptos Narrow" w:hAnsi="Aptos Narrow"/>
                <w:b/>
                <w:bCs/>
                <w:color w:val="FFFFFF"/>
                <w:sz w:val="22"/>
                <w:szCs w:val="22"/>
                <w:lang w:eastAsia="fi-FI"/>
              </w:rPr>
            </w:pPr>
            <w:r w:rsidRPr="00F64E11">
              <w:rPr>
                <w:rFonts w:ascii="Aptos Narrow" w:hAnsi="Aptos Narrow"/>
                <w:b/>
                <w:bCs/>
                <w:color w:val="FFFFFF"/>
                <w:sz w:val="22"/>
                <w:szCs w:val="22"/>
                <w:lang w:eastAsia="fi-FI"/>
              </w:rPr>
              <w:t>Alhainen</w:t>
            </w:r>
          </w:p>
        </w:tc>
        <w:tc>
          <w:tcPr>
            <w:tcW w:w="1720" w:type="dxa"/>
            <w:tcBorders>
              <w:top w:val="single" w:sz="4" w:space="0" w:color="44B3E1"/>
              <w:left w:val="nil"/>
              <w:bottom w:val="single" w:sz="4" w:space="0" w:color="44B3E1"/>
              <w:right w:val="nil"/>
            </w:tcBorders>
            <w:shd w:val="clear" w:color="156082" w:fill="156082"/>
            <w:vAlign w:val="center"/>
            <w:hideMark/>
          </w:tcPr>
          <w:p w14:paraId="72087612" w14:textId="77777777" w:rsidR="00F64E11" w:rsidRPr="00F64E11" w:rsidRDefault="00F64E11" w:rsidP="00F64E11">
            <w:pPr>
              <w:jc w:val="center"/>
              <w:rPr>
                <w:rFonts w:ascii="Aptos Narrow" w:hAnsi="Aptos Narrow"/>
                <w:b/>
                <w:bCs/>
                <w:color w:val="FFFFFF"/>
                <w:sz w:val="22"/>
                <w:szCs w:val="22"/>
                <w:lang w:eastAsia="fi-FI"/>
              </w:rPr>
            </w:pPr>
            <w:r w:rsidRPr="00F64E11">
              <w:rPr>
                <w:rFonts w:ascii="Aptos Narrow" w:hAnsi="Aptos Narrow"/>
                <w:b/>
                <w:bCs/>
                <w:color w:val="FFFFFF"/>
                <w:sz w:val="22"/>
                <w:szCs w:val="22"/>
                <w:lang w:eastAsia="fi-FI"/>
              </w:rPr>
              <w:t>Keskimmäinen</w:t>
            </w:r>
          </w:p>
        </w:tc>
        <w:tc>
          <w:tcPr>
            <w:tcW w:w="1340" w:type="dxa"/>
            <w:tcBorders>
              <w:top w:val="single" w:sz="4" w:space="0" w:color="44B3E1"/>
              <w:left w:val="nil"/>
              <w:bottom w:val="single" w:sz="4" w:space="0" w:color="44B3E1"/>
              <w:right w:val="single" w:sz="4" w:space="0" w:color="44B3E1"/>
            </w:tcBorders>
            <w:shd w:val="clear" w:color="156082" w:fill="156082"/>
            <w:vAlign w:val="center"/>
            <w:hideMark/>
          </w:tcPr>
          <w:p w14:paraId="49A696A9" w14:textId="77777777" w:rsidR="00F64E11" w:rsidRPr="00F64E11" w:rsidRDefault="00F64E11" w:rsidP="00F64E11">
            <w:pPr>
              <w:jc w:val="center"/>
              <w:rPr>
                <w:rFonts w:ascii="Aptos Narrow" w:hAnsi="Aptos Narrow"/>
                <w:b/>
                <w:bCs/>
                <w:color w:val="FFFFFF"/>
                <w:sz w:val="22"/>
                <w:szCs w:val="22"/>
                <w:lang w:eastAsia="fi-FI"/>
              </w:rPr>
            </w:pPr>
            <w:r w:rsidRPr="00F64E11">
              <w:rPr>
                <w:rFonts w:ascii="Aptos Narrow" w:hAnsi="Aptos Narrow"/>
                <w:b/>
                <w:bCs/>
                <w:color w:val="FFFFFF"/>
                <w:sz w:val="22"/>
                <w:szCs w:val="22"/>
                <w:lang w:eastAsia="fi-FI"/>
              </w:rPr>
              <w:t>Korkea</w:t>
            </w:r>
          </w:p>
        </w:tc>
      </w:tr>
      <w:tr w:rsidR="00F64E11" w:rsidRPr="00F64E11" w14:paraId="599B5CD0" w14:textId="77777777" w:rsidTr="00F64E11">
        <w:trPr>
          <w:trHeight w:val="600"/>
        </w:trPr>
        <w:tc>
          <w:tcPr>
            <w:tcW w:w="1920" w:type="dxa"/>
            <w:tcBorders>
              <w:top w:val="single" w:sz="4" w:space="0" w:color="44B3E1"/>
              <w:left w:val="single" w:sz="4" w:space="0" w:color="44B3E1"/>
              <w:bottom w:val="single" w:sz="4" w:space="0" w:color="44B3E1"/>
              <w:right w:val="nil"/>
            </w:tcBorders>
            <w:shd w:val="clear" w:color="C0E6F5" w:fill="C0E6F5"/>
            <w:vAlign w:val="center"/>
            <w:hideMark/>
          </w:tcPr>
          <w:p w14:paraId="5DFAE528" w14:textId="77777777" w:rsidR="00F64E11" w:rsidRPr="00F64E11" w:rsidRDefault="00F64E11" w:rsidP="00F64E11">
            <w:pPr>
              <w:rPr>
                <w:rFonts w:ascii="Aptos Narrow" w:hAnsi="Aptos Narrow"/>
                <w:i/>
                <w:iCs/>
                <w:color w:val="000000"/>
                <w:sz w:val="22"/>
                <w:szCs w:val="22"/>
                <w:lang w:eastAsia="fi-FI"/>
              </w:rPr>
            </w:pPr>
            <w:r w:rsidRPr="00F64E11">
              <w:rPr>
                <w:rFonts w:ascii="Aptos Narrow" w:hAnsi="Aptos Narrow"/>
                <w:i/>
                <w:iCs/>
                <w:color w:val="000000"/>
                <w:sz w:val="22"/>
                <w:szCs w:val="22"/>
                <w:lang w:eastAsia="fi-FI"/>
              </w:rPr>
              <w:t>Työntekijöitä × palkka</w:t>
            </w:r>
          </w:p>
        </w:tc>
        <w:tc>
          <w:tcPr>
            <w:tcW w:w="1160" w:type="dxa"/>
            <w:tcBorders>
              <w:top w:val="single" w:sz="4" w:space="0" w:color="44B3E1"/>
              <w:left w:val="nil"/>
              <w:bottom w:val="single" w:sz="4" w:space="0" w:color="44B3E1"/>
              <w:right w:val="nil"/>
            </w:tcBorders>
            <w:shd w:val="clear" w:color="C0E6F5" w:fill="C0E6F5"/>
            <w:vAlign w:val="center"/>
            <w:hideMark/>
          </w:tcPr>
          <w:p w14:paraId="7D36131C" w14:textId="77777777" w:rsidR="00F64E11" w:rsidRPr="00F64E11" w:rsidRDefault="00F64E11" w:rsidP="00F64E11">
            <w:pPr>
              <w:rPr>
                <w:rFonts w:ascii="Aptos Narrow" w:hAnsi="Aptos Narrow"/>
                <w:i/>
                <w:iCs/>
                <w:color w:val="000000"/>
                <w:sz w:val="22"/>
                <w:szCs w:val="22"/>
                <w:lang w:eastAsia="fi-FI"/>
              </w:rPr>
            </w:pPr>
            <w:r w:rsidRPr="00F64E11">
              <w:rPr>
                <w:rFonts w:ascii="Aptos Narrow" w:hAnsi="Aptos Narrow"/>
                <w:i/>
                <w:iCs/>
                <w:color w:val="000000"/>
                <w:sz w:val="22"/>
                <w:szCs w:val="22"/>
                <w:lang w:eastAsia="fi-FI"/>
              </w:rPr>
              <w:t>500 × 60 t€</w:t>
            </w:r>
          </w:p>
        </w:tc>
        <w:tc>
          <w:tcPr>
            <w:tcW w:w="1720" w:type="dxa"/>
            <w:tcBorders>
              <w:top w:val="single" w:sz="4" w:space="0" w:color="44B3E1"/>
              <w:left w:val="nil"/>
              <w:bottom w:val="single" w:sz="4" w:space="0" w:color="44B3E1"/>
              <w:right w:val="nil"/>
            </w:tcBorders>
            <w:shd w:val="clear" w:color="C0E6F5" w:fill="C0E6F5"/>
            <w:vAlign w:val="center"/>
            <w:hideMark/>
          </w:tcPr>
          <w:p w14:paraId="1E880260" w14:textId="77777777" w:rsidR="00F64E11" w:rsidRPr="00F64E11" w:rsidRDefault="00F64E11" w:rsidP="00F64E11">
            <w:pPr>
              <w:rPr>
                <w:rFonts w:ascii="Aptos Narrow" w:hAnsi="Aptos Narrow"/>
                <w:i/>
                <w:iCs/>
                <w:color w:val="000000"/>
                <w:sz w:val="22"/>
                <w:szCs w:val="22"/>
                <w:lang w:eastAsia="fi-FI"/>
              </w:rPr>
            </w:pPr>
            <w:r w:rsidRPr="00F64E11">
              <w:rPr>
                <w:rFonts w:ascii="Aptos Narrow" w:hAnsi="Aptos Narrow"/>
                <w:i/>
                <w:iCs/>
                <w:color w:val="000000"/>
                <w:sz w:val="22"/>
                <w:szCs w:val="22"/>
                <w:lang w:eastAsia="fi-FI"/>
              </w:rPr>
              <w:t>1 000 × 70 t€</w:t>
            </w:r>
          </w:p>
        </w:tc>
        <w:tc>
          <w:tcPr>
            <w:tcW w:w="1340" w:type="dxa"/>
            <w:tcBorders>
              <w:top w:val="single" w:sz="4" w:space="0" w:color="44B3E1"/>
              <w:left w:val="nil"/>
              <w:bottom w:val="single" w:sz="4" w:space="0" w:color="44B3E1"/>
              <w:right w:val="single" w:sz="4" w:space="0" w:color="44B3E1"/>
            </w:tcBorders>
            <w:shd w:val="clear" w:color="C0E6F5" w:fill="C0E6F5"/>
            <w:vAlign w:val="center"/>
            <w:hideMark/>
          </w:tcPr>
          <w:p w14:paraId="62CFD140" w14:textId="77777777" w:rsidR="00F64E11" w:rsidRPr="00F64E11" w:rsidRDefault="00F64E11" w:rsidP="00F64E11">
            <w:pPr>
              <w:rPr>
                <w:rFonts w:ascii="Aptos Narrow" w:hAnsi="Aptos Narrow"/>
                <w:i/>
                <w:iCs/>
                <w:color w:val="000000"/>
                <w:sz w:val="22"/>
                <w:szCs w:val="22"/>
                <w:lang w:eastAsia="fi-FI"/>
              </w:rPr>
            </w:pPr>
            <w:r w:rsidRPr="00F64E11">
              <w:rPr>
                <w:rFonts w:ascii="Aptos Narrow" w:hAnsi="Aptos Narrow"/>
                <w:i/>
                <w:iCs/>
                <w:color w:val="000000"/>
                <w:sz w:val="22"/>
                <w:szCs w:val="22"/>
                <w:lang w:eastAsia="fi-FI"/>
              </w:rPr>
              <w:t>1 500 × 80 t€</w:t>
            </w:r>
          </w:p>
        </w:tc>
      </w:tr>
      <w:tr w:rsidR="00F64E11" w:rsidRPr="00F64E11" w14:paraId="672282E3" w14:textId="77777777" w:rsidTr="00F64E11">
        <w:trPr>
          <w:trHeight w:val="600"/>
        </w:trPr>
        <w:tc>
          <w:tcPr>
            <w:tcW w:w="1920" w:type="dxa"/>
            <w:tcBorders>
              <w:top w:val="single" w:sz="4" w:space="0" w:color="44B3E1"/>
              <w:left w:val="single" w:sz="4" w:space="0" w:color="44B3E1"/>
              <w:bottom w:val="single" w:sz="4" w:space="0" w:color="44B3E1"/>
              <w:right w:val="nil"/>
            </w:tcBorders>
            <w:vAlign w:val="center"/>
            <w:hideMark/>
          </w:tcPr>
          <w:p w14:paraId="38448C3A" w14:textId="77777777" w:rsidR="00F64E11" w:rsidRPr="00F64E11" w:rsidRDefault="00F64E11" w:rsidP="00F64E11">
            <w:pPr>
              <w:rPr>
                <w:rFonts w:ascii="Aptos Narrow" w:hAnsi="Aptos Narrow"/>
                <w:b/>
                <w:bCs/>
                <w:color w:val="000000"/>
                <w:sz w:val="22"/>
                <w:szCs w:val="22"/>
                <w:lang w:eastAsia="fi-FI"/>
              </w:rPr>
            </w:pPr>
            <w:r w:rsidRPr="00F64E11">
              <w:rPr>
                <w:rFonts w:ascii="Aptos Narrow" w:hAnsi="Aptos Narrow"/>
                <w:b/>
                <w:bCs/>
                <w:color w:val="000000"/>
                <w:sz w:val="22"/>
                <w:szCs w:val="22"/>
                <w:lang w:eastAsia="fi-FI"/>
              </w:rPr>
              <w:t>Valtio</w:t>
            </w:r>
            <w:r w:rsidRPr="00F64E11">
              <w:rPr>
                <w:rFonts w:ascii="Aptos Narrow" w:hAnsi="Aptos Narrow"/>
                <w:color w:val="000000"/>
                <w:sz w:val="22"/>
                <w:szCs w:val="22"/>
                <w:lang w:eastAsia="fi-FI"/>
              </w:rPr>
              <w:t xml:space="preserve"> (valtion tulovero)</w:t>
            </w:r>
          </w:p>
        </w:tc>
        <w:tc>
          <w:tcPr>
            <w:tcW w:w="1160" w:type="dxa"/>
            <w:tcBorders>
              <w:top w:val="single" w:sz="4" w:space="0" w:color="44B3E1"/>
              <w:left w:val="nil"/>
              <w:bottom w:val="single" w:sz="4" w:space="0" w:color="44B3E1"/>
              <w:right w:val="nil"/>
            </w:tcBorders>
            <w:vAlign w:val="center"/>
            <w:hideMark/>
          </w:tcPr>
          <w:p w14:paraId="38C45FCB"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5,9</w:t>
            </w:r>
          </w:p>
        </w:tc>
        <w:tc>
          <w:tcPr>
            <w:tcW w:w="1720" w:type="dxa"/>
            <w:tcBorders>
              <w:top w:val="single" w:sz="4" w:space="0" w:color="44B3E1"/>
              <w:left w:val="nil"/>
              <w:bottom w:val="single" w:sz="4" w:space="0" w:color="44B3E1"/>
              <w:right w:val="nil"/>
            </w:tcBorders>
            <w:vAlign w:val="center"/>
            <w:hideMark/>
          </w:tcPr>
          <w:p w14:paraId="609BB69A"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15,3</w:t>
            </w:r>
          </w:p>
        </w:tc>
        <w:tc>
          <w:tcPr>
            <w:tcW w:w="1340" w:type="dxa"/>
            <w:tcBorders>
              <w:top w:val="single" w:sz="4" w:space="0" w:color="44B3E1"/>
              <w:left w:val="nil"/>
              <w:bottom w:val="single" w:sz="4" w:space="0" w:color="44B3E1"/>
              <w:right w:val="single" w:sz="4" w:space="0" w:color="44B3E1"/>
            </w:tcBorders>
            <w:vAlign w:val="center"/>
            <w:hideMark/>
          </w:tcPr>
          <w:p w14:paraId="50B91334"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28,2</w:t>
            </w:r>
          </w:p>
        </w:tc>
      </w:tr>
      <w:tr w:rsidR="00F64E11" w:rsidRPr="00F64E11" w14:paraId="4BEBCE2A" w14:textId="77777777" w:rsidTr="00F64E11">
        <w:trPr>
          <w:trHeight w:val="600"/>
        </w:trPr>
        <w:tc>
          <w:tcPr>
            <w:tcW w:w="1920" w:type="dxa"/>
            <w:tcBorders>
              <w:top w:val="single" w:sz="4" w:space="0" w:color="44B3E1"/>
              <w:left w:val="single" w:sz="4" w:space="0" w:color="44B3E1"/>
              <w:bottom w:val="single" w:sz="4" w:space="0" w:color="44B3E1"/>
              <w:right w:val="nil"/>
            </w:tcBorders>
            <w:shd w:val="clear" w:color="C0E6F5" w:fill="C0E6F5"/>
            <w:vAlign w:val="center"/>
            <w:hideMark/>
          </w:tcPr>
          <w:p w14:paraId="320425DE" w14:textId="77777777" w:rsidR="00F64E11" w:rsidRPr="00F64E11" w:rsidRDefault="00F64E11" w:rsidP="00F64E11">
            <w:pPr>
              <w:rPr>
                <w:rFonts w:ascii="Aptos Narrow" w:hAnsi="Aptos Narrow"/>
                <w:b/>
                <w:bCs/>
                <w:color w:val="000000"/>
                <w:sz w:val="22"/>
                <w:szCs w:val="22"/>
                <w:lang w:eastAsia="fi-FI"/>
              </w:rPr>
            </w:pPr>
            <w:r w:rsidRPr="00F64E11">
              <w:rPr>
                <w:rFonts w:ascii="Aptos Narrow" w:hAnsi="Aptos Narrow"/>
                <w:b/>
                <w:bCs/>
                <w:color w:val="000000"/>
                <w:sz w:val="22"/>
                <w:szCs w:val="22"/>
                <w:lang w:eastAsia="fi-FI"/>
              </w:rPr>
              <w:t>Kunnat</w:t>
            </w:r>
            <w:r w:rsidRPr="00F64E11">
              <w:rPr>
                <w:rFonts w:ascii="Aptos Narrow" w:hAnsi="Aptos Narrow"/>
                <w:color w:val="000000"/>
                <w:sz w:val="22"/>
                <w:szCs w:val="22"/>
                <w:lang w:eastAsia="fi-FI"/>
              </w:rPr>
              <w:t xml:space="preserve"> (kunnallisvero)</w:t>
            </w:r>
          </w:p>
        </w:tc>
        <w:tc>
          <w:tcPr>
            <w:tcW w:w="1160" w:type="dxa"/>
            <w:tcBorders>
              <w:top w:val="single" w:sz="4" w:space="0" w:color="44B3E1"/>
              <w:left w:val="nil"/>
              <w:bottom w:val="single" w:sz="4" w:space="0" w:color="44B3E1"/>
              <w:right w:val="nil"/>
            </w:tcBorders>
            <w:shd w:val="clear" w:color="C0E6F5" w:fill="C0E6F5"/>
            <w:vAlign w:val="center"/>
            <w:hideMark/>
          </w:tcPr>
          <w:p w14:paraId="642D8299"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2,1</w:t>
            </w:r>
          </w:p>
        </w:tc>
        <w:tc>
          <w:tcPr>
            <w:tcW w:w="1720" w:type="dxa"/>
            <w:tcBorders>
              <w:top w:val="single" w:sz="4" w:space="0" w:color="44B3E1"/>
              <w:left w:val="nil"/>
              <w:bottom w:val="single" w:sz="4" w:space="0" w:color="44B3E1"/>
              <w:right w:val="nil"/>
            </w:tcBorders>
            <w:shd w:val="clear" w:color="C0E6F5" w:fill="C0E6F5"/>
            <w:vAlign w:val="center"/>
            <w:hideMark/>
          </w:tcPr>
          <w:p w14:paraId="40F81654"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4,8</w:t>
            </w:r>
          </w:p>
        </w:tc>
        <w:tc>
          <w:tcPr>
            <w:tcW w:w="1340" w:type="dxa"/>
            <w:tcBorders>
              <w:top w:val="single" w:sz="4" w:space="0" w:color="44B3E1"/>
              <w:left w:val="nil"/>
              <w:bottom w:val="single" w:sz="4" w:space="0" w:color="44B3E1"/>
              <w:right w:val="single" w:sz="4" w:space="0" w:color="44B3E1"/>
            </w:tcBorders>
            <w:shd w:val="clear" w:color="C0E6F5" w:fill="C0E6F5"/>
            <w:vAlign w:val="center"/>
            <w:hideMark/>
          </w:tcPr>
          <w:p w14:paraId="087D59D4"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8,3</w:t>
            </w:r>
          </w:p>
        </w:tc>
      </w:tr>
      <w:tr w:rsidR="00F64E11" w:rsidRPr="00F64E11" w14:paraId="06CE14D1" w14:textId="77777777" w:rsidTr="00F64E11">
        <w:trPr>
          <w:trHeight w:val="300"/>
        </w:trPr>
        <w:tc>
          <w:tcPr>
            <w:tcW w:w="1920" w:type="dxa"/>
            <w:tcBorders>
              <w:top w:val="single" w:sz="4" w:space="0" w:color="44B3E1"/>
              <w:left w:val="single" w:sz="4" w:space="0" w:color="44B3E1"/>
              <w:bottom w:val="single" w:sz="4" w:space="0" w:color="44B3E1"/>
              <w:right w:val="nil"/>
            </w:tcBorders>
            <w:vAlign w:val="center"/>
            <w:hideMark/>
          </w:tcPr>
          <w:p w14:paraId="30510B48" w14:textId="77777777" w:rsidR="00F64E11" w:rsidRPr="00F64E11" w:rsidRDefault="00F64E11" w:rsidP="00F64E11">
            <w:pPr>
              <w:rPr>
                <w:rFonts w:ascii="Aptos Narrow" w:hAnsi="Aptos Narrow"/>
                <w:b/>
                <w:bCs/>
                <w:color w:val="000000"/>
                <w:sz w:val="22"/>
                <w:szCs w:val="22"/>
                <w:lang w:eastAsia="fi-FI"/>
              </w:rPr>
            </w:pPr>
            <w:r w:rsidRPr="00F64E11">
              <w:rPr>
                <w:rFonts w:ascii="Aptos Narrow" w:hAnsi="Aptos Narrow"/>
                <w:b/>
                <w:bCs/>
                <w:color w:val="000000"/>
                <w:sz w:val="22"/>
                <w:szCs w:val="22"/>
                <w:lang w:eastAsia="fi-FI"/>
              </w:rPr>
              <w:t>Yhteensä</w:t>
            </w:r>
          </w:p>
        </w:tc>
        <w:tc>
          <w:tcPr>
            <w:tcW w:w="1160" w:type="dxa"/>
            <w:tcBorders>
              <w:top w:val="single" w:sz="4" w:space="0" w:color="44B3E1"/>
              <w:left w:val="nil"/>
              <w:bottom w:val="single" w:sz="4" w:space="0" w:color="44B3E1"/>
              <w:right w:val="nil"/>
            </w:tcBorders>
            <w:vAlign w:val="center"/>
            <w:hideMark/>
          </w:tcPr>
          <w:p w14:paraId="302AA3D2"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8</w:t>
            </w:r>
          </w:p>
        </w:tc>
        <w:tc>
          <w:tcPr>
            <w:tcW w:w="1720" w:type="dxa"/>
            <w:tcBorders>
              <w:top w:val="single" w:sz="4" w:space="0" w:color="44B3E1"/>
              <w:left w:val="nil"/>
              <w:bottom w:val="single" w:sz="4" w:space="0" w:color="44B3E1"/>
              <w:right w:val="nil"/>
            </w:tcBorders>
            <w:vAlign w:val="center"/>
            <w:hideMark/>
          </w:tcPr>
          <w:p w14:paraId="6EDB80E2"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20,1</w:t>
            </w:r>
          </w:p>
        </w:tc>
        <w:tc>
          <w:tcPr>
            <w:tcW w:w="1340" w:type="dxa"/>
            <w:tcBorders>
              <w:top w:val="single" w:sz="4" w:space="0" w:color="44B3E1"/>
              <w:left w:val="nil"/>
              <w:bottom w:val="single" w:sz="4" w:space="0" w:color="44B3E1"/>
              <w:right w:val="single" w:sz="4" w:space="0" w:color="44B3E1"/>
            </w:tcBorders>
            <w:vAlign w:val="center"/>
            <w:hideMark/>
          </w:tcPr>
          <w:p w14:paraId="75EC56E2" w14:textId="77777777" w:rsidR="00F64E11" w:rsidRPr="00F64E11" w:rsidRDefault="00F64E11" w:rsidP="00F64E11">
            <w:pPr>
              <w:jc w:val="right"/>
              <w:rPr>
                <w:rFonts w:ascii="Aptos Narrow" w:hAnsi="Aptos Narrow"/>
                <w:color w:val="000000"/>
                <w:sz w:val="22"/>
                <w:szCs w:val="22"/>
                <w:lang w:eastAsia="fi-FI"/>
              </w:rPr>
            </w:pPr>
            <w:r w:rsidRPr="00F64E11">
              <w:rPr>
                <w:rFonts w:ascii="Aptos Narrow" w:hAnsi="Aptos Narrow"/>
                <w:color w:val="000000"/>
                <w:sz w:val="22"/>
                <w:szCs w:val="22"/>
                <w:lang w:eastAsia="fi-FI"/>
              </w:rPr>
              <w:t>36,5</w:t>
            </w:r>
          </w:p>
        </w:tc>
      </w:tr>
    </w:tbl>
    <w:p w14:paraId="01499202" w14:textId="77777777" w:rsidR="00F64E11" w:rsidRDefault="00F64E11" w:rsidP="00D35986"/>
    <w:p w14:paraId="0774FFEB" w14:textId="377964AD" w:rsidR="006F5DBC" w:rsidRPr="008C1BB1" w:rsidRDefault="006F5DBC" w:rsidP="006F5DBC">
      <w:r w:rsidRPr="008C1BB1">
        <w:t>Rakennusvaihe, kertaluonteinen koko rakennusajalta, milj. €</w:t>
      </w:r>
      <w:r w:rsidR="003D2ABE">
        <w:t xml:space="preserve"> (</w:t>
      </w:r>
      <w:r w:rsidR="003D2ABE" w:rsidRPr="003D2ABE">
        <w:t>45 000 htv on kohdistettu 12 mrd. €:n investoinneill</w:t>
      </w:r>
      <w:r w:rsidR="003D2ABE">
        <w:t>e)</w:t>
      </w:r>
    </w:p>
    <w:tbl>
      <w:tblPr>
        <w:tblW w:w="3080" w:type="dxa"/>
        <w:tblCellMar>
          <w:left w:w="70" w:type="dxa"/>
          <w:right w:w="70" w:type="dxa"/>
        </w:tblCellMar>
        <w:tblLook w:val="04A0" w:firstRow="1" w:lastRow="0" w:firstColumn="1" w:lastColumn="0" w:noHBand="0" w:noVBand="1"/>
      </w:tblPr>
      <w:tblGrid>
        <w:gridCol w:w="1920"/>
        <w:gridCol w:w="1160"/>
      </w:tblGrid>
      <w:tr w:rsidR="006F5DBC" w:rsidRPr="006F5DBC" w14:paraId="06ACED6C" w14:textId="77777777" w:rsidTr="006F5DBC">
        <w:trPr>
          <w:trHeight w:val="300"/>
        </w:trPr>
        <w:tc>
          <w:tcPr>
            <w:tcW w:w="1920" w:type="dxa"/>
            <w:tcBorders>
              <w:top w:val="single" w:sz="4" w:space="0" w:color="44B3E1"/>
              <w:left w:val="single" w:sz="4" w:space="0" w:color="44B3E1"/>
              <w:bottom w:val="single" w:sz="4" w:space="0" w:color="44B3E1"/>
              <w:right w:val="nil"/>
            </w:tcBorders>
            <w:shd w:val="clear" w:color="156082" w:fill="156082"/>
            <w:vAlign w:val="center"/>
            <w:hideMark/>
          </w:tcPr>
          <w:p w14:paraId="3C9B8B5C" w14:textId="77777777" w:rsidR="006F5DBC" w:rsidRPr="006F5DBC" w:rsidRDefault="006F5DBC" w:rsidP="006F5DBC">
            <w:pPr>
              <w:jc w:val="center"/>
              <w:rPr>
                <w:rFonts w:ascii="Aptos Narrow" w:hAnsi="Aptos Narrow"/>
                <w:b/>
                <w:bCs/>
                <w:color w:val="215C98"/>
                <w:sz w:val="22"/>
                <w:szCs w:val="22"/>
                <w:lang w:eastAsia="fi-FI"/>
              </w:rPr>
            </w:pPr>
            <w:r w:rsidRPr="006F5DBC">
              <w:rPr>
                <w:rFonts w:ascii="Aptos Narrow" w:hAnsi="Aptos Narrow"/>
                <w:b/>
                <w:bCs/>
                <w:color w:val="215C98"/>
                <w:sz w:val="22"/>
                <w:szCs w:val="22"/>
                <w:lang w:eastAsia="fi-FI"/>
              </w:rPr>
              <w:t>-</w:t>
            </w:r>
          </w:p>
        </w:tc>
        <w:tc>
          <w:tcPr>
            <w:tcW w:w="1160" w:type="dxa"/>
            <w:tcBorders>
              <w:top w:val="single" w:sz="4" w:space="0" w:color="44B3E1"/>
              <w:left w:val="nil"/>
              <w:bottom w:val="single" w:sz="4" w:space="0" w:color="44B3E1"/>
              <w:right w:val="single" w:sz="4" w:space="0" w:color="44B3E1"/>
            </w:tcBorders>
            <w:shd w:val="clear" w:color="156082" w:fill="156082"/>
            <w:vAlign w:val="center"/>
            <w:hideMark/>
          </w:tcPr>
          <w:p w14:paraId="363E14B3" w14:textId="6BC655FD" w:rsidR="006F5DBC" w:rsidRPr="006F5DBC" w:rsidRDefault="006F5DBC" w:rsidP="008C1BB1">
            <w:pPr>
              <w:rPr>
                <w:rFonts w:ascii="Aptos Narrow" w:hAnsi="Aptos Narrow"/>
                <w:b/>
                <w:bCs/>
                <w:color w:val="FFFFFF"/>
                <w:sz w:val="22"/>
                <w:szCs w:val="22"/>
                <w:lang w:eastAsia="fi-FI"/>
              </w:rPr>
            </w:pPr>
            <w:r w:rsidRPr="006F5DBC">
              <w:rPr>
                <w:rFonts w:ascii="Aptos Narrow" w:hAnsi="Aptos Narrow"/>
                <w:b/>
                <w:bCs/>
                <w:color w:val="FFFFFF"/>
                <w:sz w:val="22"/>
                <w:szCs w:val="22"/>
                <w:lang w:eastAsia="fi-FI"/>
              </w:rPr>
              <w:t>M</w:t>
            </w:r>
            <w:r w:rsidR="008C1BB1">
              <w:rPr>
                <w:rFonts w:ascii="Aptos Narrow" w:hAnsi="Aptos Narrow"/>
                <w:b/>
                <w:bCs/>
                <w:color w:val="FFFFFF"/>
                <w:sz w:val="22"/>
                <w:szCs w:val="22"/>
                <w:lang w:eastAsia="fi-FI"/>
              </w:rPr>
              <w:t>ilj.</w:t>
            </w:r>
            <w:r w:rsidRPr="006F5DBC">
              <w:rPr>
                <w:rFonts w:ascii="Aptos Narrow" w:hAnsi="Aptos Narrow"/>
                <w:b/>
                <w:bCs/>
                <w:color w:val="FFFFFF"/>
                <w:sz w:val="22"/>
                <w:szCs w:val="22"/>
                <w:lang w:eastAsia="fi-FI"/>
              </w:rPr>
              <w:t>€</w:t>
            </w:r>
          </w:p>
        </w:tc>
      </w:tr>
      <w:tr w:rsidR="006F5DBC" w:rsidRPr="006F5DBC" w14:paraId="6AFEF69B" w14:textId="77777777" w:rsidTr="006F5DBC">
        <w:trPr>
          <w:trHeight w:val="300"/>
        </w:trPr>
        <w:tc>
          <w:tcPr>
            <w:tcW w:w="1920" w:type="dxa"/>
            <w:tcBorders>
              <w:top w:val="single" w:sz="4" w:space="0" w:color="44B3E1"/>
              <w:left w:val="single" w:sz="4" w:space="0" w:color="44B3E1"/>
              <w:bottom w:val="single" w:sz="4" w:space="0" w:color="44B3E1"/>
              <w:right w:val="nil"/>
            </w:tcBorders>
            <w:shd w:val="clear" w:color="C0E6F5" w:fill="C0E6F5"/>
            <w:vAlign w:val="center"/>
            <w:hideMark/>
          </w:tcPr>
          <w:p w14:paraId="331D0C45" w14:textId="77777777" w:rsidR="006F5DBC" w:rsidRPr="006F5DBC" w:rsidRDefault="006F5DBC" w:rsidP="006F5DBC">
            <w:pPr>
              <w:rPr>
                <w:rFonts w:ascii="Aptos Narrow" w:hAnsi="Aptos Narrow"/>
                <w:b/>
                <w:bCs/>
                <w:color w:val="000000"/>
                <w:sz w:val="22"/>
                <w:szCs w:val="22"/>
                <w:lang w:eastAsia="fi-FI"/>
              </w:rPr>
            </w:pPr>
            <w:r w:rsidRPr="006F5DBC">
              <w:rPr>
                <w:rFonts w:ascii="Aptos Narrow" w:hAnsi="Aptos Narrow"/>
                <w:b/>
                <w:bCs/>
                <w:color w:val="000000"/>
                <w:sz w:val="22"/>
                <w:szCs w:val="22"/>
                <w:lang w:eastAsia="fi-FI"/>
              </w:rPr>
              <w:t>Valtio</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7C6C8A34" w14:textId="1FE97E16" w:rsidR="006F5DBC" w:rsidRPr="006F5DBC" w:rsidRDefault="00CB1490" w:rsidP="006F5DBC">
            <w:pPr>
              <w:rPr>
                <w:rFonts w:ascii="Aptos Narrow" w:hAnsi="Aptos Narrow"/>
                <w:color w:val="000000"/>
                <w:sz w:val="22"/>
                <w:szCs w:val="22"/>
                <w:lang w:eastAsia="fi-FI"/>
              </w:rPr>
            </w:pPr>
            <w:r>
              <w:rPr>
                <w:rFonts w:ascii="Aptos Narrow" w:hAnsi="Aptos Narrow"/>
                <w:color w:val="000000"/>
                <w:sz w:val="22"/>
                <w:szCs w:val="22"/>
                <w:lang w:eastAsia="fi-FI"/>
              </w:rPr>
              <w:t>140</w:t>
            </w:r>
            <w:r w:rsidR="006F5DBC" w:rsidRPr="006F5DBC">
              <w:rPr>
                <w:rFonts w:ascii="Aptos Narrow" w:hAnsi="Aptos Narrow"/>
                <w:color w:val="000000"/>
                <w:sz w:val="22"/>
                <w:szCs w:val="22"/>
                <w:lang w:eastAsia="fi-FI"/>
              </w:rPr>
              <w:t>–</w:t>
            </w:r>
            <w:r>
              <w:rPr>
                <w:rFonts w:ascii="Aptos Narrow" w:hAnsi="Aptos Narrow"/>
                <w:color w:val="000000"/>
                <w:sz w:val="22"/>
                <w:szCs w:val="22"/>
                <w:lang w:eastAsia="fi-FI"/>
              </w:rPr>
              <w:t>280</w:t>
            </w:r>
          </w:p>
        </w:tc>
      </w:tr>
      <w:tr w:rsidR="006F5DBC" w:rsidRPr="006F5DBC" w14:paraId="20961A79" w14:textId="77777777" w:rsidTr="006F5DBC">
        <w:trPr>
          <w:trHeight w:val="300"/>
        </w:trPr>
        <w:tc>
          <w:tcPr>
            <w:tcW w:w="1920" w:type="dxa"/>
            <w:tcBorders>
              <w:top w:val="single" w:sz="4" w:space="0" w:color="44B3E1"/>
              <w:left w:val="single" w:sz="4" w:space="0" w:color="44B3E1"/>
              <w:bottom w:val="single" w:sz="4" w:space="0" w:color="44B3E1"/>
              <w:right w:val="nil"/>
            </w:tcBorders>
            <w:vAlign w:val="center"/>
            <w:hideMark/>
          </w:tcPr>
          <w:p w14:paraId="5247931E" w14:textId="77777777" w:rsidR="006F5DBC" w:rsidRPr="006F5DBC" w:rsidRDefault="006F5DBC" w:rsidP="006F5DBC">
            <w:pPr>
              <w:rPr>
                <w:rFonts w:ascii="Aptos Narrow" w:hAnsi="Aptos Narrow"/>
                <w:b/>
                <w:bCs/>
                <w:color w:val="000000"/>
                <w:sz w:val="22"/>
                <w:szCs w:val="22"/>
                <w:lang w:eastAsia="fi-FI"/>
              </w:rPr>
            </w:pPr>
            <w:r w:rsidRPr="006F5DBC">
              <w:rPr>
                <w:rFonts w:ascii="Aptos Narrow" w:hAnsi="Aptos Narrow"/>
                <w:b/>
                <w:bCs/>
                <w:color w:val="000000"/>
                <w:sz w:val="22"/>
                <w:szCs w:val="22"/>
                <w:lang w:eastAsia="fi-FI"/>
              </w:rPr>
              <w:t>Kunnat</w:t>
            </w:r>
          </w:p>
        </w:tc>
        <w:tc>
          <w:tcPr>
            <w:tcW w:w="1160" w:type="dxa"/>
            <w:tcBorders>
              <w:top w:val="single" w:sz="4" w:space="0" w:color="44B3E1"/>
              <w:left w:val="nil"/>
              <w:bottom w:val="single" w:sz="4" w:space="0" w:color="44B3E1"/>
              <w:right w:val="single" w:sz="4" w:space="0" w:color="44B3E1"/>
            </w:tcBorders>
            <w:vAlign w:val="center"/>
            <w:hideMark/>
          </w:tcPr>
          <w:p w14:paraId="1EE3B4A7" w14:textId="478A23C6" w:rsidR="006F5DBC" w:rsidRPr="006F5DBC" w:rsidRDefault="003D2ABE" w:rsidP="006F5DBC">
            <w:pPr>
              <w:rPr>
                <w:rFonts w:ascii="Aptos Narrow" w:hAnsi="Aptos Narrow"/>
                <w:color w:val="000000"/>
                <w:sz w:val="22"/>
                <w:szCs w:val="22"/>
                <w:lang w:eastAsia="fi-FI"/>
              </w:rPr>
            </w:pPr>
            <w:r>
              <w:rPr>
                <w:rFonts w:ascii="Aptos Narrow" w:hAnsi="Aptos Narrow"/>
                <w:color w:val="000000"/>
                <w:sz w:val="22"/>
                <w:szCs w:val="22"/>
                <w:lang w:eastAsia="fi-FI"/>
              </w:rPr>
              <w:t>70</w:t>
            </w:r>
            <w:r w:rsidR="006F5DBC" w:rsidRPr="006F5DBC">
              <w:rPr>
                <w:rFonts w:ascii="Aptos Narrow" w:hAnsi="Aptos Narrow"/>
                <w:color w:val="000000"/>
                <w:sz w:val="22"/>
                <w:szCs w:val="22"/>
                <w:lang w:eastAsia="fi-FI"/>
              </w:rPr>
              <w:t>–</w:t>
            </w:r>
            <w:r>
              <w:rPr>
                <w:rFonts w:ascii="Aptos Narrow" w:hAnsi="Aptos Narrow"/>
                <w:color w:val="000000"/>
                <w:sz w:val="22"/>
                <w:szCs w:val="22"/>
                <w:lang w:eastAsia="fi-FI"/>
              </w:rPr>
              <w:t>140</w:t>
            </w:r>
          </w:p>
        </w:tc>
      </w:tr>
      <w:tr w:rsidR="006F5DBC" w:rsidRPr="006F5DBC" w14:paraId="338C6063" w14:textId="77777777" w:rsidTr="006F5DBC">
        <w:trPr>
          <w:trHeight w:val="300"/>
        </w:trPr>
        <w:tc>
          <w:tcPr>
            <w:tcW w:w="1920" w:type="dxa"/>
            <w:tcBorders>
              <w:top w:val="single" w:sz="4" w:space="0" w:color="44B3E1"/>
              <w:left w:val="single" w:sz="4" w:space="0" w:color="44B3E1"/>
              <w:bottom w:val="single" w:sz="4" w:space="0" w:color="44B3E1"/>
              <w:right w:val="nil"/>
            </w:tcBorders>
            <w:shd w:val="clear" w:color="C0E6F5" w:fill="C0E6F5"/>
            <w:vAlign w:val="center"/>
            <w:hideMark/>
          </w:tcPr>
          <w:p w14:paraId="39826973" w14:textId="77777777" w:rsidR="006F5DBC" w:rsidRPr="006F5DBC" w:rsidRDefault="006F5DBC" w:rsidP="006F5DBC">
            <w:pPr>
              <w:rPr>
                <w:rFonts w:ascii="Aptos Narrow" w:hAnsi="Aptos Narrow"/>
                <w:b/>
                <w:bCs/>
                <w:color w:val="000000"/>
                <w:sz w:val="22"/>
                <w:szCs w:val="22"/>
                <w:lang w:eastAsia="fi-FI"/>
              </w:rPr>
            </w:pPr>
            <w:r w:rsidRPr="006F5DBC">
              <w:rPr>
                <w:rFonts w:ascii="Aptos Narrow" w:hAnsi="Aptos Narrow"/>
                <w:b/>
                <w:bCs/>
                <w:color w:val="000000"/>
                <w:sz w:val="22"/>
                <w:szCs w:val="22"/>
                <w:lang w:eastAsia="fi-FI"/>
              </w:rPr>
              <w:lastRenderedPageBreak/>
              <w:t>Yhteensä</w:t>
            </w:r>
          </w:p>
        </w:tc>
        <w:tc>
          <w:tcPr>
            <w:tcW w:w="1160" w:type="dxa"/>
            <w:tcBorders>
              <w:top w:val="single" w:sz="4" w:space="0" w:color="44B3E1"/>
              <w:left w:val="nil"/>
              <w:bottom w:val="single" w:sz="4" w:space="0" w:color="44B3E1"/>
              <w:right w:val="single" w:sz="4" w:space="0" w:color="44B3E1"/>
            </w:tcBorders>
            <w:shd w:val="clear" w:color="C0E6F5" w:fill="C0E6F5"/>
            <w:vAlign w:val="center"/>
            <w:hideMark/>
          </w:tcPr>
          <w:p w14:paraId="5B144448" w14:textId="5C1F0F1F" w:rsidR="006F5DBC" w:rsidRPr="006F5DBC" w:rsidRDefault="003D2ABE" w:rsidP="006F5DBC">
            <w:pPr>
              <w:rPr>
                <w:rFonts w:ascii="Aptos Narrow" w:hAnsi="Aptos Narrow"/>
                <w:color w:val="000000"/>
                <w:sz w:val="22"/>
                <w:szCs w:val="22"/>
                <w:lang w:eastAsia="fi-FI"/>
              </w:rPr>
            </w:pPr>
            <w:r>
              <w:rPr>
                <w:rFonts w:ascii="Aptos Narrow" w:hAnsi="Aptos Narrow"/>
                <w:color w:val="000000"/>
                <w:sz w:val="22"/>
                <w:szCs w:val="22"/>
                <w:lang w:eastAsia="fi-FI"/>
              </w:rPr>
              <w:t>210</w:t>
            </w:r>
            <w:r w:rsidR="006F5DBC" w:rsidRPr="006F5DBC">
              <w:rPr>
                <w:rFonts w:ascii="Aptos Narrow" w:hAnsi="Aptos Narrow"/>
                <w:color w:val="000000"/>
                <w:sz w:val="22"/>
                <w:szCs w:val="22"/>
                <w:lang w:eastAsia="fi-FI"/>
              </w:rPr>
              <w:t>–</w:t>
            </w:r>
            <w:r>
              <w:rPr>
                <w:rFonts w:ascii="Aptos Narrow" w:hAnsi="Aptos Narrow"/>
                <w:color w:val="000000"/>
                <w:sz w:val="22"/>
                <w:szCs w:val="22"/>
                <w:lang w:eastAsia="fi-FI"/>
              </w:rPr>
              <w:t>420</w:t>
            </w:r>
          </w:p>
        </w:tc>
      </w:tr>
    </w:tbl>
    <w:p w14:paraId="4B05114B" w14:textId="77777777" w:rsidR="004D724F" w:rsidRDefault="004D724F" w:rsidP="00D35986"/>
    <w:p w14:paraId="014E9185" w14:textId="0D26600D" w:rsidR="004D724F" w:rsidRDefault="004D724F" w:rsidP="004D724F">
      <w:r w:rsidRPr="004D724F">
        <w:t>Oletukset</w:t>
      </w:r>
      <w:r>
        <w:t>:</w:t>
      </w:r>
    </w:p>
    <w:p w14:paraId="3E31401B" w14:textId="523F30FE" w:rsidR="004D724F" w:rsidRPr="004D724F" w:rsidRDefault="004D724F" w:rsidP="004D724F">
      <w:pPr>
        <w:pStyle w:val="Luettelokappale"/>
        <w:numPr>
          <w:ilvl w:val="0"/>
          <w:numId w:val="24"/>
        </w:numPr>
      </w:pPr>
      <w:r w:rsidRPr="004D724F">
        <w:rPr>
          <w:b/>
          <w:bCs/>
        </w:rPr>
        <w:t>Valtion tulovero:</w:t>
      </w:r>
      <w:r w:rsidRPr="004D724F">
        <w:t xml:space="preserve"> vuoden 2026 tuloveroasteikko, ja verotettavaksi tuloksi arvioin 91,8 % bruttopalkasta miinus 750 €.</w:t>
      </w:r>
    </w:p>
    <w:p w14:paraId="02752CC5" w14:textId="77777777" w:rsidR="004D724F" w:rsidRDefault="004D724F" w:rsidP="004D724F">
      <w:pPr>
        <w:numPr>
          <w:ilvl w:val="0"/>
          <w:numId w:val="24"/>
        </w:numPr>
      </w:pPr>
      <w:r w:rsidRPr="004D724F">
        <w:rPr>
          <w:b/>
          <w:bCs/>
        </w:rPr>
        <w:t>Kunnallisvero:</w:t>
      </w:r>
      <w:r w:rsidRPr="004D724F">
        <w:t xml:space="preserve"> maan keskimääräinen veroprosentti 7,57 % samasta verotettavasta tulosta.</w:t>
      </w:r>
    </w:p>
    <w:p w14:paraId="0168C95A" w14:textId="77777777" w:rsidR="00EC5B13" w:rsidRPr="004D724F" w:rsidRDefault="00EC5B13" w:rsidP="00EC5B13">
      <w:pPr>
        <w:numPr>
          <w:ilvl w:val="0"/>
          <w:numId w:val="24"/>
        </w:numPr>
      </w:pPr>
      <w:r w:rsidRPr="004D724F">
        <w:rPr>
          <w:b/>
          <w:bCs/>
        </w:rPr>
        <w:t>Kunnallisvero:</w:t>
      </w:r>
      <w:r w:rsidRPr="004D724F">
        <w:t xml:space="preserve"> se tilitetään työntekijän asuinkunnalle, ei välttämättä datakeskuksen sijaintikunnalle.</w:t>
      </w:r>
    </w:p>
    <w:p w14:paraId="2C0134DF" w14:textId="77777777" w:rsidR="00EC5B13" w:rsidRPr="004D724F" w:rsidRDefault="00EC5B13" w:rsidP="00EC5B13">
      <w:pPr>
        <w:numPr>
          <w:ilvl w:val="0"/>
          <w:numId w:val="24"/>
        </w:numPr>
      </w:pPr>
      <w:r w:rsidRPr="004D724F">
        <w:rPr>
          <w:b/>
          <w:bCs/>
        </w:rPr>
        <w:t>Rajaus:</w:t>
      </w:r>
      <w:r w:rsidRPr="004D724F">
        <w:t xml:space="preserve"> luvut koskevat vain suoria työntekijöitä. Epäsuorien työpaikkojen tuloverot eivät ole mukana.</w:t>
      </w:r>
    </w:p>
    <w:p w14:paraId="64434227" w14:textId="71BA3FB1" w:rsidR="004D724F" w:rsidRPr="004D724F" w:rsidRDefault="004D724F" w:rsidP="004D724F">
      <w:pPr>
        <w:numPr>
          <w:ilvl w:val="0"/>
          <w:numId w:val="24"/>
        </w:numPr>
      </w:pPr>
      <w:r w:rsidRPr="004D724F">
        <w:rPr>
          <w:b/>
          <w:bCs/>
        </w:rPr>
        <w:t>Rakennusvaihe:</w:t>
      </w:r>
      <w:r w:rsidRPr="004D724F">
        <w:t xml:space="preserve"> </w:t>
      </w:r>
      <w:r w:rsidR="007C632D" w:rsidRPr="007C632D">
        <w:t>Laskelma lähtee 45 000 henkilötyövuoden palkkasummasta, noin 2,0 mrd. € (45 000 htv × 45 000 € keskipalkka).</w:t>
      </w:r>
      <w:r w:rsidR="00BD6D41" w:rsidRPr="00BD6D41">
        <w:t xml:space="preserve"> Alaraja olettaa, että 50 % työntekijöistä verotetaan Suomessa, ja yläraja että kaikki.</w:t>
      </w:r>
    </w:p>
    <w:p w14:paraId="586BC10D" w14:textId="77777777" w:rsidR="004D724F" w:rsidRDefault="004D724F" w:rsidP="00D35986"/>
    <w:p w14:paraId="2AFD41F0" w14:textId="7353E73D" w:rsidR="00BF2E1C" w:rsidRDefault="00BF2E1C" w:rsidP="00D35986">
      <w:r>
        <w:t xml:space="preserve">Rambollin laskelmassa 101MW datakeskusinvestointi tarkoittaa rakennusvaiheessa n. 31 milj.€ tuloveroja. Täten 12mrd.€ investointi tarkoittaisi </w:t>
      </w:r>
      <w:r w:rsidR="007D6DF3">
        <w:t>372 milj.</w:t>
      </w:r>
      <w:r>
        <w:t xml:space="preserve">€ </w:t>
      </w:r>
      <w:r w:rsidR="007D6DF3">
        <w:t>verotuloja</w:t>
      </w:r>
      <w:r w:rsidR="007E40B3">
        <w:t xml:space="preserve"> valtiolle ja kunnille.</w:t>
      </w:r>
    </w:p>
    <w:p w14:paraId="44B0E18F" w14:textId="77777777" w:rsidR="00934F3F" w:rsidRDefault="00934F3F" w:rsidP="00D35986"/>
    <w:p w14:paraId="0C4A4633" w14:textId="139309D1" w:rsidR="00B6063C" w:rsidRPr="00DB1451" w:rsidRDefault="00C425D5" w:rsidP="0082436F">
      <w:pPr>
        <w:pStyle w:val="Otsikko3"/>
      </w:pPr>
      <w:r w:rsidRPr="00DB1451">
        <w:t>Tuontiverot</w:t>
      </w:r>
    </w:p>
    <w:p w14:paraId="5535790A" w14:textId="3AE8A224" w:rsidR="00FA4D01" w:rsidRDefault="00D0446B" w:rsidP="00D35986">
      <w:r w:rsidRPr="00D0446B">
        <w:t>Valtaosa datakeskusten ydinlaitteista – kuten palvelimet, GPU-kiihdyttimet, verkkokytkimet, reitittimet ja tallennusjärjestelmät – on kansainvälisessä kaupassa täysin tullivapaita (tulli 0 %).</w:t>
      </w:r>
      <w:r>
        <w:t xml:space="preserve"> </w:t>
      </w:r>
    </w:p>
    <w:p w14:paraId="03B60783" w14:textId="77777777" w:rsidR="00D0446B" w:rsidRDefault="00D0446B" w:rsidP="00D35986"/>
    <w:p w14:paraId="4A93A60D" w14:textId="218BD55C" w:rsidR="00D0446B" w:rsidRPr="00B644DC" w:rsidRDefault="00B644DC" w:rsidP="0082436F">
      <w:pPr>
        <w:pStyle w:val="Otsikko3"/>
      </w:pPr>
      <w:r w:rsidRPr="00B644DC">
        <w:t>Kiinteistövero</w:t>
      </w:r>
    </w:p>
    <w:p w14:paraId="7734E42B" w14:textId="77777777" w:rsidR="008235EC" w:rsidRDefault="00002883" w:rsidP="00D35986">
      <w:r w:rsidRPr="00002883">
        <w:t>Maan</w:t>
      </w:r>
      <w:r w:rsidR="00E53874">
        <w:t xml:space="preserve"> ja </w:t>
      </w:r>
      <w:r w:rsidR="00EC21F0">
        <w:t>rakennuksen</w:t>
      </w:r>
      <w:r w:rsidRPr="00002883">
        <w:t xml:space="preserve"> verotusarvo riippuu sijaintikun</w:t>
      </w:r>
      <w:r w:rsidR="00B06446">
        <w:t>nasta.</w:t>
      </w:r>
      <w:r w:rsidR="00DD29F8">
        <w:t xml:space="preserve"> </w:t>
      </w:r>
      <w:r w:rsidR="008235EC" w:rsidRPr="008235EC">
        <w:t xml:space="preserve">Datakeskuksiin sovelletaan pääsääntöisesti </w:t>
      </w:r>
      <w:r w:rsidR="008235EC" w:rsidRPr="008235EC">
        <w:rPr>
          <w:b/>
          <w:bCs/>
        </w:rPr>
        <w:t>yleistä kiinteistöveroprosenttia</w:t>
      </w:r>
      <w:r w:rsidR="008235EC" w:rsidRPr="008235EC">
        <w:t xml:space="preserve"> (rakennukset: 0,93–2,00 %, monissa teollisuuskunnissa tyypillisesti n. </w:t>
      </w:r>
      <w:r w:rsidR="008235EC" w:rsidRPr="008235EC">
        <w:rPr>
          <w:b/>
          <w:bCs/>
        </w:rPr>
        <w:t>1,0–1,4 %</w:t>
      </w:r>
      <w:r w:rsidR="008235EC" w:rsidRPr="008235EC">
        <w:t>).</w:t>
      </w:r>
    </w:p>
    <w:p w14:paraId="1364F245" w14:textId="77777777" w:rsidR="008235EC" w:rsidRDefault="008235EC" w:rsidP="00D35986"/>
    <w:p w14:paraId="3C8DFF15" w14:textId="74D49DD7" w:rsidR="00FA4D01" w:rsidRDefault="00DD29F8" w:rsidP="00D35986">
      <w:r>
        <w:t>J</w:t>
      </w:r>
      <w:r w:rsidRPr="00DD29F8">
        <w:t>os oletetaan, että 12 mrd. euron</w:t>
      </w:r>
      <w:r>
        <w:t xml:space="preserve"> datakeskusinvestoinnista</w:t>
      </w:r>
      <w:r w:rsidRPr="00DD29F8">
        <w:t xml:space="preserve"> kokonaisuudessa syntyy esimerkiksi noin </w:t>
      </w:r>
      <w:r w:rsidRPr="00DD29F8">
        <w:rPr>
          <w:b/>
          <w:bCs/>
        </w:rPr>
        <w:t>1,5–2,0 miljardin euron verotusarvo</w:t>
      </w:r>
      <w:r w:rsidRPr="00DD29F8">
        <w:t xml:space="preserve"> kiinteistöille</w:t>
      </w:r>
      <w:r w:rsidR="00EC6E09">
        <w:t xml:space="preserve">, niin tästä kannetaan veroa </w:t>
      </w:r>
      <w:r w:rsidR="00DC0749">
        <w:t xml:space="preserve">n. </w:t>
      </w:r>
      <w:proofErr w:type="gramStart"/>
      <w:r w:rsidR="00E13262">
        <w:t>18-26</w:t>
      </w:r>
      <w:proofErr w:type="gramEnd"/>
      <w:r w:rsidR="007475BE">
        <w:t xml:space="preserve"> </w:t>
      </w:r>
      <w:r w:rsidR="00E13262">
        <w:t>milj.</w:t>
      </w:r>
      <w:r w:rsidR="007475BE">
        <w:t>€</w:t>
      </w:r>
    </w:p>
    <w:p w14:paraId="0643EA4F" w14:textId="77777777" w:rsidR="007475BE" w:rsidRDefault="007475BE" w:rsidP="00D35986"/>
    <w:tbl>
      <w:tblPr>
        <w:tblW w:w="8800" w:type="dxa"/>
        <w:tblCellMar>
          <w:left w:w="70" w:type="dxa"/>
          <w:right w:w="70" w:type="dxa"/>
        </w:tblCellMar>
        <w:tblLook w:val="04A0" w:firstRow="1" w:lastRow="0" w:firstColumn="1" w:lastColumn="0" w:noHBand="0" w:noVBand="1"/>
      </w:tblPr>
      <w:tblGrid>
        <w:gridCol w:w="3660"/>
        <w:gridCol w:w="1640"/>
        <w:gridCol w:w="3500"/>
      </w:tblGrid>
      <w:tr w:rsidR="00E32490" w:rsidRPr="00E32490" w14:paraId="0F7C667C" w14:textId="77777777" w:rsidTr="00E32490">
        <w:trPr>
          <w:trHeight w:val="300"/>
        </w:trPr>
        <w:tc>
          <w:tcPr>
            <w:tcW w:w="3660" w:type="dxa"/>
            <w:tcBorders>
              <w:top w:val="single" w:sz="4" w:space="0" w:color="44B3E1"/>
              <w:left w:val="single" w:sz="4" w:space="0" w:color="44B3E1"/>
              <w:bottom w:val="single" w:sz="4" w:space="0" w:color="44B3E1"/>
              <w:right w:val="nil"/>
            </w:tcBorders>
            <w:shd w:val="clear" w:color="156082" w:fill="156082"/>
            <w:noWrap/>
            <w:vAlign w:val="bottom"/>
            <w:hideMark/>
          </w:tcPr>
          <w:p w14:paraId="0C47C71F" w14:textId="77777777" w:rsidR="00E32490" w:rsidRPr="00E32490" w:rsidRDefault="00E32490" w:rsidP="00E32490">
            <w:pPr>
              <w:rPr>
                <w:rFonts w:ascii="Aptos Narrow" w:hAnsi="Aptos Narrow"/>
                <w:b/>
                <w:bCs/>
                <w:color w:val="FFFFFF"/>
                <w:sz w:val="22"/>
                <w:szCs w:val="22"/>
                <w:lang w:eastAsia="fi-FI"/>
              </w:rPr>
            </w:pPr>
            <w:r w:rsidRPr="00E32490">
              <w:rPr>
                <w:rFonts w:ascii="Aptos Narrow" w:hAnsi="Aptos Narrow"/>
                <w:b/>
                <w:bCs/>
                <w:color w:val="FFFFFF"/>
                <w:sz w:val="22"/>
                <w:szCs w:val="22"/>
                <w:lang w:eastAsia="fi-FI"/>
              </w:rPr>
              <w:t>Oletettu verotusarvo (rakennukset)</w:t>
            </w:r>
          </w:p>
        </w:tc>
        <w:tc>
          <w:tcPr>
            <w:tcW w:w="1640" w:type="dxa"/>
            <w:tcBorders>
              <w:top w:val="single" w:sz="4" w:space="0" w:color="44B3E1"/>
              <w:left w:val="nil"/>
              <w:bottom w:val="single" w:sz="4" w:space="0" w:color="44B3E1"/>
              <w:right w:val="nil"/>
            </w:tcBorders>
            <w:shd w:val="clear" w:color="156082" w:fill="156082"/>
            <w:noWrap/>
            <w:vAlign w:val="bottom"/>
            <w:hideMark/>
          </w:tcPr>
          <w:p w14:paraId="38AE9534" w14:textId="77777777" w:rsidR="00E32490" w:rsidRPr="00E32490" w:rsidRDefault="00E32490" w:rsidP="00E32490">
            <w:pPr>
              <w:rPr>
                <w:rFonts w:ascii="Aptos Narrow" w:hAnsi="Aptos Narrow"/>
                <w:b/>
                <w:bCs/>
                <w:color w:val="FFFFFF"/>
                <w:sz w:val="22"/>
                <w:szCs w:val="22"/>
                <w:lang w:eastAsia="fi-FI"/>
              </w:rPr>
            </w:pPr>
            <w:r w:rsidRPr="00E32490">
              <w:rPr>
                <w:rFonts w:ascii="Aptos Narrow" w:hAnsi="Aptos Narrow"/>
                <w:b/>
                <w:bCs/>
                <w:color w:val="FFFFFF"/>
                <w:sz w:val="22"/>
                <w:szCs w:val="22"/>
                <w:lang w:eastAsia="fi-FI"/>
              </w:rPr>
              <w:t>Veroprosentti</w:t>
            </w:r>
          </w:p>
        </w:tc>
        <w:tc>
          <w:tcPr>
            <w:tcW w:w="3500" w:type="dxa"/>
            <w:tcBorders>
              <w:top w:val="single" w:sz="4" w:space="0" w:color="44B3E1"/>
              <w:left w:val="nil"/>
              <w:bottom w:val="single" w:sz="4" w:space="0" w:color="44B3E1"/>
              <w:right w:val="single" w:sz="4" w:space="0" w:color="44B3E1"/>
            </w:tcBorders>
            <w:shd w:val="clear" w:color="156082" w:fill="156082"/>
            <w:noWrap/>
            <w:vAlign w:val="bottom"/>
            <w:hideMark/>
          </w:tcPr>
          <w:p w14:paraId="1C9EB46C" w14:textId="77777777" w:rsidR="00E32490" w:rsidRPr="00E32490" w:rsidRDefault="00E32490" w:rsidP="00E32490">
            <w:pPr>
              <w:rPr>
                <w:rFonts w:ascii="Aptos Narrow" w:hAnsi="Aptos Narrow"/>
                <w:b/>
                <w:bCs/>
                <w:color w:val="FFFFFF"/>
                <w:sz w:val="22"/>
                <w:szCs w:val="22"/>
                <w:lang w:eastAsia="fi-FI"/>
              </w:rPr>
            </w:pPr>
            <w:r w:rsidRPr="00E32490">
              <w:rPr>
                <w:rFonts w:ascii="Aptos Narrow" w:hAnsi="Aptos Narrow"/>
                <w:b/>
                <w:bCs/>
                <w:color w:val="FFFFFF"/>
                <w:sz w:val="22"/>
                <w:szCs w:val="22"/>
                <w:lang w:eastAsia="fi-FI"/>
              </w:rPr>
              <w:t>Vuotuinen kiinteistöverotuotto</w:t>
            </w:r>
          </w:p>
        </w:tc>
      </w:tr>
      <w:tr w:rsidR="00E32490" w:rsidRPr="00E32490" w14:paraId="0161F7BE" w14:textId="77777777" w:rsidTr="00E32490">
        <w:trPr>
          <w:trHeight w:val="300"/>
        </w:trPr>
        <w:tc>
          <w:tcPr>
            <w:tcW w:w="3660" w:type="dxa"/>
            <w:tcBorders>
              <w:top w:val="single" w:sz="4" w:space="0" w:color="44B3E1"/>
              <w:left w:val="single" w:sz="4" w:space="0" w:color="44B3E1"/>
              <w:bottom w:val="single" w:sz="4" w:space="0" w:color="44B3E1"/>
              <w:right w:val="nil"/>
            </w:tcBorders>
            <w:shd w:val="clear" w:color="C0E6F5" w:fill="C0E6F5"/>
            <w:noWrap/>
            <w:vAlign w:val="bottom"/>
            <w:hideMark/>
          </w:tcPr>
          <w:p w14:paraId="32744EF5" w14:textId="77777777" w:rsidR="00E32490" w:rsidRPr="00E32490" w:rsidRDefault="00E32490" w:rsidP="00E32490">
            <w:pPr>
              <w:rPr>
                <w:rFonts w:ascii="Aptos Narrow" w:hAnsi="Aptos Narrow"/>
                <w:color w:val="000000"/>
                <w:sz w:val="22"/>
                <w:szCs w:val="22"/>
                <w:lang w:eastAsia="fi-FI"/>
              </w:rPr>
            </w:pPr>
            <w:r w:rsidRPr="00E32490">
              <w:rPr>
                <w:rFonts w:ascii="Aptos Narrow" w:hAnsi="Aptos Narrow"/>
                <w:color w:val="000000"/>
                <w:sz w:val="22"/>
                <w:szCs w:val="22"/>
                <w:lang w:eastAsia="fi-FI"/>
              </w:rPr>
              <w:t>1 500 milj. € (keskiverto)</w:t>
            </w:r>
          </w:p>
        </w:tc>
        <w:tc>
          <w:tcPr>
            <w:tcW w:w="1640" w:type="dxa"/>
            <w:tcBorders>
              <w:top w:val="single" w:sz="4" w:space="0" w:color="44B3E1"/>
              <w:left w:val="nil"/>
              <w:bottom w:val="single" w:sz="4" w:space="0" w:color="44B3E1"/>
              <w:right w:val="nil"/>
            </w:tcBorders>
            <w:shd w:val="clear" w:color="C0E6F5" w:fill="C0E6F5"/>
            <w:noWrap/>
            <w:vAlign w:val="bottom"/>
            <w:hideMark/>
          </w:tcPr>
          <w:p w14:paraId="3305D16A" w14:textId="77777777" w:rsidR="00E32490" w:rsidRPr="00E32490" w:rsidRDefault="00E32490" w:rsidP="00E32490">
            <w:pPr>
              <w:jc w:val="right"/>
              <w:rPr>
                <w:rFonts w:ascii="Aptos Narrow" w:hAnsi="Aptos Narrow"/>
                <w:color w:val="000000"/>
                <w:sz w:val="22"/>
                <w:szCs w:val="22"/>
                <w:lang w:eastAsia="fi-FI"/>
              </w:rPr>
            </w:pPr>
            <w:r w:rsidRPr="00E32490">
              <w:rPr>
                <w:rFonts w:ascii="Aptos Narrow" w:hAnsi="Aptos Narrow"/>
                <w:color w:val="000000"/>
                <w:sz w:val="22"/>
                <w:szCs w:val="22"/>
                <w:lang w:eastAsia="fi-FI"/>
              </w:rPr>
              <w:t>1,20 %</w:t>
            </w:r>
          </w:p>
        </w:tc>
        <w:tc>
          <w:tcPr>
            <w:tcW w:w="3500" w:type="dxa"/>
            <w:tcBorders>
              <w:top w:val="single" w:sz="4" w:space="0" w:color="44B3E1"/>
              <w:left w:val="nil"/>
              <w:bottom w:val="single" w:sz="4" w:space="0" w:color="44B3E1"/>
              <w:right w:val="single" w:sz="4" w:space="0" w:color="44B3E1"/>
            </w:tcBorders>
            <w:shd w:val="clear" w:color="C0E6F5" w:fill="C0E6F5"/>
            <w:noWrap/>
            <w:vAlign w:val="bottom"/>
            <w:hideMark/>
          </w:tcPr>
          <w:p w14:paraId="013FA322" w14:textId="77777777" w:rsidR="00E32490" w:rsidRPr="00E32490" w:rsidRDefault="00E32490" w:rsidP="00E32490">
            <w:pPr>
              <w:rPr>
                <w:rFonts w:ascii="Aptos Narrow" w:hAnsi="Aptos Narrow"/>
                <w:color w:val="000000"/>
                <w:sz w:val="22"/>
                <w:szCs w:val="22"/>
                <w:lang w:eastAsia="fi-FI"/>
              </w:rPr>
            </w:pPr>
            <w:r w:rsidRPr="00E32490">
              <w:rPr>
                <w:rFonts w:ascii="Aptos Narrow" w:hAnsi="Aptos Narrow"/>
                <w:color w:val="000000"/>
                <w:sz w:val="22"/>
                <w:szCs w:val="22"/>
                <w:lang w:eastAsia="fi-FI"/>
              </w:rPr>
              <w:t>18 milj. € / vuosi</w:t>
            </w:r>
          </w:p>
        </w:tc>
      </w:tr>
      <w:tr w:rsidR="00E32490" w:rsidRPr="00E32490" w14:paraId="1BC56D20" w14:textId="77777777" w:rsidTr="00E32490">
        <w:trPr>
          <w:trHeight w:val="300"/>
        </w:trPr>
        <w:tc>
          <w:tcPr>
            <w:tcW w:w="3660" w:type="dxa"/>
            <w:tcBorders>
              <w:top w:val="single" w:sz="4" w:space="0" w:color="44B3E1"/>
              <w:left w:val="single" w:sz="4" w:space="0" w:color="44B3E1"/>
              <w:bottom w:val="single" w:sz="4" w:space="0" w:color="44B3E1"/>
              <w:right w:val="nil"/>
            </w:tcBorders>
            <w:noWrap/>
            <w:vAlign w:val="bottom"/>
            <w:hideMark/>
          </w:tcPr>
          <w:p w14:paraId="2669E3D5" w14:textId="77777777" w:rsidR="00E32490" w:rsidRPr="00E32490" w:rsidRDefault="00E32490" w:rsidP="00E32490">
            <w:pPr>
              <w:rPr>
                <w:rFonts w:ascii="Aptos Narrow" w:hAnsi="Aptos Narrow"/>
                <w:color w:val="000000"/>
                <w:sz w:val="22"/>
                <w:szCs w:val="22"/>
                <w:lang w:eastAsia="fi-FI"/>
              </w:rPr>
            </w:pPr>
            <w:r w:rsidRPr="00E32490">
              <w:rPr>
                <w:rFonts w:ascii="Aptos Narrow" w:hAnsi="Aptos Narrow"/>
                <w:color w:val="000000"/>
                <w:sz w:val="22"/>
                <w:szCs w:val="22"/>
                <w:lang w:eastAsia="fi-FI"/>
              </w:rPr>
              <w:t>2 000 milj. € (laaja rakennusmassa)</w:t>
            </w:r>
          </w:p>
        </w:tc>
        <w:tc>
          <w:tcPr>
            <w:tcW w:w="1640" w:type="dxa"/>
            <w:tcBorders>
              <w:top w:val="single" w:sz="4" w:space="0" w:color="44B3E1"/>
              <w:left w:val="nil"/>
              <w:bottom w:val="single" w:sz="4" w:space="0" w:color="44B3E1"/>
              <w:right w:val="nil"/>
            </w:tcBorders>
            <w:noWrap/>
            <w:vAlign w:val="bottom"/>
            <w:hideMark/>
          </w:tcPr>
          <w:p w14:paraId="47561D02" w14:textId="77777777" w:rsidR="00E32490" w:rsidRPr="00E32490" w:rsidRDefault="00E32490" w:rsidP="00E32490">
            <w:pPr>
              <w:jc w:val="right"/>
              <w:rPr>
                <w:rFonts w:ascii="Aptos Narrow" w:hAnsi="Aptos Narrow"/>
                <w:color w:val="000000"/>
                <w:sz w:val="22"/>
                <w:szCs w:val="22"/>
                <w:lang w:eastAsia="fi-FI"/>
              </w:rPr>
            </w:pPr>
            <w:r w:rsidRPr="00E32490">
              <w:rPr>
                <w:rFonts w:ascii="Aptos Narrow" w:hAnsi="Aptos Narrow"/>
                <w:color w:val="000000"/>
                <w:sz w:val="22"/>
                <w:szCs w:val="22"/>
                <w:lang w:eastAsia="fi-FI"/>
              </w:rPr>
              <w:t>1,30 %</w:t>
            </w:r>
          </w:p>
        </w:tc>
        <w:tc>
          <w:tcPr>
            <w:tcW w:w="3500" w:type="dxa"/>
            <w:tcBorders>
              <w:top w:val="single" w:sz="4" w:space="0" w:color="44B3E1"/>
              <w:left w:val="nil"/>
              <w:bottom w:val="single" w:sz="4" w:space="0" w:color="44B3E1"/>
              <w:right w:val="single" w:sz="4" w:space="0" w:color="44B3E1"/>
            </w:tcBorders>
            <w:noWrap/>
            <w:vAlign w:val="bottom"/>
            <w:hideMark/>
          </w:tcPr>
          <w:p w14:paraId="4DA3B0E0" w14:textId="77777777" w:rsidR="00E32490" w:rsidRPr="00E32490" w:rsidRDefault="00E32490" w:rsidP="00E32490">
            <w:pPr>
              <w:rPr>
                <w:rFonts w:ascii="Aptos Narrow" w:hAnsi="Aptos Narrow"/>
                <w:color w:val="000000"/>
                <w:sz w:val="22"/>
                <w:szCs w:val="22"/>
                <w:lang w:eastAsia="fi-FI"/>
              </w:rPr>
            </w:pPr>
            <w:r w:rsidRPr="00E32490">
              <w:rPr>
                <w:rFonts w:ascii="Aptos Narrow" w:hAnsi="Aptos Narrow"/>
                <w:color w:val="000000"/>
                <w:sz w:val="22"/>
                <w:szCs w:val="22"/>
                <w:lang w:eastAsia="fi-FI"/>
              </w:rPr>
              <w:t>26 milj. € / vuosi</w:t>
            </w:r>
          </w:p>
        </w:tc>
      </w:tr>
    </w:tbl>
    <w:p w14:paraId="1B68B29D" w14:textId="77777777" w:rsidR="00E32490" w:rsidRDefault="00E32490" w:rsidP="00D35986"/>
    <w:p w14:paraId="1F46A811" w14:textId="52E60AB3" w:rsidR="009221DE" w:rsidRDefault="00C115AC" w:rsidP="00D35986">
      <w:r>
        <w:t xml:space="preserve">Tyhjästä tontista maksetaan </w:t>
      </w:r>
      <w:r w:rsidR="00F3500E">
        <w:t xml:space="preserve">veroa maapohjan </w:t>
      </w:r>
      <w:proofErr w:type="gramStart"/>
      <w:r w:rsidR="00F3500E">
        <w:t>mukaan</w:t>
      </w:r>
      <w:proofErr w:type="gramEnd"/>
      <w:r w:rsidR="00F3500E">
        <w:t xml:space="preserve"> mutta tämä on suhteellisen alhainen </w:t>
      </w:r>
      <w:r w:rsidR="001E7BDF">
        <w:t xml:space="preserve">teollisuustonttien tapauksissa. </w:t>
      </w:r>
      <w:r w:rsidR="00A43C8C">
        <w:t xml:space="preserve">Kiinteistöveroa maksetaan </w:t>
      </w:r>
      <w:r w:rsidR="001E7BDF">
        <w:t xml:space="preserve">rakennusten </w:t>
      </w:r>
      <w:r w:rsidR="00A43C8C">
        <w:t>valmistumisasteen mukaan</w:t>
      </w:r>
      <w:r w:rsidR="001E7BDF">
        <w:t xml:space="preserve">. </w:t>
      </w:r>
      <w:r w:rsidR="00B53414">
        <w:t>Voidaan olettaa, että rakennusvaiheessa maksetut kiinteistöverot ovat puolet käyttöönottamisen jälkeisistä veroista.</w:t>
      </w:r>
    </w:p>
    <w:p w14:paraId="18BEBF2A" w14:textId="77777777" w:rsidR="00D510FA" w:rsidRDefault="00D510FA" w:rsidP="0082436F">
      <w:pPr>
        <w:pStyle w:val="Otsikko3"/>
      </w:pPr>
      <w:r w:rsidRPr="00BA79F4">
        <w:t>Sähkö</w:t>
      </w:r>
      <w:r>
        <w:t>n kulutuksen tuomat tulot julkiselle taloudelle</w:t>
      </w:r>
    </w:p>
    <w:p w14:paraId="68B870B8" w14:textId="77777777" w:rsidR="00D510FA" w:rsidRPr="00BA79F4" w:rsidRDefault="00D510FA" w:rsidP="00D510FA">
      <w:pPr>
        <w:rPr>
          <w:b/>
          <w:bCs/>
        </w:rPr>
      </w:pPr>
    </w:p>
    <w:p w14:paraId="06C9211B" w14:textId="77777777" w:rsidR="00D510FA" w:rsidRDefault="00D510FA" w:rsidP="00D510FA">
      <w:r>
        <w:t xml:space="preserve">Rambollin laskelmassa 12 mrd.€ investointi kasvattaisi sähkönkulutusta nimellisesti 1 215MW. Datakeskukset toimivan ympäri vuorokauden n. </w:t>
      </w:r>
      <w:proofErr w:type="gramStart"/>
      <w:r>
        <w:t>75-90</w:t>
      </w:r>
      <w:proofErr w:type="gramEnd"/>
      <w:r>
        <w:t xml:space="preserve">% käyttöasteella. Oletuksella </w:t>
      </w:r>
      <w:proofErr w:type="gramStart"/>
      <w:r>
        <w:t>85%</w:t>
      </w:r>
      <w:proofErr w:type="gramEnd"/>
      <w:r>
        <w:t xml:space="preserve"> käyttöasteesta sähkönkulutuksen lisäys olisi 9,0 </w:t>
      </w:r>
      <w:proofErr w:type="spellStart"/>
      <w:r>
        <w:t>Twh</w:t>
      </w:r>
      <w:proofErr w:type="spellEnd"/>
      <w:r>
        <w:t xml:space="preserve"> per vuosi, mikä tarkoittaa n. </w:t>
      </w:r>
      <w:proofErr w:type="gramStart"/>
      <w:r>
        <w:t>10-12</w:t>
      </w:r>
      <w:proofErr w:type="gramEnd"/>
      <w:r>
        <w:t xml:space="preserve"> prosenttia koko maan nykyisestä sähkönkulutuksesta ja n. </w:t>
      </w:r>
      <w:proofErr w:type="gramStart"/>
      <w:r>
        <w:t>70-75</w:t>
      </w:r>
      <w:proofErr w:type="gramEnd"/>
      <w:r>
        <w:t>% OL3:n vuosituotannosta.</w:t>
      </w:r>
    </w:p>
    <w:p w14:paraId="6D07CF9D" w14:textId="77777777" w:rsidR="00D510FA" w:rsidRDefault="00D510FA" w:rsidP="00D510FA"/>
    <w:p w14:paraId="5FB4ACD3" w14:textId="77777777" w:rsidR="00D510FA" w:rsidRDefault="00D510FA" w:rsidP="00D510FA">
      <w:r>
        <w:lastRenderedPageBreak/>
        <w:t>Julkinen talous verottaa teollisuussähköä sähköveron ja huoltovarmuusmaksun muodossa.</w:t>
      </w:r>
      <w:r>
        <w:rPr>
          <w:rStyle w:val="Alaviitteenviite"/>
        </w:rPr>
        <w:footnoteReference w:id="6"/>
      </w:r>
      <w:r>
        <w:t xml:space="preserve"> </w:t>
      </w:r>
    </w:p>
    <w:p w14:paraId="3156FEFC" w14:textId="77777777" w:rsidR="00D510FA" w:rsidRDefault="00D510FA" w:rsidP="00D510FA"/>
    <w:p w14:paraId="7180C556" w14:textId="77777777" w:rsidR="00D510FA" w:rsidRDefault="00D510FA" w:rsidP="00D510FA">
      <w:r>
        <w:t xml:space="preserve">Sähkövero 1.7.2026 lähtien huoltovarmuusmaksun sisältäen teollisuussähköveroluokassa II on 22,66 €/MWh. Tarkoittaa </w:t>
      </w:r>
    </w:p>
    <w:p w14:paraId="741F727E" w14:textId="77777777" w:rsidR="00D510FA" w:rsidRDefault="00D510FA" w:rsidP="00D510FA"/>
    <w:p w14:paraId="75784E85" w14:textId="77777777" w:rsidR="00D510FA" w:rsidRDefault="00D510FA" w:rsidP="00D510FA">
      <w:r w:rsidRPr="00B6063C">
        <w:t xml:space="preserve">9 0000 000 </w:t>
      </w:r>
      <w:proofErr w:type="spellStart"/>
      <w:r w:rsidRPr="00B6063C">
        <w:t>MWhx</w:t>
      </w:r>
      <w:proofErr w:type="spellEnd"/>
      <w:r w:rsidRPr="00B6063C">
        <w:t xml:space="preserve"> x 22,66 E/MWh = 204Milj.€ / vu</w:t>
      </w:r>
      <w:r>
        <w:t>osi</w:t>
      </w:r>
    </w:p>
    <w:p w14:paraId="78D32CEB" w14:textId="77777777" w:rsidR="00307D8E" w:rsidRDefault="00307D8E" w:rsidP="00D35986"/>
    <w:p w14:paraId="3D008163" w14:textId="77777777" w:rsidR="00307D8E" w:rsidRDefault="00307D8E" w:rsidP="00D35986"/>
    <w:p w14:paraId="15AB176E" w14:textId="407FF1C5" w:rsidR="00307D8E" w:rsidRDefault="00D510FA" w:rsidP="0082436F">
      <w:pPr>
        <w:pStyle w:val="Otsikko3"/>
      </w:pPr>
      <w:r w:rsidRPr="00872AE6">
        <w:t xml:space="preserve">Vaikutus </w:t>
      </w:r>
      <w:r w:rsidR="00872AE6" w:rsidRPr="00872AE6">
        <w:t>julkisiin tuloihin yhteensä</w:t>
      </w:r>
    </w:p>
    <w:p w14:paraId="3E00D7D1" w14:textId="77777777" w:rsidR="00AA17FF" w:rsidRDefault="00AA17FF" w:rsidP="00D35986">
      <w:pPr>
        <w:rPr>
          <w:b/>
          <w:bCs/>
        </w:rPr>
      </w:pPr>
    </w:p>
    <w:p w14:paraId="6BA1D115" w14:textId="52293DE0" w:rsidR="0028518F" w:rsidRDefault="0028518F" w:rsidP="00D35986">
      <w:r w:rsidRPr="0028518F">
        <w:t>Yhteisövero</w:t>
      </w:r>
      <w:r w:rsidR="00AE4B09">
        <w:t xml:space="preserve"> + ALV +</w:t>
      </w:r>
      <w:r w:rsidR="004B7749">
        <w:t xml:space="preserve"> Tulovero </w:t>
      </w:r>
      <w:proofErr w:type="gramStart"/>
      <w:r w:rsidR="004B7749">
        <w:t xml:space="preserve">+ </w:t>
      </w:r>
      <w:r w:rsidR="00AE4B09">
        <w:t xml:space="preserve"> kiinteistövero</w:t>
      </w:r>
      <w:proofErr w:type="gramEnd"/>
      <w:r w:rsidR="00AE4B09">
        <w:t xml:space="preserve"> </w:t>
      </w:r>
      <w:r w:rsidR="00BD03C1">
        <w:t>+ sähkövero</w:t>
      </w:r>
    </w:p>
    <w:p w14:paraId="10E60F6E" w14:textId="77777777" w:rsidR="00BD03C1" w:rsidRDefault="00BD03C1" w:rsidP="00D35986"/>
    <w:p w14:paraId="3DBDD4AD" w14:textId="1E079CC4" w:rsidR="00892936" w:rsidRDefault="00AA17FF" w:rsidP="00D35986">
      <w:r>
        <w:t>Rakennusvaihe</w:t>
      </w:r>
      <w:r w:rsidR="00566E58">
        <w:t xml:space="preserve"> yhteensä</w:t>
      </w:r>
    </w:p>
    <w:p w14:paraId="51CFA379" w14:textId="7D5C48FC" w:rsidR="00AA17FF" w:rsidRPr="00613FBB" w:rsidRDefault="00613FBB" w:rsidP="00D35986">
      <w:r w:rsidRPr="00613FBB">
        <w:t>42M€</w:t>
      </w:r>
      <w:r w:rsidR="004D176F" w:rsidRPr="00613FBB">
        <w:t xml:space="preserve"> </w:t>
      </w:r>
      <w:r w:rsidR="00892936" w:rsidRPr="00613FBB">
        <w:t>+</w:t>
      </w:r>
      <w:r w:rsidR="004D176F" w:rsidRPr="00613FBB">
        <w:t xml:space="preserve"> </w:t>
      </w:r>
      <w:r w:rsidR="0070082D">
        <w:t>33M€</w:t>
      </w:r>
      <w:r w:rsidR="004D176F" w:rsidRPr="00613FBB">
        <w:t xml:space="preserve"> </w:t>
      </w:r>
      <w:r w:rsidR="00892936" w:rsidRPr="00613FBB">
        <w:t>+</w:t>
      </w:r>
      <w:r w:rsidR="004D176F" w:rsidRPr="00613FBB">
        <w:t xml:space="preserve"> </w:t>
      </w:r>
      <w:r w:rsidR="00672898" w:rsidRPr="00613FBB">
        <w:t>315M€</w:t>
      </w:r>
      <w:r w:rsidR="004D176F" w:rsidRPr="00613FBB">
        <w:t xml:space="preserve"> </w:t>
      </w:r>
      <w:r w:rsidR="00892936" w:rsidRPr="00613FBB">
        <w:t>+</w:t>
      </w:r>
      <w:r w:rsidR="004D176F" w:rsidRPr="00613FBB">
        <w:t xml:space="preserve"> </w:t>
      </w:r>
      <w:r w:rsidR="00F90553">
        <w:t>50</w:t>
      </w:r>
      <w:r w:rsidR="004D176F" w:rsidRPr="00613FBB">
        <w:t xml:space="preserve"> </w:t>
      </w:r>
      <w:r w:rsidR="00892936" w:rsidRPr="00613FBB">
        <w:t>+</w:t>
      </w:r>
      <w:r w:rsidR="004D176F" w:rsidRPr="00613FBB">
        <w:t xml:space="preserve"> </w:t>
      </w:r>
      <w:proofErr w:type="gramStart"/>
      <w:r w:rsidR="00283CA0" w:rsidRPr="00613FBB">
        <w:t>0</w:t>
      </w:r>
      <w:r w:rsidR="00AA17FF" w:rsidRPr="00613FBB">
        <w:t xml:space="preserve"> </w:t>
      </w:r>
      <w:r w:rsidR="00E37DAD" w:rsidRPr="00613FBB">
        <w:t xml:space="preserve"> =</w:t>
      </w:r>
      <w:proofErr w:type="gramEnd"/>
      <w:r w:rsidR="00C27588">
        <w:t xml:space="preserve"> </w:t>
      </w:r>
      <w:r w:rsidR="00F869DC">
        <w:t>440M€</w:t>
      </w:r>
    </w:p>
    <w:p w14:paraId="0E84A814" w14:textId="77777777" w:rsidR="00AA17FF" w:rsidRPr="00613FBB" w:rsidRDefault="00AA17FF" w:rsidP="00D35986"/>
    <w:p w14:paraId="71C6A4B6" w14:textId="2D14B2FE" w:rsidR="00AA17FF" w:rsidRDefault="00AA17FF" w:rsidP="00D35986">
      <w:r>
        <w:t>Käyttöönottovaiheen jälkeen</w:t>
      </w:r>
      <w:r w:rsidR="00566E58">
        <w:t xml:space="preserve"> /vuosi</w:t>
      </w:r>
    </w:p>
    <w:p w14:paraId="22C082AD" w14:textId="66B4F5A3" w:rsidR="00892936" w:rsidRPr="009D675A" w:rsidRDefault="00613FBB" w:rsidP="00D35986">
      <w:r w:rsidRPr="009D675A">
        <w:t>10M€</w:t>
      </w:r>
      <w:r w:rsidR="004D176F" w:rsidRPr="009D675A">
        <w:t xml:space="preserve"> </w:t>
      </w:r>
      <w:r w:rsidR="00892936" w:rsidRPr="009D675A">
        <w:t>+</w:t>
      </w:r>
      <w:r w:rsidR="004D176F" w:rsidRPr="009D675A">
        <w:t xml:space="preserve"> </w:t>
      </w:r>
      <w:r w:rsidR="00566E58" w:rsidRPr="009D675A">
        <w:t>7M€</w:t>
      </w:r>
      <w:r w:rsidR="004D176F" w:rsidRPr="009D675A">
        <w:t xml:space="preserve"> </w:t>
      </w:r>
      <w:r w:rsidR="00892936" w:rsidRPr="009D675A">
        <w:t>+</w:t>
      </w:r>
      <w:r w:rsidR="004D176F" w:rsidRPr="009D675A">
        <w:t xml:space="preserve"> </w:t>
      </w:r>
      <w:r w:rsidR="000E5269" w:rsidRPr="009D675A">
        <w:t>2</w:t>
      </w:r>
      <w:r w:rsidR="00E37DAD" w:rsidRPr="009D675A">
        <w:t>0M€</w:t>
      </w:r>
      <w:r w:rsidR="004D176F" w:rsidRPr="009D675A">
        <w:t xml:space="preserve"> </w:t>
      </w:r>
      <w:r w:rsidR="00892936" w:rsidRPr="009D675A">
        <w:t>+</w:t>
      </w:r>
      <w:r w:rsidR="004D176F" w:rsidRPr="009D675A">
        <w:t xml:space="preserve"> </w:t>
      </w:r>
      <w:r w:rsidR="00F90553" w:rsidRPr="009D675A">
        <w:t>10</w:t>
      </w:r>
      <w:r w:rsidR="004D176F" w:rsidRPr="009D675A">
        <w:t xml:space="preserve"> </w:t>
      </w:r>
      <w:r w:rsidR="00892936" w:rsidRPr="009D675A">
        <w:t>+</w:t>
      </w:r>
      <w:r w:rsidR="004D176F" w:rsidRPr="009D675A">
        <w:t xml:space="preserve"> </w:t>
      </w:r>
      <w:r w:rsidR="00EA333A" w:rsidRPr="009D675A">
        <w:t>204M€</w:t>
      </w:r>
      <w:r w:rsidR="00E37DAD" w:rsidRPr="009D675A">
        <w:t xml:space="preserve"> =</w:t>
      </w:r>
      <w:r w:rsidR="00F869DC" w:rsidRPr="009D675A">
        <w:t xml:space="preserve"> 251M€</w:t>
      </w:r>
    </w:p>
    <w:p w14:paraId="0B496E08" w14:textId="77777777" w:rsidR="00F869DC" w:rsidRPr="009D675A" w:rsidRDefault="00F869DC" w:rsidP="00D35986"/>
    <w:p w14:paraId="1A5A9DDC" w14:textId="77777777" w:rsidR="00BD03C1" w:rsidRPr="009D675A" w:rsidRDefault="00BD03C1" w:rsidP="00D35986"/>
    <w:p w14:paraId="2BF663B7" w14:textId="77777777" w:rsidR="00872AE6" w:rsidRPr="009D675A" w:rsidRDefault="00872AE6" w:rsidP="00D35986">
      <w:pPr>
        <w:rPr>
          <w:b/>
          <w:bCs/>
        </w:rPr>
      </w:pPr>
    </w:p>
    <w:p w14:paraId="3714793A" w14:textId="77777777" w:rsidR="00872AE6" w:rsidRPr="009D675A" w:rsidRDefault="00872AE6" w:rsidP="00D35986">
      <w:pPr>
        <w:rPr>
          <w:b/>
          <w:bCs/>
        </w:rPr>
      </w:pPr>
    </w:p>
    <w:p w14:paraId="241582F4" w14:textId="77777777" w:rsidR="00BA79F4" w:rsidRPr="009D675A" w:rsidRDefault="00BA79F4" w:rsidP="00D35986"/>
    <w:p w14:paraId="49B37761" w14:textId="30196144" w:rsidR="00AF062C" w:rsidRDefault="001748BB" w:rsidP="00135293">
      <w:pPr>
        <w:pStyle w:val="Otsikko2"/>
      </w:pPr>
      <w:r>
        <w:t>Sähköinfra</w:t>
      </w:r>
      <w:r w:rsidR="00AF062C">
        <w:t>meno</w:t>
      </w:r>
      <w:r>
        <w:t>t</w:t>
      </w:r>
    </w:p>
    <w:p w14:paraId="3EB48C5A" w14:textId="77777777" w:rsidR="003555E5" w:rsidRDefault="003555E5" w:rsidP="003555E5"/>
    <w:p w14:paraId="1C186504" w14:textId="2C917C61" w:rsidR="0061444E" w:rsidRDefault="0061444E" w:rsidP="0061444E">
      <w:r>
        <w:t xml:space="preserve">Vuosina 2024–2033 </w:t>
      </w:r>
      <w:proofErr w:type="spellStart"/>
      <w:r>
        <w:t>Fingrid</w:t>
      </w:r>
      <w:proofErr w:type="spellEnd"/>
      <w:r>
        <w:t xml:space="preserve"> suunnittelee investoivansa yhä kiihtyvällä tahdilla, 4 miljardia euroa,</w:t>
      </w:r>
    </w:p>
    <w:p w14:paraId="564152B3" w14:textId="53DE3B44" w:rsidR="003555E5" w:rsidRPr="003555E5" w:rsidRDefault="0061444E" w:rsidP="002B6819">
      <w:r>
        <w:t xml:space="preserve">eli keskimäärin 400 miljoonaa euroa vuosittain. </w:t>
      </w:r>
      <w:proofErr w:type="spellStart"/>
      <w:r w:rsidR="002B6819">
        <w:t>Fingridin</w:t>
      </w:r>
      <w:proofErr w:type="spellEnd"/>
      <w:r w:rsidR="002B6819">
        <w:t xml:space="preserve"> investointikustannuksista noin 80 % kohdistuu uusinvestointeihin.</w:t>
      </w:r>
      <w:r w:rsidR="002B6819">
        <w:rPr>
          <w:rStyle w:val="Alaviitteenviite"/>
        </w:rPr>
        <w:footnoteReference w:id="7"/>
      </w:r>
    </w:p>
    <w:p w14:paraId="602BAAC0" w14:textId="77777777" w:rsidR="003555E5" w:rsidRDefault="003555E5" w:rsidP="00C93035">
      <w:pPr>
        <w:rPr>
          <w:i/>
        </w:rPr>
      </w:pPr>
    </w:p>
    <w:p w14:paraId="33ABB150" w14:textId="77B7C5C9" w:rsidR="00C93035" w:rsidRDefault="00DA727B" w:rsidP="00C93035">
      <w:r w:rsidRPr="00DA727B">
        <w:rPr>
          <w:noProof/>
        </w:rPr>
        <w:lastRenderedPageBreak/>
        <w:drawing>
          <wp:inline distT="0" distB="0" distL="0" distR="0" wp14:anchorId="2B1E1537" wp14:editId="7522B3E2">
            <wp:extent cx="6120130" cy="3223260"/>
            <wp:effectExtent l="0" t="0" r="0" b="0"/>
            <wp:docPr id="2036756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561" name=""/>
                    <pic:cNvPicPr/>
                  </pic:nvPicPr>
                  <pic:blipFill>
                    <a:blip r:embed="rId14"/>
                    <a:stretch>
                      <a:fillRect/>
                    </a:stretch>
                  </pic:blipFill>
                  <pic:spPr>
                    <a:xfrm>
                      <a:off x="0" y="0"/>
                      <a:ext cx="6120130" cy="3223260"/>
                    </a:xfrm>
                    <a:prstGeom prst="rect">
                      <a:avLst/>
                    </a:prstGeom>
                  </pic:spPr>
                </pic:pic>
              </a:graphicData>
            </a:graphic>
          </wp:inline>
        </w:drawing>
      </w:r>
    </w:p>
    <w:p w14:paraId="42F59831" w14:textId="4107DF08" w:rsidR="00C93035" w:rsidRPr="00C93035" w:rsidRDefault="00C93035" w:rsidP="000E5F97">
      <w:pPr>
        <w:pStyle w:val="Otsikko3"/>
        <w:numPr>
          <w:ilvl w:val="1"/>
          <w:numId w:val="19"/>
        </w:numPr>
      </w:pPr>
      <w:r w:rsidRPr="00C93035">
        <w:t>Liityntäkysynnän kehitys</w:t>
      </w:r>
    </w:p>
    <w:p w14:paraId="62DC5E06" w14:textId="408A6E83" w:rsidR="00C93035" w:rsidRDefault="00C93035" w:rsidP="00C93035">
      <w:r w:rsidRPr="00C93035">
        <w:t xml:space="preserve">Sähkön kulutuskapasiteettia lisäävien liityntäkyselyiden kumulatiivinen määrä Suomen kantaverkkoon on ylittänyt 100 gigawattia, josta yli puolet liittyy datakeskushankkeisiin. Viimeisen 12 kuukauden aikana </w:t>
      </w:r>
      <w:proofErr w:type="spellStart"/>
      <w:r w:rsidRPr="00C93035">
        <w:t>Fingrid</w:t>
      </w:r>
      <w:proofErr w:type="spellEnd"/>
      <w:r w:rsidRPr="00C93035">
        <w:t xml:space="preserve"> vastaanotti liityntäkyselyitä sähkön kulutuksen osalta noin 68 gigawatin, tuotannon osalta noin 13 gigawatin ja sähkövarastojen osalta noin 32 gigawatin edestä. </w:t>
      </w:r>
      <w:r w:rsidRPr="00673651">
        <w:rPr>
          <w:b/>
          <w:bCs/>
        </w:rPr>
        <w:t>Samana ajanjaksona solmittiin noin 50 uutta liittymissopimusta, joista noin kolmannes koski datakeskuksia.</w:t>
      </w:r>
      <w:r w:rsidRPr="00C93035">
        <w:t xml:space="preserve"> Liityntäkyselyiden volyymi on moninkertainen verrattuna koko maan huippukulutukseen (noin 15 000 megawattia), mikä kuvastaa kysynnän mittakaavaa suhteessa nykyiseen järjestelmään.</w:t>
      </w:r>
      <w:r w:rsidR="00A131FB">
        <w:t xml:space="preserve"> pelkkien liityntä</w:t>
      </w:r>
      <w:r w:rsidR="00E042B7">
        <w:t xml:space="preserve">kyselyiden seuraaminen yliarvioi </w:t>
      </w:r>
      <w:r w:rsidR="00A521F4">
        <w:t xml:space="preserve">reippaasti sähkön kulutuskysynnän tuleville vuosille. </w:t>
      </w:r>
      <w:proofErr w:type="spellStart"/>
      <w:r w:rsidR="005207C1" w:rsidRPr="005207C1">
        <w:t>Fingridin</w:t>
      </w:r>
      <w:proofErr w:type="spellEnd"/>
      <w:r w:rsidR="005207C1" w:rsidRPr="005207C1">
        <w:t xml:space="preserve"> kantaverkon suunnittelusta vastaava</w:t>
      </w:r>
      <w:r w:rsidR="005207C1">
        <w:t>n</w:t>
      </w:r>
      <w:r w:rsidR="005207C1" w:rsidRPr="005207C1">
        <w:t xml:space="preserve"> johtaja</w:t>
      </w:r>
      <w:r w:rsidR="005207C1">
        <w:t>n</w:t>
      </w:r>
      <w:r w:rsidR="005207C1" w:rsidRPr="005207C1">
        <w:t xml:space="preserve"> </w:t>
      </w:r>
      <w:r w:rsidR="005207C1" w:rsidRPr="005207C1">
        <w:rPr>
          <w:b/>
          <w:bCs/>
        </w:rPr>
        <w:t xml:space="preserve">Jussi </w:t>
      </w:r>
      <w:proofErr w:type="spellStart"/>
      <w:r w:rsidR="005207C1" w:rsidRPr="005207C1">
        <w:rPr>
          <w:b/>
          <w:bCs/>
        </w:rPr>
        <w:t>Jyrinsalo</w:t>
      </w:r>
      <w:r w:rsidR="005207C1">
        <w:rPr>
          <w:b/>
          <w:bCs/>
        </w:rPr>
        <w:t>n</w:t>
      </w:r>
      <w:proofErr w:type="spellEnd"/>
      <w:r w:rsidR="005207C1">
        <w:rPr>
          <w:b/>
          <w:bCs/>
        </w:rPr>
        <w:t xml:space="preserve"> </w:t>
      </w:r>
      <w:r w:rsidR="005207C1">
        <w:t xml:space="preserve">mukaan </w:t>
      </w:r>
      <w:r w:rsidR="00414FB8">
        <w:t>”</w:t>
      </w:r>
      <w:r w:rsidR="00414FB8" w:rsidRPr="00414FB8">
        <w:t>realistisempi arvio on, että kyselyistä toteutuu noin kymmenen prosenttia. Jo se tarkoittaisi 5 000 megawatin lisäystä Suomen sähkönkulutukseen</w:t>
      </w:r>
      <w:r w:rsidR="00007D1B">
        <w:t>”</w:t>
      </w:r>
      <w:r w:rsidR="00BB0F49">
        <w:t>.</w:t>
      </w:r>
      <w:r w:rsidR="00BB0F49">
        <w:rPr>
          <w:rStyle w:val="Alaviitteenviite"/>
        </w:rPr>
        <w:footnoteReference w:id="8"/>
      </w:r>
    </w:p>
    <w:p w14:paraId="47FD7412" w14:textId="77777777" w:rsidR="00673651" w:rsidRPr="00C93035" w:rsidRDefault="00673651" w:rsidP="00C93035"/>
    <w:p w14:paraId="3B0FFE4C" w14:textId="2AA6DC9F" w:rsidR="00C93035" w:rsidRDefault="00C93035" w:rsidP="00C57664">
      <w:pPr>
        <w:pStyle w:val="Otsikko3"/>
        <w:numPr>
          <w:ilvl w:val="1"/>
          <w:numId w:val="19"/>
        </w:numPr>
      </w:pPr>
      <w:r w:rsidRPr="00C93035">
        <w:t>Verkon kapasiteettirajoitukset</w:t>
      </w:r>
    </w:p>
    <w:p w14:paraId="0B65B917" w14:textId="77777777" w:rsidR="00C57664" w:rsidRPr="00C57664" w:rsidRDefault="00C57664" w:rsidP="00C57664"/>
    <w:p w14:paraId="6F9B7596" w14:textId="4CCDE3E2" w:rsidR="00C93035" w:rsidRDefault="00C93035" w:rsidP="00C93035">
      <w:r w:rsidRPr="00C93035">
        <w:t>Kysynnän kasvu on johtanut väliaikaisiin liityntärajoituksiin. Tuotannon liittämistä on rajoitettu Länsi-Suomessa, ja kulutuksen sekä sähkövarastojen liittämistä Etelä-Suomessa. Etelä-Suomessa liittymissopimustiedustelu vaaditaan yli 10 megawatin kulutuskohteille ja yli 5 megawatin sähkövarastoille — raja, joka koskee käytännössä suuria datakeskushankkeita. Rajoitukset on määritelty väliaikaisiksi, ja niistä on tarkoitus luopua asteittain verkkovahvistusten valmistuessa vuosina 2027–2029.</w:t>
      </w:r>
      <w:r w:rsidR="00DF2C0E">
        <w:rPr>
          <w:rStyle w:val="Alaviitteenviite"/>
        </w:rPr>
        <w:footnoteReference w:id="9"/>
      </w:r>
    </w:p>
    <w:p w14:paraId="533931DE" w14:textId="77777777" w:rsidR="00CA2FC1" w:rsidRPr="00C93035" w:rsidRDefault="00CA2FC1" w:rsidP="00C93035"/>
    <w:p w14:paraId="39FADC60" w14:textId="3BF2AFE1" w:rsidR="00C93035" w:rsidRPr="00C93035" w:rsidRDefault="00C93035" w:rsidP="00980847">
      <w:pPr>
        <w:pStyle w:val="Otsikko3"/>
        <w:numPr>
          <w:ilvl w:val="1"/>
          <w:numId w:val="19"/>
        </w:numPr>
      </w:pPr>
      <w:r w:rsidRPr="00C93035">
        <w:lastRenderedPageBreak/>
        <w:t>Kantaverkkoinvestoinnit</w:t>
      </w:r>
    </w:p>
    <w:p w14:paraId="5C8E8F34" w14:textId="643C8096" w:rsidR="00C93035" w:rsidRDefault="00C93035" w:rsidP="00C93035">
      <w:proofErr w:type="spellStart"/>
      <w:r w:rsidRPr="00C93035">
        <w:t>Fingrid</w:t>
      </w:r>
      <w:proofErr w:type="spellEnd"/>
      <w:r w:rsidRPr="00C93035">
        <w:t xml:space="preserve"> on nostanut investointitahtiaan vastatakseen kysyntään. Seuraavan neljän vuoden aikana yhtiö investoi kantaverkon vahvistamiseen noin 1,7–2,0 miljardia euroa. </w:t>
      </w:r>
      <w:proofErr w:type="spellStart"/>
      <w:r w:rsidRPr="00C93035">
        <w:t>Fingridin</w:t>
      </w:r>
      <w:proofErr w:type="spellEnd"/>
      <w:r w:rsidRPr="00C93035">
        <w:t xml:space="preserve"> oman arvion mukaan 80 prosenttia kantaverkon investointiohjelmasta perustuu asiakastarpeisiin ja alueellisiin tuotanto- ja kulutusmuutoksiin, ei verkon kunnossapitoon. Tämä osoittaa, että merkittävä osa lähivuosien investoinneista kohdistuu suoraan uusien suurkuluttajien, mukaan lukien datakeskusten, aiheuttamaan lisätarpeeseen.</w:t>
      </w:r>
      <w:r w:rsidR="0056293B">
        <w:t xml:space="preserve"> </w:t>
      </w:r>
    </w:p>
    <w:p w14:paraId="3B212329" w14:textId="77777777" w:rsidR="00D24CBA" w:rsidRPr="00C93035" w:rsidRDefault="00D24CBA" w:rsidP="00C93035"/>
    <w:p w14:paraId="17D69D97" w14:textId="77777777" w:rsidR="00B802AA" w:rsidRPr="00C93035" w:rsidRDefault="00B802AA" w:rsidP="00C93035"/>
    <w:p w14:paraId="46BBF1AB" w14:textId="77777777" w:rsidR="00C93035" w:rsidRPr="00C93035" w:rsidRDefault="00C93035" w:rsidP="00C93035">
      <w:pPr>
        <w:pStyle w:val="Otsikko2"/>
        <w:rPr>
          <w:b/>
          <w:bCs/>
        </w:rPr>
      </w:pPr>
      <w:r w:rsidRPr="00C93035">
        <w:rPr>
          <w:b/>
          <w:bCs/>
        </w:rPr>
        <w:t>Yhteenveto</w:t>
      </w:r>
    </w:p>
    <w:p w14:paraId="3332F4C1" w14:textId="5969803A" w:rsidR="00C93035" w:rsidRDefault="00C93035" w:rsidP="004816CA">
      <w:r w:rsidRPr="00C93035">
        <w:t>Datakeskukset muodostavat tällä hetkellä suurimman yksittäisen kasvutekijän Suomen kantaverkon liityntäkysynnässä. Ne ovat sekä keskeinen syy ennätystasoisille verkkoinvestoinneille (n. 2 mrd. € / 4 vuotta) että syy väliaikaisiin liityntärajoituksiin erityisesti Etelä-Suomessa, kunnes kantaverkon vahvistushankkeet valmistuvat.</w:t>
      </w:r>
      <w:r w:rsidR="004816CA">
        <w:t xml:space="preserve"> Vuosien 2025–2028 aikana </w:t>
      </w:r>
      <w:proofErr w:type="spellStart"/>
      <w:r w:rsidR="004816CA">
        <w:t>Fingridin</w:t>
      </w:r>
      <w:proofErr w:type="spellEnd"/>
      <w:r w:rsidR="004816CA">
        <w:t xml:space="preserve"> arvio investoinneista on 2,0 miljardia euroa, josta noin 0,6 miljardia euroa on jo sidottu olemassa oleviin</w:t>
      </w:r>
      <w:r w:rsidR="003232BF">
        <w:t xml:space="preserve"> </w:t>
      </w:r>
      <w:r w:rsidR="004816CA">
        <w:t>sopimuksiin (30</w:t>
      </w:r>
      <w:r w:rsidR="003232BF">
        <w:t>.</w:t>
      </w:r>
      <w:r w:rsidR="004816CA">
        <w:t>9</w:t>
      </w:r>
      <w:r w:rsidR="003232BF">
        <w:t>.</w:t>
      </w:r>
      <w:r w:rsidR="004816CA">
        <w:t>2025)</w:t>
      </w:r>
      <w:r w:rsidR="00B802AA">
        <w:t>.</w:t>
      </w:r>
      <w:r w:rsidR="004816CA">
        <w:t xml:space="preserve"> Vuoteen 2035 asti katsottaessa investointien kokonaissumma kohoaa yhtiön arvion mukaan </w:t>
      </w:r>
      <w:r w:rsidR="004816CA" w:rsidRPr="00DE6FE9">
        <w:rPr>
          <w:b/>
          <w:bCs/>
        </w:rPr>
        <w:t>5,2 miljardiin euroon</w:t>
      </w:r>
      <w:r w:rsidR="00B802AA">
        <w:t>.</w:t>
      </w:r>
      <w:r w:rsidR="004816CA">
        <w:t xml:space="preserve"> Investointien suuruus riippuu vahvasti asiakkaiden liityntätarpeiden kehittymisestä</w:t>
      </w:r>
      <w:r w:rsidR="00E03C55">
        <w:t>.</w:t>
      </w:r>
    </w:p>
    <w:p w14:paraId="3FD0D068" w14:textId="77777777" w:rsidR="00E03C55" w:rsidRDefault="00E03C55" w:rsidP="004816CA"/>
    <w:p w14:paraId="209EB223" w14:textId="1BD6CCF4" w:rsidR="00E03C55" w:rsidRPr="00C93035" w:rsidRDefault="00C9482F" w:rsidP="004816CA">
      <w:r>
        <w:t xml:space="preserve">Datakeskusten lukumäärää ja koko luokkaa yliarvioidaan </w:t>
      </w:r>
      <w:r w:rsidR="00F71551">
        <w:t>lupa-anomusten perusteella tehtävissä analyyseissa.</w:t>
      </w:r>
      <w:r w:rsidR="00090F8E">
        <w:t xml:space="preserve"> Tuoreissa arvioissa on päätelty, ett</w:t>
      </w:r>
      <w:r w:rsidR="00131542">
        <w:t>ä lupa-anomu</w:t>
      </w:r>
      <w:r w:rsidR="00B30A01">
        <w:t xml:space="preserve">ksissa olevaan datakeskusten mittakaavaan ei päästäisi </w:t>
      </w:r>
      <w:r w:rsidR="009A34EA">
        <w:t>kymmeniin vuosiin,</w:t>
      </w:r>
      <w:r w:rsidR="00B30A01">
        <w:t xml:space="preserve"> jos silloinkaan. </w:t>
      </w:r>
      <w:r w:rsidR="00D629D1">
        <w:t xml:space="preserve">Toisaalta siirtoverkkojen </w:t>
      </w:r>
      <w:r w:rsidR="002D5C12">
        <w:t xml:space="preserve">parannuksia tarvitaan kaikesta huolimatta runsaasti ja kustannukset </w:t>
      </w:r>
      <w:r w:rsidR="00FD1899">
        <w:t>siirtyvät kaikkien sähköverkkojen asiakkaiden maksettavaksi, eikä pelkästään datake</w:t>
      </w:r>
      <w:r w:rsidR="002B4BB0">
        <w:t>skuksien kuluiksi.</w:t>
      </w:r>
      <w:r w:rsidR="009A34EA">
        <w:rPr>
          <w:rStyle w:val="Alaviitteenviite"/>
        </w:rPr>
        <w:footnoteReference w:id="10"/>
      </w:r>
    </w:p>
    <w:p w14:paraId="0326E11B" w14:textId="77777777" w:rsidR="00C93035" w:rsidRPr="00C93035" w:rsidRDefault="00C93035" w:rsidP="00C93035"/>
    <w:p w14:paraId="468EF181" w14:textId="095FD965" w:rsidR="00560071" w:rsidRDefault="002626C8" w:rsidP="00560071">
      <w:pPr>
        <w:pStyle w:val="Otsikko1"/>
      </w:pPr>
      <w:r>
        <w:t>Datakeskusinvestointien vaikutus n</w:t>
      </w:r>
      <w:r w:rsidR="00560071">
        <w:t>ettovienti</w:t>
      </w:r>
    </w:p>
    <w:p w14:paraId="0DEF544D" w14:textId="77777777" w:rsidR="000C0A93" w:rsidRPr="002E7A49" w:rsidRDefault="000C0A93" w:rsidP="000C0A93"/>
    <w:p w14:paraId="7F21F5C3" w14:textId="3E0D69B1" w:rsidR="002E7A49" w:rsidRPr="002E7A49" w:rsidRDefault="002E7A49" w:rsidP="009B4ACE">
      <w:pPr>
        <w:pStyle w:val="Otsikko2"/>
      </w:pPr>
      <w:r w:rsidRPr="002E7A49">
        <w:t xml:space="preserve">1. </w:t>
      </w:r>
      <w:r w:rsidR="001C7F77">
        <w:t>P</w:t>
      </w:r>
      <w:r w:rsidRPr="002E7A49">
        <w:t xml:space="preserve">alvelutase on </w:t>
      </w:r>
      <w:r w:rsidR="00271BD9">
        <w:t xml:space="preserve">ollut lähtökohtaisesti </w:t>
      </w:r>
      <w:r w:rsidRPr="002E7A49">
        <w:t>rakenteellisesti alijäämäin</w:t>
      </w:r>
      <w:r w:rsidR="00271BD9">
        <w:t>en</w:t>
      </w:r>
    </w:p>
    <w:p w14:paraId="54DE37CB" w14:textId="69C54019" w:rsidR="002E7A49" w:rsidRPr="002E7A49" w:rsidRDefault="002E7A49" w:rsidP="002E7A49">
      <w:r w:rsidRPr="002E7A49">
        <w:t xml:space="preserve">Palvelutase on ollut toistuvasti alijäämäinen: vuoden 2026 toisella neljänneksellä palvelutase heikkeni 1,2 miljardia euroa vuodentakaisesta ja oli 2,2 miljardia euroa alijäämäinen. </w:t>
      </w:r>
      <w:r w:rsidR="00FC5723" w:rsidRPr="00FC5723">
        <w:t>Tämä muodostaa keskeisen makrotaloudellisen taustan datakeskusinvestointien ulkomaankauppavaikutusten arvioinnille: Suomi tuo tällä hetkellä selvästi enemmän palveluita kuin vie ulkomaille.</w:t>
      </w:r>
    </w:p>
    <w:p w14:paraId="6C0F4D9F" w14:textId="32588B49" w:rsidR="002E7A49" w:rsidRPr="002E7A49" w:rsidRDefault="002E7A49" w:rsidP="006C4E6C">
      <w:pPr>
        <w:pStyle w:val="Otsikko2"/>
      </w:pPr>
      <w:r w:rsidRPr="002E7A49">
        <w:t xml:space="preserve">2. </w:t>
      </w:r>
      <w:r w:rsidR="006C4E6C" w:rsidRPr="00787660">
        <w:t>Oletetut vientikanavat ja arvonluonti</w:t>
      </w:r>
    </w:p>
    <w:p w14:paraId="2221B5AA" w14:textId="77777777" w:rsidR="002E7A49" w:rsidRPr="002E7A49" w:rsidRDefault="002E7A49" w:rsidP="002E7A49">
      <w:r w:rsidRPr="002E7A49">
        <w:t>Toimialan omien arvioiden mukaan datakeskusinvestoinnit tuottavat heijastusvaikutuksia suomalaisille yrityksille digitalisaation kautta. Pelkästään pilvipohjaisten palveluiden kautta syntyvän kokonaisvaikutuksen on arvioitu olevan suuruusluokaltaan 1,7 miljardia euroa, ja pilvipalveluita laajemman, muita palveluita ja teknologioita kattavan markkinan koon on arvioitu olevan noin 7 miljardia euroa vuoteen 2025 mennessä. Näistä luvuista ei kuitenkaan käy suoraan ilmi, mikä osuus näkyy kansantalouden tilinpidon vientierässä ja mikä on kotimarkkinoille suunnattua toimintaa.</w:t>
      </w:r>
    </w:p>
    <w:p w14:paraId="0242F9A0" w14:textId="225BBEEC" w:rsidR="002E7A49" w:rsidRDefault="002E7A49" w:rsidP="00842ABD">
      <w:pPr>
        <w:pStyle w:val="Otsikko2"/>
        <w:numPr>
          <w:ilvl w:val="0"/>
          <w:numId w:val="19"/>
        </w:numPr>
      </w:pPr>
      <w:r w:rsidRPr="002E7A49">
        <w:lastRenderedPageBreak/>
        <w:t>Investointi- ja käyttö</w:t>
      </w:r>
      <w:r w:rsidR="00842ABD">
        <w:t>önotto</w:t>
      </w:r>
      <w:r w:rsidRPr="002E7A49">
        <w:t xml:space="preserve">vaiheen </w:t>
      </w:r>
      <w:r w:rsidR="00842ABD">
        <w:t>tuonti</w:t>
      </w:r>
    </w:p>
    <w:p w14:paraId="3839F43E" w14:textId="77777777" w:rsidR="00842ABD" w:rsidRDefault="00842ABD" w:rsidP="00842ABD">
      <w:pPr>
        <w:pStyle w:val="Luettelokappale"/>
        <w:ind w:left="360"/>
      </w:pPr>
    </w:p>
    <w:p w14:paraId="5DA6E374" w14:textId="0BE1AA76" w:rsidR="006939C0" w:rsidRDefault="006939C0" w:rsidP="006939C0">
      <w:pPr>
        <w:pStyle w:val="Luettelokappale"/>
        <w:numPr>
          <w:ilvl w:val="0"/>
          <w:numId w:val="24"/>
        </w:numPr>
      </w:pPr>
      <w:r w:rsidRPr="006939C0">
        <w:rPr>
          <w:b/>
          <w:bCs/>
        </w:rPr>
        <w:t>Investointivaiheen tuontipiikki (tuontia lisäävä):</w:t>
      </w:r>
      <w:r w:rsidRPr="006939C0">
        <w:t xml:space="preserve"> Datakeskusten karkeasti 70–80 prosentin laite- ja teknologiakustannukset (palvelimet, GPU- ja TPU-prosessorit, verkkolaitteet sekä jäähdytysjärjestelmät) ovat lähes täysin tuontitavaraa, sillä Suomessa ei ole alan teollista laitevalmistusta. Kansantalouden tilinpidossa laitehankinnat kasvattavat bruttomääräistä investointierää (</w:t>
      </w:r>
      <m:oMath>
        <m:r>
          <w:rPr>
            <w:rFonts w:ascii="Cambria Math" w:hAnsi="Cambria Math"/>
          </w:rPr>
          <m:t>I</m:t>
        </m:r>
      </m:oMath>
      <w:r w:rsidRPr="006939C0">
        <w:t>), mutta samanaikainen tuonnin (</w:t>
      </w:r>
      <m:oMath>
        <m:r>
          <w:rPr>
            <w:rFonts w:ascii="Cambria Math" w:hAnsi="Cambria Math"/>
          </w:rPr>
          <m:t>M</m:t>
        </m:r>
      </m:oMath>
      <w:r w:rsidRPr="006939C0">
        <w:t>) kasvu heikentää nettovientiä (</w:t>
      </w:r>
      <m:oMath>
        <m:r>
          <w:rPr>
            <w:rFonts w:ascii="Cambria Math" w:hAnsi="Cambria Math"/>
          </w:rPr>
          <m:t>X-M</m:t>
        </m:r>
      </m:oMath>
      <w:r w:rsidRPr="006939C0">
        <w:t>). Kotimaiseksi arvonlisäksi jää lähinnä maanrakennus-, betoni- ja asennustyö.</w:t>
      </w:r>
    </w:p>
    <w:p w14:paraId="4CBAD246" w14:textId="77777777" w:rsidR="00772848" w:rsidRDefault="00772848" w:rsidP="00772848">
      <w:pPr>
        <w:pStyle w:val="Luettelokappale"/>
      </w:pPr>
    </w:p>
    <w:p w14:paraId="624F9F39" w14:textId="5BA8F3A7" w:rsidR="006939C0" w:rsidRPr="006939C0" w:rsidRDefault="006939C0" w:rsidP="006939C0">
      <w:pPr>
        <w:pStyle w:val="Luettelokappale"/>
        <w:numPr>
          <w:ilvl w:val="0"/>
          <w:numId w:val="24"/>
        </w:numPr>
        <w:rPr>
          <w:szCs w:val="24"/>
          <w:lang w:eastAsia="fi-FI"/>
        </w:rPr>
      </w:pPr>
      <w:r w:rsidRPr="003664C0">
        <w:rPr>
          <w:b/>
          <w:bCs/>
          <w:szCs w:val="24"/>
          <w:lang w:eastAsia="fi-FI"/>
        </w:rPr>
        <w:t>Käyttö</w:t>
      </w:r>
      <w:r w:rsidR="003664C0" w:rsidRPr="003664C0">
        <w:rPr>
          <w:b/>
          <w:bCs/>
          <w:szCs w:val="24"/>
          <w:lang w:eastAsia="fi-FI"/>
        </w:rPr>
        <w:t>önotto</w:t>
      </w:r>
      <w:r w:rsidRPr="003664C0">
        <w:rPr>
          <w:b/>
          <w:bCs/>
          <w:szCs w:val="24"/>
          <w:lang w:eastAsia="fi-FI"/>
        </w:rPr>
        <w:t>vaiheen energiasubstituutio (tuontia vähentävä):</w:t>
      </w:r>
      <w:r w:rsidRPr="003664C0">
        <w:rPr>
          <w:szCs w:val="24"/>
          <w:lang w:eastAsia="fi-FI"/>
        </w:rPr>
        <w:t xml:space="preserve"> Datakeskusten</w:t>
      </w:r>
      <w:r w:rsidRPr="006939C0">
        <w:rPr>
          <w:szCs w:val="24"/>
          <w:lang w:eastAsia="fi-FI"/>
        </w:rPr>
        <w:t xml:space="preserve"> lauhdelämpö voidaan ohjata kaukolämpöverkkoihin, jolloin se korvaa polttoon perustuvaa lämmöntuotantoa. Tämä voi vähentää fossiilisten polttoaineiden sekä tuontibiomassan tarvetta ja pienentää siten energian tuontilaskua (</w:t>
      </w:r>
      <m:oMath>
        <m:r>
          <w:rPr>
            <w:rFonts w:ascii="Cambria Math" w:hAnsi="Cambria Math" w:cs="Arial"/>
            <w:szCs w:val="24"/>
            <w:lang w:eastAsia="fi-FI"/>
          </w:rPr>
          <m:t>M</m:t>
        </m:r>
      </m:oMath>
      <w:r w:rsidRPr="006939C0">
        <w:rPr>
          <w:szCs w:val="24"/>
          <w:lang w:eastAsia="fi-FI"/>
        </w:rPr>
        <w:t>). Vaikutus on kuitenkin kokonaiskuvassa maltillinen suhteessa laitosten vaatimaan sähkötehoon, josta osa saattaa markkinatilanteen mukaan olla tuontisähköä.</w:t>
      </w:r>
    </w:p>
    <w:p w14:paraId="6224B7FC" w14:textId="77777777" w:rsidR="006939C0" w:rsidRPr="006939C0" w:rsidRDefault="006939C0" w:rsidP="006939C0">
      <w:pPr>
        <w:pStyle w:val="Luettelokappale"/>
      </w:pPr>
    </w:p>
    <w:p w14:paraId="4C5E7898" w14:textId="4C0BD7F6" w:rsidR="002E7A49" w:rsidRPr="002E7A49" w:rsidRDefault="002E7A49" w:rsidP="002E7A49">
      <w:pPr>
        <w:pStyle w:val="Otsikko2"/>
      </w:pPr>
      <w:r w:rsidRPr="002E7A49">
        <w:t xml:space="preserve">4. </w:t>
      </w:r>
      <w:r w:rsidR="003A2EFC" w:rsidRPr="003A2EFC">
        <w:t>Arvon</w:t>
      </w:r>
      <w:r w:rsidR="003A2EFC">
        <w:t>lisäyksen</w:t>
      </w:r>
      <w:r w:rsidR="003A2EFC" w:rsidRPr="003A2EFC">
        <w:t xml:space="preserve"> kotiutuminen ja siirtohinnoittelu</w:t>
      </w:r>
    </w:p>
    <w:p w14:paraId="5F454A24" w14:textId="7508CC7F" w:rsidR="002E7A49" w:rsidRPr="002E7A49" w:rsidRDefault="002E7A49" w:rsidP="002E7A49">
      <w:r w:rsidRPr="002E7A49">
        <w:t>Kansainvälisten teknologiayhtiöiden omistamien datakeskusten arvonlisäys ei näy täysimääräisenä Suomen vientitilastoissa. Konsernien sisäinen siirtohinnoittelu voi ohjata osan palvelun tosiasiallisesta arvosta kirjautumaan emoyhtiön kotimaahan, jolloin Suomeen jäävä osuus on rajatumpi kuin bruttoinvestoinnin tai -kapasiteetin koko antaisi ymmärtää. Tarkkaa, julkista lukua tästä jako-osuudesta ei ole saatavilla.</w:t>
      </w:r>
    </w:p>
    <w:p w14:paraId="003A28A4" w14:textId="77777777" w:rsidR="002E7A49" w:rsidRPr="002E7A49" w:rsidRDefault="002E7A49" w:rsidP="002E7A49">
      <w:pPr>
        <w:pStyle w:val="Otsikko2"/>
      </w:pPr>
      <w:r w:rsidRPr="002E7A49">
        <w:t>5. Kokonaisviennin konteksti</w:t>
      </w:r>
    </w:p>
    <w:p w14:paraId="5235BBB9" w14:textId="77777777" w:rsidR="002E7A49" w:rsidRDefault="002E7A49" w:rsidP="002E7A49">
      <w:r w:rsidRPr="002E7A49">
        <w:t>Suomen koko viennin arvosta 32 prosenttia eli lähes 39 miljardia euroa oli palveluita vuonna 2025, ja tietotekniikkapalvelut muodostavat tästä ison erän. Palveluvienti on kasvanut merkittävästi viimeisen vuosikymmenen aikana, mutta kasvu on ollut EU-alueen keskiarvoa hitaampaa: Suomen palveluvienti kasvoi kymmenessä vuodessa 45 prosenttia, kun EU-alueella vastaava kasvu oli keskimäärin 55 prosenttia.</w:t>
      </w:r>
    </w:p>
    <w:p w14:paraId="75CCE002" w14:textId="77777777" w:rsidR="002E7A49" w:rsidRPr="002E7A49" w:rsidRDefault="002E7A49" w:rsidP="002E7A49"/>
    <w:p w14:paraId="726F7F1F" w14:textId="77777777" w:rsidR="002E7A49" w:rsidRPr="002E7A49" w:rsidRDefault="002E7A49" w:rsidP="002E7A49">
      <w:pPr>
        <w:pStyle w:val="Otsikko2"/>
        <w:rPr>
          <w:b/>
          <w:bCs/>
        </w:rPr>
      </w:pPr>
      <w:r w:rsidRPr="002E7A49">
        <w:rPr>
          <w:b/>
          <w:bCs/>
        </w:rPr>
        <w:t>6. Yhteenveto</w:t>
      </w:r>
    </w:p>
    <w:p w14:paraId="3A6CCB76" w14:textId="77777777" w:rsidR="002E7A49" w:rsidRPr="002E7A49" w:rsidRDefault="002E7A49" w:rsidP="002E7A49">
      <w:r w:rsidRPr="002E7A49">
        <w:t>Datakeskusten vaikutus nettovientiin on moniin osiin jakautuva ja toistaiseksi vaikeasti mitattavissa erikseen muusta tietotekniikkapalveluiden viennistä:</w:t>
      </w:r>
    </w:p>
    <w:p w14:paraId="7AC649CD" w14:textId="77777777" w:rsidR="002E7A49" w:rsidRPr="002E7A49" w:rsidRDefault="002E7A49" w:rsidP="002E7A49">
      <w:pPr>
        <w:numPr>
          <w:ilvl w:val="0"/>
          <w:numId w:val="17"/>
        </w:numPr>
      </w:pPr>
      <w:r w:rsidRPr="002E7A49">
        <w:t>Investointivaihe: todennäköisesti nettovientiä heikentävä, koska laitteistohankinnat ovat pääosin tuontia (tuontia lisäävää: IT-laitteet, materiaalit, mahdollinen sähköntuonti).</w:t>
      </w:r>
    </w:p>
    <w:p w14:paraId="240A38CF" w14:textId="19733111" w:rsidR="002E7A49" w:rsidRPr="002E7A49" w:rsidRDefault="002E7A49" w:rsidP="002E7A49">
      <w:pPr>
        <w:numPr>
          <w:ilvl w:val="0"/>
          <w:numId w:val="17"/>
        </w:numPr>
      </w:pPr>
      <w:r w:rsidRPr="002E7A49">
        <w:t>Käyttövaihe, tuontia vähentävä osa: hukkalämpö korvaa osan kaukolämmön tuontienergiasta — vaikutus on todellinen, mutta suuruusluokaltaan toistaiseksi pieni</w:t>
      </w:r>
      <w:r w:rsidR="00194C7E">
        <w:rPr>
          <w:rStyle w:val="Alaviitteenviite"/>
        </w:rPr>
        <w:footnoteReference w:id="11"/>
      </w:r>
      <w:r w:rsidRPr="002E7A49">
        <w:t xml:space="preserve"> verrattuna investointivaiheen </w:t>
      </w:r>
      <w:r w:rsidR="00194C7E">
        <w:t>laitetuontiin</w:t>
      </w:r>
      <w:r w:rsidRPr="002E7A49">
        <w:t>.</w:t>
      </w:r>
    </w:p>
    <w:p w14:paraId="37321014" w14:textId="77777777" w:rsidR="002E7A49" w:rsidRPr="002E7A49" w:rsidRDefault="002E7A49" w:rsidP="002E7A49">
      <w:pPr>
        <w:numPr>
          <w:ilvl w:val="0"/>
          <w:numId w:val="17"/>
        </w:numPr>
      </w:pPr>
      <w:r w:rsidRPr="002E7A49">
        <w:t>Käyttövaihe, vientipuoli: mahdollisesti nettovientiä vahvistava tietotekniikkapalveluiden viennin kautta, mutta todellinen Suomeen jäävä osuus riippuu kansainvälisten operaattoreiden sisäisestä arvonmuodostuksen kohdentamisesta, josta ei ole julkista, datakeskuskohtaista tilastotietoa.</w:t>
      </w:r>
    </w:p>
    <w:p w14:paraId="169F8F8F" w14:textId="77777777" w:rsidR="002E7A49" w:rsidRPr="002E7A49" w:rsidRDefault="002E7A49" w:rsidP="002E7A49">
      <w:pPr>
        <w:numPr>
          <w:ilvl w:val="0"/>
          <w:numId w:val="17"/>
        </w:numPr>
      </w:pPr>
      <w:r w:rsidRPr="002E7A49">
        <w:rPr>
          <w:b/>
          <w:bCs/>
        </w:rPr>
        <w:t>Mittausongelma</w:t>
      </w:r>
      <w:r w:rsidRPr="002E7A49">
        <w:t xml:space="preserve">: kansantalouden tilinpito ei tällä hetkellä erittele datakeskusten vientivaikutusta omana eränään eikä hukkalämmön tuontia korvaavaa vaikutusta omana eränään, </w:t>
      </w:r>
      <w:r w:rsidRPr="002E7A49">
        <w:lastRenderedPageBreak/>
        <w:t>vaan molemmat sisältyvät laajempiin tilastokategorioihin, minkä vuoksi tarkkaa, dokumentoitua nettovaikutuslukua nimenomaan datakeskustoiminnasta ei ole julkisesti saatavilla.</w:t>
      </w:r>
    </w:p>
    <w:p w14:paraId="5BE3F38F" w14:textId="77777777" w:rsidR="000C0A93" w:rsidRPr="000C0A93" w:rsidRDefault="000C0A93" w:rsidP="000C0A93"/>
    <w:p w14:paraId="50A0EEEC" w14:textId="4B41984B" w:rsidR="00560071" w:rsidRDefault="00560071" w:rsidP="007732A0">
      <w:pPr>
        <w:pStyle w:val="Otsikko1"/>
      </w:pPr>
      <w:r>
        <w:t>Yksityinen kulutus</w:t>
      </w:r>
    </w:p>
    <w:p w14:paraId="0DB6D593" w14:textId="77777777" w:rsidR="00440480" w:rsidRDefault="00440480" w:rsidP="00440480"/>
    <w:p w14:paraId="6111640A" w14:textId="644ED7D4" w:rsidR="00440480" w:rsidRPr="00440480" w:rsidRDefault="00E96482" w:rsidP="009D675A">
      <w:pPr>
        <w:pStyle w:val="Otsikko2"/>
      </w:pPr>
      <w:r>
        <w:t>1</w:t>
      </w:r>
      <w:r w:rsidR="00440480" w:rsidRPr="00440480">
        <w:t>. Positiivinen kanava: palkoista syntyvä kulutus</w:t>
      </w:r>
    </w:p>
    <w:p w14:paraId="35AC93F0" w14:textId="5EBED0B0" w:rsidR="0027571B" w:rsidRDefault="00440480" w:rsidP="00440480">
      <w:r w:rsidRPr="00440480">
        <w:t xml:space="preserve">Rakennus- ja käyttövaiheen työntekijöiden palkkatulot lisäävät alueellista kulutusta erityisesti sijaintikunnissa ja niiden lähialueilla. </w:t>
      </w:r>
      <w:r w:rsidR="00627552" w:rsidRPr="00627552">
        <w:t>Rakennusvaiheen vaikutus on väliaikainen. Käyttövaiheen vaikutus on pysyvämpi, mutta suurelta osin epäsuoraa ja siksi epävarmempa</w:t>
      </w:r>
      <w:r w:rsidR="00414969">
        <w:t>a</w:t>
      </w:r>
      <w:r w:rsidR="005C6AAE">
        <w:t>.</w:t>
      </w:r>
    </w:p>
    <w:p w14:paraId="4027731C" w14:textId="77777777" w:rsidR="005C6AAE" w:rsidRDefault="005C6AAE" w:rsidP="00440480"/>
    <w:p w14:paraId="732149DF" w14:textId="391AFB63" w:rsidR="0027571B" w:rsidRDefault="0027571B" w:rsidP="00440480">
      <w:r w:rsidRPr="0027571B">
        <w:t>Ramboll/</w:t>
      </w:r>
      <w:proofErr w:type="spellStart"/>
      <w:r w:rsidRPr="0027571B">
        <w:t>EK:n</w:t>
      </w:r>
      <w:proofErr w:type="spellEnd"/>
      <w:r w:rsidRPr="0027571B">
        <w:t xml:space="preserve"> mukaan</w:t>
      </w:r>
      <w:r w:rsidR="00BA527C">
        <w:t xml:space="preserve"> </w:t>
      </w:r>
      <w:r w:rsidR="00BA527C">
        <w:t>12mrd.€ investoin</w:t>
      </w:r>
      <w:r w:rsidR="00A50EDC">
        <w:t xml:space="preserve">nin </w:t>
      </w:r>
      <w:r w:rsidRPr="0027571B">
        <w:t>rakennusvaiheen työllisyysvaikutus on 45 000 htv vuosina 2025–2030 ja käyttövaihee</w:t>
      </w:r>
      <w:r w:rsidR="00A50EDC">
        <w:t>ssa</w:t>
      </w:r>
      <w:r w:rsidRPr="0027571B">
        <w:t xml:space="preserve"> noin 9 900 htv vuonna 2030, molemmat </w:t>
      </w:r>
      <w:r w:rsidR="00A50EDC">
        <w:t xml:space="preserve">huomioiden </w:t>
      </w:r>
      <w:r w:rsidRPr="0027571B">
        <w:t>epäsuorat vaikutukset. Suoria työntekijöitä on vähän, tyypillisesti 40–70 per keskus (</w:t>
      </w:r>
      <w:proofErr w:type="spellStart"/>
      <w:r w:rsidRPr="0027571B">
        <w:t>Inderes</w:t>
      </w:r>
      <w:proofErr w:type="spellEnd"/>
      <w:r w:rsidRPr="0027571B">
        <w:t xml:space="preserve">). </w:t>
      </w:r>
      <w:r w:rsidR="00A50EDC">
        <w:t>K</w:t>
      </w:r>
      <w:r w:rsidRPr="0027571B">
        <w:t xml:space="preserve">arkea arvio: palkoista noin 60–65 % päätyy kulutukseen verojen jälkeen, joten rakennusvaiheen kulutus on noin 1,3 mrd. € koko jaksolta ja käyttövaiheessa suorien työntekijöiden osalta noin 20–75 milj. €/v. </w:t>
      </w:r>
    </w:p>
    <w:p w14:paraId="039A41D0" w14:textId="77777777" w:rsidR="00B66AAE" w:rsidRDefault="00B66AAE" w:rsidP="00440480"/>
    <w:p w14:paraId="31802553" w14:textId="2081295C" w:rsidR="00B66AAE" w:rsidRDefault="00B66AAE" w:rsidP="00440480">
      <w:r w:rsidRPr="00B66AAE">
        <w:t>Hukkanen &amp; Syväkurun mukaan vain 50–70 % rakennustyöntekijöistä on suomalaisia (</w:t>
      </w:r>
      <w:proofErr w:type="spellStart"/>
      <w:r w:rsidRPr="00B66AAE">
        <w:t>Pervilän</w:t>
      </w:r>
      <w:proofErr w:type="spellEnd"/>
      <w:r w:rsidRPr="00B66AAE">
        <w:t xml:space="preserve"> ja Kangasharjun raportin kautta). Kulutus kohdistuu siis pääosin työntekijöiden asuin- ja majoituspaikkakunnille, ja osa palkoista siirtyy ulkomaille.</w:t>
      </w:r>
    </w:p>
    <w:p w14:paraId="456B202E" w14:textId="77777777" w:rsidR="00CB188A" w:rsidRPr="00440480" w:rsidRDefault="00CB188A" w:rsidP="00440480"/>
    <w:p w14:paraId="3D9043E4" w14:textId="0248B101" w:rsidR="00440480" w:rsidRPr="00485358" w:rsidRDefault="00CB188A" w:rsidP="00440480">
      <w:pPr>
        <w:pStyle w:val="Otsikko2"/>
      </w:pPr>
      <w:r w:rsidRPr="00485358">
        <w:t>2</w:t>
      </w:r>
      <w:r w:rsidR="00440480" w:rsidRPr="00485358">
        <w:t>. Kielteinen kanava: vaikutus sähkön markkinahintaan</w:t>
      </w:r>
    </w:p>
    <w:p w14:paraId="590B3E75" w14:textId="77777777" w:rsidR="00D94164" w:rsidRDefault="00D94164" w:rsidP="00D94164">
      <w:r w:rsidRPr="00D94164">
        <w:t>Datakeskusten vaikutus sähkön hintaan riippuu siitä, kuinka joustavasti ne käyttävät sähköä. Reaaliaikaisia palveluja tuottavat datakeskukset kuluttavat sähköä tasaisesti ja hinnasta riippumatta. Tällainen joustamaton peruskuorma voi lisätä hinnan vaihtelua ja nostaa keskihintaa erityisesti silloin, kun uusiutuvaa sähköä on tarjolla vähän. Jos datakeskus pystyy siirtämään kulutustaan edullisempiin tunteihin, sen vaikutus hintaan on pienempi.</w:t>
      </w:r>
    </w:p>
    <w:p w14:paraId="4420277C" w14:textId="77777777" w:rsidR="00186BB3" w:rsidRPr="00D94164" w:rsidRDefault="00186BB3" w:rsidP="00D94164"/>
    <w:p w14:paraId="1F67E93F" w14:textId="77777777" w:rsidR="00D94164" w:rsidRPr="00D94164" w:rsidRDefault="00D94164" w:rsidP="00D94164">
      <w:r w:rsidRPr="00D94164">
        <w:t xml:space="preserve">Asiantuntijat korostavat riskissä eri tekijöitä. </w:t>
      </w:r>
      <w:proofErr w:type="spellStart"/>
      <w:r w:rsidRPr="00D94164">
        <w:t>Fingridin</w:t>
      </w:r>
      <w:proofErr w:type="spellEnd"/>
      <w:r w:rsidRPr="00D94164">
        <w:t xml:space="preserve"> mukaan Suomessa on 2 000–3 000 MW:n edestä rakentamisvalmiita uusiutuvan energian hankkeita, mutta tasaisesti sähköä käyttävät suurkuluttajat tarvitsevat uusiutuvan tuotannon lisäksi myös säävarmaa kapasiteettia. Professori Kangasharjun mukaan hinta nousee kysynnän kasvaessa, jos tuotantoon ja sähköverkkoon ei investoida.</w:t>
      </w:r>
    </w:p>
    <w:p w14:paraId="705DC7D7" w14:textId="2D0E5C42" w:rsidR="00440480" w:rsidRPr="00440480" w:rsidRDefault="00440480" w:rsidP="00FB3224"/>
    <w:p w14:paraId="1F3ED2C1" w14:textId="77F1F55A" w:rsidR="00440480" w:rsidRPr="00485358" w:rsidRDefault="00440480" w:rsidP="00440480">
      <w:pPr>
        <w:pStyle w:val="Otsikko2"/>
      </w:pPr>
      <w:r w:rsidRPr="00485358">
        <w:t>Yhteenveto</w:t>
      </w:r>
    </w:p>
    <w:p w14:paraId="4827ED2F" w14:textId="77777777" w:rsidR="00440480" w:rsidRPr="00440480" w:rsidRDefault="00440480" w:rsidP="00440480">
      <w:r w:rsidRPr="00440480">
        <w:t>Datakeskusten nettovaikutus yksityiseen kulutukseen riippuu kahden vastakkaisen voiman suhteesta, joita ei toistaiseksi ole yhdistetty yhdeksi kansantalouden tason nettoluvuksi:</w:t>
      </w:r>
    </w:p>
    <w:p w14:paraId="3EC31152" w14:textId="77777777" w:rsidR="00440480" w:rsidRPr="00440480" w:rsidRDefault="00440480" w:rsidP="00440480">
      <w:pPr>
        <w:numPr>
          <w:ilvl w:val="0"/>
          <w:numId w:val="13"/>
        </w:numPr>
      </w:pPr>
      <w:r w:rsidRPr="00440480">
        <w:rPr>
          <w:b/>
          <w:bCs/>
        </w:rPr>
        <w:t>Tulovaikutus (+):</w:t>
      </w:r>
      <w:r w:rsidRPr="00440480">
        <w:t xml:space="preserve"> palkoista syntyvä kulutus, painottuen kertaluonteisesti rakennusvaiheeseen.</w:t>
      </w:r>
    </w:p>
    <w:p w14:paraId="5C7C4A2F" w14:textId="77777777" w:rsidR="00440480" w:rsidRPr="00440480" w:rsidRDefault="00440480" w:rsidP="00440480">
      <w:pPr>
        <w:numPr>
          <w:ilvl w:val="0"/>
          <w:numId w:val="13"/>
        </w:numPr>
      </w:pPr>
      <w:r w:rsidRPr="00440480">
        <w:rPr>
          <w:b/>
          <w:bCs/>
        </w:rPr>
        <w:t>Hintavaikutus (−/epävarma):</w:t>
      </w:r>
      <w:r w:rsidRPr="00440480">
        <w:t xml:space="preserve"> riippuu siitä, toimivatko datakeskukset joustavana vai joustamattomana kuormana; toteutuessaan kielteinen vaikutus kohdistuisi suhteellisesti voimakkaimmin pienituloisiin kotitalouksiin.</w:t>
      </w:r>
    </w:p>
    <w:p w14:paraId="2736CD49" w14:textId="77777777" w:rsidR="00440480" w:rsidRDefault="00440480" w:rsidP="00440480">
      <w:r w:rsidRPr="00440480">
        <w:t>Kumpaakaan vaikutusta ei ole toistaiseksi kvantifioitu yhtenäisellä, vertailukelpoisella tavalla julkisessa tilastoinnissa, minkä vuoksi kokonaisvaikutuksen etumerkkiä ei voida tällä hetkellä osoittaa luotettavasti suuntaan tai toiseen.</w:t>
      </w:r>
    </w:p>
    <w:p w14:paraId="60D85524" w14:textId="77777777" w:rsidR="0045754B" w:rsidRDefault="0045754B" w:rsidP="00440480"/>
    <w:tbl>
      <w:tblPr>
        <w:tblW w:w="10240" w:type="dxa"/>
        <w:tblCellMar>
          <w:left w:w="70" w:type="dxa"/>
          <w:right w:w="70" w:type="dxa"/>
        </w:tblCellMar>
        <w:tblLook w:val="04A0" w:firstRow="1" w:lastRow="0" w:firstColumn="1" w:lastColumn="0" w:noHBand="0" w:noVBand="1"/>
      </w:tblPr>
      <w:tblGrid>
        <w:gridCol w:w="2540"/>
        <w:gridCol w:w="2620"/>
        <w:gridCol w:w="2540"/>
        <w:gridCol w:w="2540"/>
      </w:tblGrid>
      <w:tr w:rsidR="0045754B" w:rsidRPr="0045754B" w14:paraId="7FABCD70" w14:textId="77777777" w:rsidTr="0045754B">
        <w:trPr>
          <w:trHeight w:val="900"/>
        </w:trPr>
        <w:tc>
          <w:tcPr>
            <w:tcW w:w="2540" w:type="dxa"/>
            <w:tcBorders>
              <w:top w:val="single" w:sz="4" w:space="0" w:color="44B3E1"/>
              <w:left w:val="single" w:sz="4" w:space="0" w:color="44B3E1"/>
              <w:bottom w:val="single" w:sz="4" w:space="0" w:color="44B3E1"/>
              <w:right w:val="nil"/>
            </w:tcBorders>
            <w:shd w:val="clear" w:color="156082" w:fill="156082"/>
            <w:vAlign w:val="center"/>
            <w:hideMark/>
          </w:tcPr>
          <w:p w14:paraId="5298F29C" w14:textId="77777777" w:rsidR="0045754B" w:rsidRPr="0045754B" w:rsidRDefault="0045754B" w:rsidP="0045754B">
            <w:pPr>
              <w:jc w:val="center"/>
              <w:rPr>
                <w:rFonts w:ascii="Aptos Narrow" w:hAnsi="Aptos Narrow"/>
                <w:b/>
                <w:bCs/>
                <w:color w:val="FFFFFF"/>
                <w:sz w:val="22"/>
                <w:szCs w:val="22"/>
                <w:lang w:eastAsia="fi-FI"/>
              </w:rPr>
            </w:pPr>
            <w:r w:rsidRPr="0045754B">
              <w:rPr>
                <w:rFonts w:ascii="Aptos Narrow" w:hAnsi="Aptos Narrow"/>
                <w:b/>
                <w:bCs/>
                <w:color w:val="FFFFFF"/>
                <w:sz w:val="22"/>
                <w:szCs w:val="22"/>
                <w:lang w:eastAsia="fi-FI"/>
              </w:rPr>
              <w:t>Vaihe</w:t>
            </w:r>
          </w:p>
        </w:tc>
        <w:tc>
          <w:tcPr>
            <w:tcW w:w="2620" w:type="dxa"/>
            <w:tcBorders>
              <w:top w:val="single" w:sz="4" w:space="0" w:color="44B3E1"/>
              <w:left w:val="nil"/>
              <w:bottom w:val="single" w:sz="4" w:space="0" w:color="44B3E1"/>
              <w:right w:val="nil"/>
            </w:tcBorders>
            <w:shd w:val="clear" w:color="156082" w:fill="156082"/>
            <w:vAlign w:val="center"/>
            <w:hideMark/>
          </w:tcPr>
          <w:p w14:paraId="50A0318C" w14:textId="77777777" w:rsidR="0045754B" w:rsidRPr="0045754B" w:rsidRDefault="0045754B" w:rsidP="0045754B">
            <w:pPr>
              <w:jc w:val="center"/>
              <w:rPr>
                <w:rFonts w:ascii="Aptos Narrow" w:hAnsi="Aptos Narrow"/>
                <w:b/>
                <w:bCs/>
                <w:color w:val="FFFFFF"/>
                <w:sz w:val="22"/>
                <w:szCs w:val="22"/>
                <w:lang w:eastAsia="fi-FI"/>
              </w:rPr>
            </w:pPr>
            <w:r w:rsidRPr="0045754B">
              <w:rPr>
                <w:rFonts w:ascii="Aptos Narrow" w:hAnsi="Aptos Narrow"/>
                <w:b/>
                <w:bCs/>
                <w:color w:val="FFFFFF"/>
                <w:sz w:val="22"/>
                <w:szCs w:val="22"/>
                <w:lang w:eastAsia="fi-FI"/>
              </w:rPr>
              <w:t>Perusta (Ramboll/FDCA)</w:t>
            </w:r>
          </w:p>
        </w:tc>
        <w:tc>
          <w:tcPr>
            <w:tcW w:w="2540" w:type="dxa"/>
            <w:tcBorders>
              <w:top w:val="single" w:sz="4" w:space="0" w:color="44B3E1"/>
              <w:left w:val="nil"/>
              <w:bottom w:val="single" w:sz="4" w:space="0" w:color="44B3E1"/>
              <w:right w:val="nil"/>
            </w:tcBorders>
            <w:shd w:val="clear" w:color="156082" w:fill="156082"/>
            <w:vAlign w:val="center"/>
            <w:hideMark/>
          </w:tcPr>
          <w:p w14:paraId="2C99B0C3" w14:textId="77777777" w:rsidR="0045754B" w:rsidRPr="0045754B" w:rsidRDefault="0045754B" w:rsidP="0045754B">
            <w:pPr>
              <w:jc w:val="center"/>
              <w:rPr>
                <w:rFonts w:ascii="Aptos Narrow" w:hAnsi="Aptos Narrow"/>
                <w:b/>
                <w:bCs/>
                <w:color w:val="FFFFFF"/>
                <w:sz w:val="22"/>
                <w:szCs w:val="22"/>
                <w:lang w:eastAsia="fi-FI"/>
              </w:rPr>
            </w:pPr>
            <w:r w:rsidRPr="0045754B">
              <w:rPr>
                <w:rFonts w:ascii="Aptos Narrow" w:hAnsi="Aptos Narrow"/>
                <w:b/>
                <w:bCs/>
                <w:color w:val="FFFFFF"/>
                <w:sz w:val="22"/>
                <w:szCs w:val="22"/>
                <w:lang w:eastAsia="fi-FI"/>
              </w:rPr>
              <w:t>Palkkasumma</w:t>
            </w:r>
          </w:p>
        </w:tc>
        <w:tc>
          <w:tcPr>
            <w:tcW w:w="2540" w:type="dxa"/>
            <w:tcBorders>
              <w:top w:val="single" w:sz="4" w:space="0" w:color="44B3E1"/>
              <w:left w:val="nil"/>
              <w:bottom w:val="single" w:sz="4" w:space="0" w:color="44B3E1"/>
              <w:right w:val="single" w:sz="4" w:space="0" w:color="44B3E1"/>
            </w:tcBorders>
            <w:shd w:val="clear" w:color="156082" w:fill="156082"/>
            <w:vAlign w:val="center"/>
            <w:hideMark/>
          </w:tcPr>
          <w:p w14:paraId="1F1EE7B5" w14:textId="77777777" w:rsidR="0045754B" w:rsidRPr="0045754B" w:rsidRDefault="0045754B" w:rsidP="0045754B">
            <w:pPr>
              <w:jc w:val="center"/>
              <w:rPr>
                <w:rFonts w:ascii="Aptos Narrow" w:hAnsi="Aptos Narrow"/>
                <w:b/>
                <w:bCs/>
                <w:color w:val="FFFFFF"/>
                <w:sz w:val="22"/>
                <w:szCs w:val="22"/>
                <w:lang w:eastAsia="fi-FI"/>
              </w:rPr>
            </w:pPr>
            <w:r w:rsidRPr="0045754B">
              <w:rPr>
                <w:rFonts w:ascii="Aptos Narrow" w:hAnsi="Aptos Narrow"/>
                <w:b/>
                <w:bCs/>
                <w:color w:val="FFFFFF"/>
                <w:sz w:val="22"/>
                <w:szCs w:val="22"/>
                <w:lang w:eastAsia="fi-FI"/>
              </w:rPr>
              <w:t>Kulutus</w:t>
            </w:r>
          </w:p>
        </w:tc>
      </w:tr>
      <w:tr w:rsidR="0045754B" w:rsidRPr="0045754B" w14:paraId="50D22DBA" w14:textId="77777777" w:rsidTr="0045754B">
        <w:trPr>
          <w:trHeight w:val="1800"/>
        </w:trPr>
        <w:tc>
          <w:tcPr>
            <w:tcW w:w="2540" w:type="dxa"/>
            <w:tcBorders>
              <w:top w:val="single" w:sz="4" w:space="0" w:color="44B3E1"/>
              <w:left w:val="single" w:sz="4" w:space="0" w:color="44B3E1"/>
              <w:bottom w:val="single" w:sz="4" w:space="0" w:color="44B3E1"/>
              <w:right w:val="nil"/>
            </w:tcBorders>
            <w:shd w:val="clear" w:color="C0E6F5" w:fill="C0E6F5"/>
            <w:vAlign w:val="center"/>
            <w:hideMark/>
          </w:tcPr>
          <w:p w14:paraId="7CF534D9" w14:textId="77777777" w:rsidR="0045754B" w:rsidRPr="0045754B" w:rsidRDefault="0045754B" w:rsidP="0045754B">
            <w:pPr>
              <w:rPr>
                <w:rFonts w:ascii="Aptos Narrow" w:hAnsi="Aptos Narrow"/>
                <w:b/>
                <w:bCs/>
                <w:color w:val="000000"/>
                <w:sz w:val="22"/>
                <w:szCs w:val="22"/>
                <w:lang w:eastAsia="fi-FI"/>
              </w:rPr>
            </w:pPr>
            <w:r w:rsidRPr="0045754B">
              <w:rPr>
                <w:rFonts w:ascii="Aptos Narrow" w:hAnsi="Aptos Narrow"/>
                <w:b/>
                <w:bCs/>
                <w:color w:val="000000"/>
                <w:sz w:val="22"/>
                <w:szCs w:val="22"/>
                <w:lang w:eastAsia="fi-FI"/>
              </w:rPr>
              <w:t>Rakennus 2025–2030</w:t>
            </w:r>
          </w:p>
        </w:tc>
        <w:tc>
          <w:tcPr>
            <w:tcW w:w="2620" w:type="dxa"/>
            <w:tcBorders>
              <w:top w:val="single" w:sz="4" w:space="0" w:color="44B3E1"/>
              <w:left w:val="nil"/>
              <w:bottom w:val="single" w:sz="4" w:space="0" w:color="44B3E1"/>
              <w:right w:val="nil"/>
            </w:tcBorders>
            <w:shd w:val="clear" w:color="C0E6F5" w:fill="C0E6F5"/>
            <w:vAlign w:val="center"/>
            <w:hideMark/>
          </w:tcPr>
          <w:p w14:paraId="65F97013"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45 000 FTE kumulatiivisesti</w:t>
            </w:r>
          </w:p>
        </w:tc>
        <w:tc>
          <w:tcPr>
            <w:tcW w:w="2540" w:type="dxa"/>
            <w:tcBorders>
              <w:top w:val="single" w:sz="4" w:space="0" w:color="44B3E1"/>
              <w:left w:val="nil"/>
              <w:bottom w:val="single" w:sz="4" w:space="0" w:color="44B3E1"/>
              <w:right w:val="nil"/>
            </w:tcBorders>
            <w:shd w:val="clear" w:color="C0E6F5" w:fill="C0E6F5"/>
            <w:vAlign w:val="center"/>
            <w:hideMark/>
          </w:tcPr>
          <w:p w14:paraId="2D4D83DC"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~2,0 mrd. €</w:t>
            </w:r>
          </w:p>
        </w:tc>
        <w:tc>
          <w:tcPr>
            <w:tcW w:w="2540" w:type="dxa"/>
            <w:tcBorders>
              <w:top w:val="single" w:sz="4" w:space="0" w:color="44B3E1"/>
              <w:left w:val="nil"/>
              <w:bottom w:val="single" w:sz="4" w:space="0" w:color="44B3E1"/>
              <w:right w:val="single" w:sz="4" w:space="0" w:color="44B3E1"/>
            </w:tcBorders>
            <w:shd w:val="clear" w:color="C0E6F5" w:fill="C0E6F5"/>
            <w:vAlign w:val="center"/>
            <w:hideMark/>
          </w:tcPr>
          <w:p w14:paraId="11C86B89"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~1,3 mrd. € yhteensä; Suomessa asuvien osuus (50–70 %) ~0,6–0,9 mrd. €. Vuosikeskiarvo ~65–215 milj. € 6–10 vuoden jaksolla</w:t>
            </w:r>
          </w:p>
        </w:tc>
      </w:tr>
      <w:tr w:rsidR="0045754B" w:rsidRPr="0045754B" w14:paraId="58D27914" w14:textId="77777777" w:rsidTr="0045754B">
        <w:trPr>
          <w:trHeight w:val="900"/>
        </w:trPr>
        <w:tc>
          <w:tcPr>
            <w:tcW w:w="2540" w:type="dxa"/>
            <w:tcBorders>
              <w:top w:val="single" w:sz="4" w:space="0" w:color="44B3E1"/>
              <w:left w:val="single" w:sz="4" w:space="0" w:color="44B3E1"/>
              <w:bottom w:val="single" w:sz="4" w:space="0" w:color="44B3E1"/>
              <w:right w:val="nil"/>
            </w:tcBorders>
            <w:shd w:val="clear" w:color="000000" w:fill="C1F0C8"/>
            <w:vAlign w:val="center"/>
            <w:hideMark/>
          </w:tcPr>
          <w:p w14:paraId="2A3112EF" w14:textId="77777777" w:rsidR="0045754B" w:rsidRPr="0045754B" w:rsidRDefault="0045754B" w:rsidP="0045754B">
            <w:pPr>
              <w:rPr>
                <w:rFonts w:ascii="Aptos Narrow" w:hAnsi="Aptos Narrow"/>
                <w:b/>
                <w:bCs/>
                <w:color w:val="000000"/>
                <w:sz w:val="22"/>
                <w:szCs w:val="22"/>
                <w:lang w:eastAsia="fi-FI"/>
              </w:rPr>
            </w:pPr>
            <w:r w:rsidRPr="0045754B">
              <w:rPr>
                <w:rFonts w:ascii="Aptos Narrow" w:hAnsi="Aptos Narrow"/>
                <w:b/>
                <w:bCs/>
                <w:color w:val="000000"/>
                <w:sz w:val="22"/>
                <w:szCs w:val="22"/>
                <w:lang w:eastAsia="fi-FI"/>
              </w:rPr>
              <w:t>Käyttö, suorat</w:t>
            </w:r>
          </w:p>
        </w:tc>
        <w:tc>
          <w:tcPr>
            <w:tcW w:w="2620" w:type="dxa"/>
            <w:tcBorders>
              <w:top w:val="single" w:sz="4" w:space="0" w:color="44B3E1"/>
              <w:left w:val="nil"/>
              <w:bottom w:val="single" w:sz="4" w:space="0" w:color="44B3E1"/>
              <w:right w:val="nil"/>
            </w:tcBorders>
            <w:shd w:val="clear" w:color="000000" w:fill="C1F0C8"/>
            <w:vAlign w:val="center"/>
            <w:hideMark/>
          </w:tcPr>
          <w:p w14:paraId="37B036E9"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yli 1 200 henkeä (2030)</w:t>
            </w:r>
          </w:p>
        </w:tc>
        <w:tc>
          <w:tcPr>
            <w:tcW w:w="2540" w:type="dxa"/>
            <w:tcBorders>
              <w:top w:val="single" w:sz="4" w:space="0" w:color="44B3E1"/>
              <w:left w:val="nil"/>
              <w:bottom w:val="single" w:sz="4" w:space="0" w:color="44B3E1"/>
              <w:right w:val="nil"/>
            </w:tcBorders>
            <w:shd w:val="clear" w:color="000000" w:fill="C1F0C8"/>
            <w:vAlign w:val="center"/>
            <w:hideMark/>
          </w:tcPr>
          <w:p w14:paraId="7E376B8C"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~72–96 milj. €</w:t>
            </w:r>
          </w:p>
        </w:tc>
        <w:tc>
          <w:tcPr>
            <w:tcW w:w="2540" w:type="dxa"/>
            <w:tcBorders>
              <w:top w:val="single" w:sz="4" w:space="0" w:color="44B3E1"/>
              <w:left w:val="nil"/>
              <w:bottom w:val="single" w:sz="4" w:space="0" w:color="44B3E1"/>
              <w:right w:val="single" w:sz="4" w:space="0" w:color="44B3E1"/>
            </w:tcBorders>
            <w:shd w:val="clear" w:color="000000" w:fill="C1F0C8"/>
            <w:vAlign w:val="center"/>
            <w:hideMark/>
          </w:tcPr>
          <w:p w14:paraId="2F25D112"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~45–60 milj. €/v</w:t>
            </w:r>
          </w:p>
        </w:tc>
      </w:tr>
      <w:tr w:rsidR="0045754B" w:rsidRPr="0045754B" w14:paraId="28AE842E" w14:textId="77777777" w:rsidTr="0045754B">
        <w:trPr>
          <w:trHeight w:val="1500"/>
        </w:trPr>
        <w:tc>
          <w:tcPr>
            <w:tcW w:w="2540" w:type="dxa"/>
            <w:tcBorders>
              <w:top w:val="single" w:sz="4" w:space="0" w:color="44B3E1"/>
              <w:left w:val="single" w:sz="4" w:space="0" w:color="44B3E1"/>
              <w:bottom w:val="single" w:sz="4" w:space="0" w:color="44B3E1"/>
              <w:right w:val="nil"/>
            </w:tcBorders>
            <w:shd w:val="clear" w:color="000000" w:fill="C1F0C8"/>
            <w:vAlign w:val="center"/>
            <w:hideMark/>
          </w:tcPr>
          <w:p w14:paraId="1D7BD06E" w14:textId="77777777" w:rsidR="0045754B" w:rsidRPr="0045754B" w:rsidRDefault="0045754B" w:rsidP="0045754B">
            <w:pPr>
              <w:rPr>
                <w:rFonts w:ascii="Aptos Narrow" w:hAnsi="Aptos Narrow"/>
                <w:b/>
                <w:bCs/>
                <w:color w:val="000000"/>
                <w:sz w:val="22"/>
                <w:szCs w:val="22"/>
                <w:lang w:eastAsia="fi-FI"/>
              </w:rPr>
            </w:pPr>
            <w:r w:rsidRPr="0045754B">
              <w:rPr>
                <w:rFonts w:ascii="Aptos Narrow" w:hAnsi="Aptos Narrow"/>
                <w:b/>
                <w:bCs/>
                <w:color w:val="000000"/>
                <w:sz w:val="22"/>
                <w:szCs w:val="22"/>
                <w:lang w:eastAsia="fi-FI"/>
              </w:rPr>
              <w:t>Käyttö, epäsuorat ja indusoidut</w:t>
            </w:r>
          </w:p>
        </w:tc>
        <w:tc>
          <w:tcPr>
            <w:tcW w:w="2620" w:type="dxa"/>
            <w:tcBorders>
              <w:top w:val="single" w:sz="4" w:space="0" w:color="44B3E1"/>
              <w:left w:val="nil"/>
              <w:bottom w:val="single" w:sz="4" w:space="0" w:color="44B3E1"/>
              <w:right w:val="nil"/>
            </w:tcBorders>
            <w:shd w:val="clear" w:color="000000" w:fill="C1F0C8"/>
            <w:vAlign w:val="center"/>
            <w:hideMark/>
          </w:tcPr>
          <w:p w14:paraId="31F7CF79"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lähes 9 000 FTE (2030)</w:t>
            </w:r>
          </w:p>
        </w:tc>
        <w:tc>
          <w:tcPr>
            <w:tcW w:w="2540" w:type="dxa"/>
            <w:tcBorders>
              <w:top w:val="single" w:sz="4" w:space="0" w:color="44B3E1"/>
              <w:left w:val="nil"/>
              <w:bottom w:val="single" w:sz="4" w:space="0" w:color="44B3E1"/>
              <w:right w:val="nil"/>
            </w:tcBorders>
            <w:shd w:val="clear" w:color="000000" w:fill="C1F0C8"/>
            <w:vAlign w:val="center"/>
            <w:hideMark/>
          </w:tcPr>
          <w:p w14:paraId="0ADF21B0"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~405–495 milj. €</w:t>
            </w:r>
          </w:p>
        </w:tc>
        <w:tc>
          <w:tcPr>
            <w:tcW w:w="2540" w:type="dxa"/>
            <w:tcBorders>
              <w:top w:val="single" w:sz="4" w:space="0" w:color="44B3E1"/>
              <w:left w:val="nil"/>
              <w:bottom w:val="single" w:sz="4" w:space="0" w:color="44B3E1"/>
              <w:right w:val="single" w:sz="4" w:space="0" w:color="44B3E1"/>
            </w:tcBorders>
            <w:shd w:val="clear" w:color="000000" w:fill="C1F0C8"/>
            <w:vAlign w:val="center"/>
            <w:hideMark/>
          </w:tcPr>
          <w:p w14:paraId="2D1C106A"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~255–310 milj. €/v</w:t>
            </w:r>
          </w:p>
        </w:tc>
      </w:tr>
      <w:tr w:rsidR="0045754B" w:rsidRPr="0045754B" w14:paraId="5FF8C2BF" w14:textId="77777777" w:rsidTr="0045754B">
        <w:trPr>
          <w:trHeight w:val="900"/>
        </w:trPr>
        <w:tc>
          <w:tcPr>
            <w:tcW w:w="2540" w:type="dxa"/>
            <w:tcBorders>
              <w:top w:val="single" w:sz="4" w:space="0" w:color="44B3E1"/>
              <w:left w:val="single" w:sz="4" w:space="0" w:color="44B3E1"/>
              <w:bottom w:val="single" w:sz="4" w:space="0" w:color="44B3E1"/>
              <w:right w:val="nil"/>
            </w:tcBorders>
            <w:shd w:val="clear" w:color="000000" w:fill="47D359"/>
            <w:vAlign w:val="center"/>
            <w:hideMark/>
          </w:tcPr>
          <w:p w14:paraId="4A11B21A" w14:textId="77777777" w:rsidR="0045754B" w:rsidRPr="0045754B" w:rsidRDefault="0045754B" w:rsidP="0045754B">
            <w:pPr>
              <w:rPr>
                <w:rFonts w:ascii="Aptos Narrow" w:hAnsi="Aptos Narrow"/>
                <w:b/>
                <w:bCs/>
                <w:color w:val="000000"/>
                <w:sz w:val="22"/>
                <w:szCs w:val="22"/>
                <w:lang w:eastAsia="fi-FI"/>
              </w:rPr>
            </w:pPr>
            <w:r w:rsidRPr="0045754B">
              <w:rPr>
                <w:rFonts w:ascii="Aptos Narrow" w:hAnsi="Aptos Narrow"/>
                <w:b/>
                <w:bCs/>
                <w:color w:val="000000"/>
                <w:sz w:val="22"/>
                <w:szCs w:val="22"/>
                <w:lang w:eastAsia="fi-FI"/>
              </w:rPr>
              <w:t>Käyttö yhteensä</w:t>
            </w:r>
          </w:p>
        </w:tc>
        <w:tc>
          <w:tcPr>
            <w:tcW w:w="2620" w:type="dxa"/>
            <w:tcBorders>
              <w:top w:val="single" w:sz="4" w:space="0" w:color="44B3E1"/>
              <w:left w:val="nil"/>
              <w:bottom w:val="single" w:sz="4" w:space="0" w:color="44B3E1"/>
              <w:right w:val="nil"/>
            </w:tcBorders>
            <w:shd w:val="clear" w:color="000000" w:fill="47D359"/>
            <w:vAlign w:val="center"/>
            <w:hideMark/>
          </w:tcPr>
          <w:p w14:paraId="23EA5DAC"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~10 200 FTE</w:t>
            </w:r>
          </w:p>
        </w:tc>
        <w:tc>
          <w:tcPr>
            <w:tcW w:w="2540" w:type="dxa"/>
            <w:tcBorders>
              <w:top w:val="single" w:sz="4" w:space="0" w:color="44B3E1"/>
              <w:left w:val="nil"/>
              <w:bottom w:val="single" w:sz="4" w:space="0" w:color="44B3E1"/>
              <w:right w:val="nil"/>
            </w:tcBorders>
            <w:shd w:val="clear" w:color="000000" w:fill="47D359"/>
            <w:vAlign w:val="center"/>
            <w:hideMark/>
          </w:tcPr>
          <w:p w14:paraId="71185B3C" w14:textId="77777777" w:rsidR="0045754B" w:rsidRPr="0045754B" w:rsidRDefault="0045754B" w:rsidP="0045754B">
            <w:pPr>
              <w:rPr>
                <w:rFonts w:ascii="Aptos Narrow" w:hAnsi="Aptos Narrow"/>
                <w:color w:val="000000"/>
                <w:sz w:val="22"/>
                <w:szCs w:val="22"/>
                <w:lang w:eastAsia="fi-FI"/>
              </w:rPr>
            </w:pPr>
            <w:r w:rsidRPr="0045754B">
              <w:rPr>
                <w:rFonts w:ascii="Aptos Narrow" w:hAnsi="Aptos Narrow"/>
                <w:color w:val="000000"/>
                <w:sz w:val="22"/>
                <w:szCs w:val="22"/>
                <w:lang w:eastAsia="fi-FI"/>
              </w:rPr>
              <w:t> </w:t>
            </w:r>
          </w:p>
        </w:tc>
        <w:tc>
          <w:tcPr>
            <w:tcW w:w="2540" w:type="dxa"/>
            <w:tcBorders>
              <w:top w:val="single" w:sz="4" w:space="0" w:color="44B3E1"/>
              <w:left w:val="nil"/>
              <w:bottom w:val="single" w:sz="4" w:space="0" w:color="44B3E1"/>
              <w:right w:val="single" w:sz="4" w:space="0" w:color="44B3E1"/>
            </w:tcBorders>
            <w:shd w:val="clear" w:color="000000" w:fill="47D359"/>
            <w:vAlign w:val="center"/>
            <w:hideMark/>
          </w:tcPr>
          <w:p w14:paraId="4E70FF23" w14:textId="77777777" w:rsidR="0045754B" w:rsidRPr="0045754B" w:rsidRDefault="0045754B" w:rsidP="0045754B">
            <w:pPr>
              <w:rPr>
                <w:rFonts w:ascii="Aptos Narrow" w:hAnsi="Aptos Narrow"/>
                <w:b/>
                <w:bCs/>
                <w:color w:val="000000"/>
                <w:sz w:val="22"/>
                <w:szCs w:val="22"/>
                <w:lang w:eastAsia="fi-FI"/>
              </w:rPr>
            </w:pPr>
            <w:r w:rsidRPr="0045754B">
              <w:rPr>
                <w:rFonts w:ascii="Aptos Narrow" w:hAnsi="Aptos Narrow"/>
                <w:b/>
                <w:bCs/>
                <w:color w:val="000000"/>
                <w:sz w:val="22"/>
                <w:szCs w:val="22"/>
                <w:lang w:eastAsia="fi-FI"/>
              </w:rPr>
              <w:t>~300–370 milj. €/v</w:t>
            </w:r>
            <w:r w:rsidRPr="0045754B">
              <w:rPr>
                <w:rFonts w:ascii="Aptos Narrow" w:hAnsi="Aptos Narrow"/>
                <w:color w:val="000000"/>
                <w:sz w:val="22"/>
                <w:szCs w:val="22"/>
                <w:lang w:eastAsia="fi-FI"/>
              </w:rPr>
              <w:t xml:space="preserve"> (yläraja)</w:t>
            </w:r>
          </w:p>
        </w:tc>
      </w:tr>
    </w:tbl>
    <w:p w14:paraId="565A7599" w14:textId="77777777" w:rsidR="0045754B" w:rsidRPr="00440480" w:rsidRDefault="0045754B" w:rsidP="00440480"/>
    <w:p w14:paraId="38727556" w14:textId="77777777" w:rsidR="00A240AA" w:rsidRDefault="00A240AA" w:rsidP="00A240AA"/>
    <w:p w14:paraId="0A9385B0" w14:textId="77777777" w:rsidR="008D02D3" w:rsidRDefault="008D02D3" w:rsidP="008D02D3"/>
    <w:p w14:paraId="0132FD90" w14:textId="6AC5F99E" w:rsidR="00A240AA" w:rsidRDefault="00A240AA" w:rsidP="00A240AA">
      <w:pPr>
        <w:pStyle w:val="Otsikko1"/>
      </w:pPr>
      <w:r>
        <w:t>Sähkön hinta</w:t>
      </w:r>
    </w:p>
    <w:p w14:paraId="6D68D24D" w14:textId="77777777" w:rsidR="00A240AA" w:rsidRDefault="00A240AA" w:rsidP="00A240AA"/>
    <w:p w14:paraId="0AE86CB0" w14:textId="705D926B" w:rsidR="00A240AA" w:rsidRDefault="00A240AA" w:rsidP="00A240AA">
      <w:r>
        <w:object w:dxaOrig="8251" w:dyaOrig="6901" w14:anchorId="6775BD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7.55pt;height:282.25pt" o:ole="">
            <v:imagedata r:id="rId15" o:title=""/>
          </v:shape>
          <o:OLEObject Type="Embed" ProgID="Mbnd.mbnd" ShapeID="_x0000_i1025" DrawAspect="Content" ObjectID="_1852979624" r:id="rId16"/>
        </w:object>
      </w:r>
    </w:p>
    <w:p w14:paraId="226D53F3" w14:textId="77777777" w:rsidR="00CE0412" w:rsidRDefault="00CE0412" w:rsidP="00CE0412">
      <w:pPr>
        <w:pStyle w:val="Otsikko1"/>
      </w:pPr>
      <w:r w:rsidRPr="00CE0412">
        <w:t>Suomi vs. Norja datakeskusten sijoituspaikkana</w:t>
      </w:r>
    </w:p>
    <w:p w14:paraId="3EFAF0C6" w14:textId="77777777" w:rsidR="00CE0412" w:rsidRPr="00CE0412" w:rsidRDefault="00CE0412" w:rsidP="00CE0412"/>
    <w:p w14:paraId="573A5097" w14:textId="77777777" w:rsidR="00CE0412" w:rsidRPr="00CE0412" w:rsidRDefault="00CE0412" w:rsidP="00CE0412">
      <w:r w:rsidRPr="00CE0412">
        <w:t>Vaikka Norjan tukkusähkö on perinteisesti ollut keskimäärin edullisempaa (erityisesti Pohjois-Norjan vesivoima-alueilla NO3 ja NO4), Suomella on useita rakenteellisia etuja:</w:t>
      </w:r>
    </w:p>
    <w:p w14:paraId="73329D59" w14:textId="77777777" w:rsidR="00CE0412" w:rsidRPr="00CE0412" w:rsidRDefault="00CE0412" w:rsidP="00CE0412">
      <w:r w:rsidRPr="00CE0412">
        <w:rPr>
          <w:b/>
          <w:bCs/>
        </w:rPr>
        <w:t>1. Hukkalämmön hyödyntäminen kaukolämpöverkkoon — Suomen ykköskortti</w:t>
      </w:r>
    </w:p>
    <w:p w14:paraId="77CB6021" w14:textId="77777777" w:rsidR="00CE0412" w:rsidRDefault="00CE0412" w:rsidP="00CE0412">
      <w:r w:rsidRPr="00CE0412">
        <w:t>Suomessa on poikkeuksellisen kattava kaukolämpöverkosto (noin puolet lämmityksestä), johon datakeskusten hukkalämpö voidaan kytkeä suoraan lämpöpumppujen avulla. Norjassa lämmitys perustuu valtaosin hajautettuun suoraan sähköön ja ilmalämpöpumppuihin, joten kaukolämpöverkkoja on vain vähän. Tämä tekee Suomesta taloudellisesti houkuttelevamman: hukkalämpö ei ole jäähdytyskustannus, vaan myytävä tulonlähde (esim. Microsoft Kirkkonummella ja Espoossa sekä Google Haminassa).</w:t>
      </w:r>
    </w:p>
    <w:p w14:paraId="482C2434" w14:textId="77777777" w:rsidR="00CE0412" w:rsidRPr="00CE0412" w:rsidRDefault="00CE0412" w:rsidP="00CE0412"/>
    <w:p w14:paraId="425FECA9" w14:textId="4D13AA03" w:rsidR="00CE0412" w:rsidRPr="00CE0412" w:rsidRDefault="00B934EA" w:rsidP="00CE0412">
      <w:r>
        <w:rPr>
          <w:b/>
          <w:bCs/>
        </w:rPr>
        <w:t>2</w:t>
      </w:r>
      <w:r w:rsidR="00CE0412" w:rsidRPr="00CE0412">
        <w:rPr>
          <w:b/>
          <w:bCs/>
        </w:rPr>
        <w:t>. Yhtenäinen hinta-alue ja uusiutuvan tuotannon skaalautuvuus</w:t>
      </w:r>
    </w:p>
    <w:p w14:paraId="7506E1BD" w14:textId="77777777" w:rsidR="00CE0412" w:rsidRDefault="00CE0412" w:rsidP="00CE0412">
      <w:r w:rsidRPr="00CE0412">
        <w:t xml:space="preserve">Suomi muodostaa yhden ainoan sähkön hinta-alueen, mikä helpottaa suuren mittakaavan sähkönostosopimusten (PPA) tekemistä. Norja on jaettu viiteen eri hinta-alueeseen (NO1–NO5), joiden välillä hintaerot ja pullonkaulat ovat ajoittain suuria. Lisäksi Suomessa on erinomaiset maastonmuodot ja </w:t>
      </w:r>
      <w:proofErr w:type="spellStart"/>
      <w:r w:rsidRPr="00CE0412">
        <w:t>luvitusvalmius</w:t>
      </w:r>
      <w:proofErr w:type="spellEnd"/>
      <w:r w:rsidRPr="00CE0412">
        <w:t xml:space="preserve"> maatuulivoiman nopealle lisärakentamiselle konesalien sähköntarpeen kattamiseksi.</w:t>
      </w:r>
    </w:p>
    <w:p w14:paraId="5C0B6C97" w14:textId="77777777" w:rsidR="00B934EA" w:rsidRPr="00CE0412" w:rsidRDefault="00B934EA" w:rsidP="00CE0412"/>
    <w:p w14:paraId="240F0167" w14:textId="4A41EF79" w:rsidR="00CE0412" w:rsidRPr="00CE0412" w:rsidRDefault="00B934EA" w:rsidP="00CE0412">
      <w:r>
        <w:rPr>
          <w:b/>
          <w:bCs/>
        </w:rPr>
        <w:t>3</w:t>
      </w:r>
      <w:r w:rsidR="00CE0412" w:rsidRPr="00CE0412">
        <w:rPr>
          <w:b/>
          <w:bCs/>
        </w:rPr>
        <w:t>. EU-täysjäsenyys ja datasääntely</w:t>
      </w:r>
    </w:p>
    <w:p w14:paraId="6EB59C10" w14:textId="77777777" w:rsidR="00CE0412" w:rsidRDefault="00CE0412" w:rsidP="00CE0412">
      <w:r w:rsidRPr="00CE0412">
        <w:t>Suomi on EU:n täysjäsen ja osa euroaluetta, mikä eliminoi valuuttariskin ja takaa suoran pääsyn sisämarkkinoille sekä EU-tason datasääntelyn ja -aloitteiden (esim. data-avaruudet, tekoälysääntely) ytimeen. Vaikka Norja soveltaa ETA-maana GDPR-sääntelyä, se ei ole mukana EU:n suorassa päätöksenteossa eikä kaikissa rahoitusohjelmissa.</w:t>
      </w:r>
    </w:p>
    <w:p w14:paraId="00FBE054" w14:textId="77777777" w:rsidR="00B934EA" w:rsidRPr="00CE0412" w:rsidRDefault="00B934EA" w:rsidP="00CE0412"/>
    <w:p w14:paraId="4831153D" w14:textId="03089A45" w:rsidR="00CE0412" w:rsidRPr="00CE0412" w:rsidRDefault="00B934EA" w:rsidP="00CE0412">
      <w:r>
        <w:rPr>
          <w:b/>
          <w:bCs/>
        </w:rPr>
        <w:t>4</w:t>
      </w:r>
      <w:r w:rsidR="00CE0412" w:rsidRPr="00CE0412">
        <w:rPr>
          <w:b/>
          <w:bCs/>
        </w:rPr>
        <w:t>. Energiatehokkuus ja infrastruktuuri</w:t>
      </w:r>
    </w:p>
    <w:p w14:paraId="1E088FB7" w14:textId="77777777" w:rsidR="00CE0412" w:rsidRDefault="00CE0412" w:rsidP="00CE0412">
      <w:r w:rsidRPr="00CE0412">
        <w:lastRenderedPageBreak/>
        <w:t>Suomalaiset konesalit kuuluvat Euroopan tehokkaimpiin (PUE-mittareilla mitattuna hukkaenergian osuus on poikkeuksellisen pieni) ja vedenkulutus on alhaista. Kansainväliset tietoliikenneyhteydet ovat huippuluokkaa sekä Itämeren kaapelien (kuten C-Lion1) että Ruotsin kautta kulkevien maareittien ansiosta.</w:t>
      </w:r>
    </w:p>
    <w:p w14:paraId="0D025678" w14:textId="77777777" w:rsidR="00B934EA" w:rsidRPr="00CE0412" w:rsidRDefault="00B934EA" w:rsidP="00CE0412"/>
    <w:p w14:paraId="497E2F0E" w14:textId="77777777" w:rsidR="00CE0412" w:rsidRPr="00CE0412" w:rsidRDefault="00CE0412" w:rsidP="00CE0412">
      <w:r w:rsidRPr="00CE0412">
        <w:rPr>
          <w:b/>
          <w:bCs/>
        </w:rPr>
        <w:t>Missä Norja on silti vahvoilla:</w:t>
      </w:r>
    </w:p>
    <w:p w14:paraId="08E0022F" w14:textId="77777777" w:rsidR="00CE0412" w:rsidRPr="00CE0412" w:rsidRDefault="00CE0412" w:rsidP="00CE0412">
      <w:pPr>
        <w:numPr>
          <w:ilvl w:val="0"/>
          <w:numId w:val="26"/>
        </w:numPr>
      </w:pPr>
      <w:r w:rsidRPr="00CE0412">
        <w:rPr>
          <w:b/>
          <w:bCs/>
        </w:rPr>
        <w:t>Säännöstelykykyinen vesivoima:</w:t>
      </w:r>
      <w:r w:rsidRPr="00CE0412">
        <w:t xml:space="preserve"> Norjan massiiviset patoaltaat tarjoavat tasaista perusvoimaa ja luontaista joustoa ilman Suomelle tyypillistä tuulivoimariippuvaista lyhyen aikavälin </w:t>
      </w:r>
      <w:proofErr w:type="spellStart"/>
      <w:r w:rsidRPr="00CE0412">
        <w:t>hintavolatiliteettia</w:t>
      </w:r>
      <w:proofErr w:type="spellEnd"/>
      <w:r w:rsidRPr="00CE0412">
        <w:t>.</w:t>
      </w:r>
    </w:p>
    <w:p w14:paraId="14C06D3D" w14:textId="77777777" w:rsidR="00CE0412" w:rsidRPr="00CE0412" w:rsidRDefault="00CE0412" w:rsidP="00CE0412">
      <w:pPr>
        <w:numPr>
          <w:ilvl w:val="0"/>
          <w:numId w:val="26"/>
        </w:numPr>
      </w:pPr>
      <w:r w:rsidRPr="00CE0412">
        <w:rPr>
          <w:b/>
          <w:bCs/>
        </w:rPr>
        <w:t>Halpa pohjoisen sähkö:</w:t>
      </w:r>
      <w:r w:rsidRPr="00CE0412">
        <w:t xml:space="preserve"> Pohjois-Norjan hinta-alueilla tukkusähkö on usein Euroopan halvinta runsaan vesivoiman ja rajallisen etelän-siirtokapasiteetin vuoksi.</w:t>
      </w:r>
    </w:p>
    <w:p w14:paraId="352B7E6C" w14:textId="77777777" w:rsidR="00CE0412" w:rsidRPr="00CE0412" w:rsidRDefault="00CE0412" w:rsidP="00CE0412">
      <w:pPr>
        <w:numPr>
          <w:ilvl w:val="0"/>
          <w:numId w:val="26"/>
        </w:numPr>
      </w:pPr>
      <w:r w:rsidRPr="00CE0412">
        <w:rPr>
          <w:b/>
          <w:bCs/>
        </w:rPr>
        <w:t xml:space="preserve">Valmis </w:t>
      </w:r>
      <w:proofErr w:type="spellStart"/>
      <w:r w:rsidRPr="00CE0412">
        <w:rPr>
          <w:b/>
          <w:bCs/>
        </w:rPr>
        <w:t>luvituskanta</w:t>
      </w:r>
      <w:proofErr w:type="spellEnd"/>
      <w:r w:rsidRPr="00CE0412">
        <w:rPr>
          <w:b/>
          <w:bCs/>
        </w:rPr>
        <w:t>:</w:t>
      </w:r>
      <w:r w:rsidRPr="00CE0412">
        <w:t xml:space="preserve"> Norjalla on ollut etumatkaa suurten </w:t>
      </w:r>
      <w:proofErr w:type="spellStart"/>
      <w:r w:rsidRPr="00CE0412">
        <w:t>hyperscale</w:t>
      </w:r>
      <w:proofErr w:type="spellEnd"/>
      <w:r w:rsidRPr="00CE0412">
        <w:t>-hankkeiden varaamisessa ja verkkovarausten tekemisessä.</w:t>
      </w:r>
    </w:p>
    <w:p w14:paraId="609DD717" w14:textId="77777777" w:rsidR="00CE0412" w:rsidRPr="00CE0412" w:rsidRDefault="00CE0412" w:rsidP="00CE0412">
      <w:r w:rsidRPr="00CE0412">
        <w:rPr>
          <w:b/>
          <w:bCs/>
        </w:rPr>
        <w:t>Yhteinen haaste:</w:t>
      </w:r>
      <w:r w:rsidRPr="00CE0412">
        <w:t xml:space="preserve"> Kummassakin maassa kantaverkkoyhtiöt (</w:t>
      </w:r>
      <w:proofErr w:type="spellStart"/>
      <w:r w:rsidRPr="00CE0412">
        <w:t>Fingrid</w:t>
      </w:r>
      <w:proofErr w:type="spellEnd"/>
      <w:r w:rsidRPr="00CE0412">
        <w:t xml:space="preserve"> ja </w:t>
      </w:r>
      <w:proofErr w:type="spellStart"/>
      <w:r w:rsidRPr="00CE0412">
        <w:t>Statnett</w:t>
      </w:r>
      <w:proofErr w:type="spellEnd"/>
      <w:r w:rsidRPr="00CE0412">
        <w:t>) kamppailevat massiivisten liittymisjonomäärien kanssa. Kantaverkon fyysiset vahvistukset ja liityntöjen toimitusajat ovat molemmissa maissa merkittävin pullonkaula sille, mitkä hankkeet todellisuudessa pääsevät toteutusvaiheeseen.</w:t>
      </w:r>
    </w:p>
    <w:p w14:paraId="2273A25B" w14:textId="77777777" w:rsidR="00A240AA" w:rsidRDefault="00A240AA" w:rsidP="00A240AA"/>
    <w:p w14:paraId="3218E7C1" w14:textId="77777777" w:rsidR="00D31C9B" w:rsidRDefault="00D31C9B" w:rsidP="00A240AA"/>
    <w:p w14:paraId="3AE2D2C6" w14:textId="77777777" w:rsidR="00D31C9B" w:rsidRDefault="00D31C9B" w:rsidP="00A240AA"/>
    <w:p w14:paraId="2833B8F0" w14:textId="77777777" w:rsidR="00D31C9B" w:rsidRDefault="00D31C9B" w:rsidP="00A240AA"/>
    <w:p w14:paraId="3F2FA6A7" w14:textId="77777777" w:rsidR="00D31C9B" w:rsidRDefault="00D31C9B" w:rsidP="00A240AA"/>
    <w:p w14:paraId="37C7292E" w14:textId="24F8CD6F" w:rsidR="00D31C9B" w:rsidRDefault="00D31C9B" w:rsidP="00D31C9B">
      <w:pPr>
        <w:pStyle w:val="Otsikko2"/>
      </w:pPr>
      <w:r>
        <w:t>Lähteet:</w:t>
      </w:r>
    </w:p>
    <w:p w14:paraId="7ADE0C3A" w14:textId="77777777" w:rsidR="00D31C9B" w:rsidRDefault="00D31C9B" w:rsidP="00D31C9B"/>
    <w:p w14:paraId="1FFABE13" w14:textId="77777777" w:rsidR="00D31C9B" w:rsidRPr="00D31C9B" w:rsidRDefault="00D31C9B" w:rsidP="00D31C9B">
      <w:pPr>
        <w:numPr>
          <w:ilvl w:val="0"/>
          <w:numId w:val="23"/>
        </w:numPr>
      </w:pPr>
      <w:proofErr w:type="spellStart"/>
      <w:r w:rsidRPr="00D31C9B">
        <w:t>Pervilä</w:t>
      </w:r>
      <w:proofErr w:type="spellEnd"/>
      <w:r w:rsidRPr="00D31C9B">
        <w:t xml:space="preserve"> &amp; Kangasharju, </w:t>
      </w:r>
      <w:r w:rsidRPr="00D31C9B">
        <w:rPr>
          <w:i/>
          <w:iCs/>
        </w:rPr>
        <w:t>Datakeskusten faktat ja fiktiot</w:t>
      </w:r>
      <w:r w:rsidRPr="00D31C9B">
        <w:t xml:space="preserve"> (Helsingin yliopisto, 20.7.2026): </w:t>
      </w:r>
      <w:hyperlink r:id="rId17" w:history="1">
        <w:r w:rsidRPr="00D31C9B">
          <w:rPr>
            <w:rStyle w:val="Hyperlinkki"/>
          </w:rPr>
          <w:t>helda.helsinki.fi</w:t>
        </w:r>
      </w:hyperlink>
    </w:p>
    <w:p w14:paraId="715AA389" w14:textId="77777777" w:rsidR="00D31C9B" w:rsidRPr="00D31C9B" w:rsidRDefault="00D31C9B" w:rsidP="00D31C9B">
      <w:pPr>
        <w:numPr>
          <w:ilvl w:val="0"/>
          <w:numId w:val="23"/>
        </w:numPr>
      </w:pPr>
      <w:r w:rsidRPr="00D31C9B">
        <w:t xml:space="preserve">MTV Uutiset, Verohallinnon pääjohtaja Markku Heikura: </w:t>
      </w:r>
      <w:hyperlink r:id="rId18" w:history="1">
        <w:r w:rsidRPr="00D31C9B">
          <w:rPr>
            <w:rStyle w:val="Hyperlinkki"/>
          </w:rPr>
          <w:t>mtvuutiset.fi</w:t>
        </w:r>
      </w:hyperlink>
    </w:p>
    <w:p w14:paraId="3D40A74C" w14:textId="77777777" w:rsidR="00D31C9B" w:rsidRPr="00D31C9B" w:rsidRDefault="00D31C9B" w:rsidP="00D31C9B">
      <w:pPr>
        <w:numPr>
          <w:ilvl w:val="0"/>
          <w:numId w:val="23"/>
        </w:numPr>
      </w:pPr>
      <w:r w:rsidRPr="00D31C9B">
        <w:t xml:space="preserve">Satu </w:t>
      </w:r>
      <w:proofErr w:type="spellStart"/>
      <w:r w:rsidRPr="00D31C9B">
        <w:t>Grekin</w:t>
      </w:r>
      <w:proofErr w:type="spellEnd"/>
      <w:r w:rsidRPr="00D31C9B">
        <w:t xml:space="preserve">, kannanotto ALV-palautuksista: </w:t>
      </w:r>
      <w:hyperlink r:id="rId19" w:history="1">
        <w:r w:rsidRPr="00D31C9B">
          <w:rPr>
            <w:rStyle w:val="Hyperlinkki"/>
          </w:rPr>
          <w:t>LinkedIn</w:t>
        </w:r>
      </w:hyperlink>
    </w:p>
    <w:p w14:paraId="745ED111" w14:textId="3CD19A11" w:rsidR="00D31C9B" w:rsidRDefault="00D31C9B" w:rsidP="00D31C9B">
      <w:pPr>
        <w:numPr>
          <w:ilvl w:val="0"/>
          <w:numId w:val="23"/>
        </w:numPr>
        <w:rPr>
          <w:lang w:val="en-US"/>
        </w:rPr>
      </w:pPr>
      <w:r w:rsidRPr="009D675A">
        <w:rPr>
          <w:lang w:val="en-US"/>
        </w:rPr>
        <w:t xml:space="preserve">Ramboll/FDCA, </w:t>
      </w:r>
      <w:r w:rsidRPr="009D675A">
        <w:rPr>
          <w:i/>
          <w:iCs/>
          <w:lang w:val="en-US"/>
        </w:rPr>
        <w:t>Finnish Data Center Market Study and Impact Assessment</w:t>
      </w:r>
      <w:r w:rsidRPr="009D675A">
        <w:rPr>
          <w:lang w:val="en-US"/>
        </w:rPr>
        <w:t xml:space="preserve"> (2025)</w:t>
      </w:r>
    </w:p>
    <w:p w14:paraId="064D1FA9" w14:textId="77777777" w:rsidR="000A7DAE" w:rsidRDefault="000A7DAE" w:rsidP="000A7DAE">
      <w:pPr>
        <w:numPr>
          <w:ilvl w:val="0"/>
          <w:numId w:val="23"/>
        </w:numPr>
        <w:spacing w:before="100" w:beforeAutospacing="1" w:after="100" w:afterAutospacing="1"/>
        <w:rPr>
          <w:lang w:eastAsia="fi-FI"/>
        </w:rPr>
      </w:pPr>
      <w:proofErr w:type="spellStart"/>
      <w:r>
        <w:t>Pervilä</w:t>
      </w:r>
      <w:proofErr w:type="spellEnd"/>
      <w:r>
        <w:t xml:space="preserve"> &amp; Kangasharju, </w:t>
      </w:r>
      <w:r>
        <w:rPr>
          <w:rStyle w:val="Korostus"/>
        </w:rPr>
        <w:t>Datakeskusten faktat ja fiktiot</w:t>
      </w:r>
      <w:r>
        <w:t xml:space="preserve"> (2026): </w:t>
      </w:r>
      <w:hyperlink r:id="rId20" w:history="1">
        <w:r>
          <w:rPr>
            <w:rStyle w:val="Hyperlinkki"/>
          </w:rPr>
          <w:t>helda.helsinki.fi</w:t>
        </w:r>
      </w:hyperlink>
    </w:p>
    <w:p w14:paraId="57C44719" w14:textId="77777777" w:rsidR="000A7DAE" w:rsidRDefault="000A7DAE" w:rsidP="000A7DAE">
      <w:pPr>
        <w:numPr>
          <w:ilvl w:val="0"/>
          <w:numId w:val="23"/>
        </w:numPr>
        <w:spacing w:before="100" w:beforeAutospacing="1" w:after="100" w:afterAutospacing="1"/>
      </w:pPr>
      <w:r>
        <w:t xml:space="preserve">Kangasharju, Verkkouutiset: </w:t>
      </w:r>
      <w:hyperlink r:id="rId21" w:history="1">
        <w:r>
          <w:rPr>
            <w:rStyle w:val="Hyperlinkki"/>
          </w:rPr>
          <w:t>verkkouutiset.fi</w:t>
        </w:r>
      </w:hyperlink>
    </w:p>
    <w:p w14:paraId="7AE368A4" w14:textId="77777777" w:rsidR="000A7DAE" w:rsidRPr="009D675A" w:rsidRDefault="000A7DAE" w:rsidP="00D31C9B">
      <w:pPr>
        <w:numPr>
          <w:ilvl w:val="0"/>
          <w:numId w:val="23"/>
        </w:numPr>
        <w:rPr>
          <w:lang w:val="en-US"/>
        </w:rPr>
      </w:pPr>
    </w:p>
    <w:p w14:paraId="0241ACE9" w14:textId="77777777" w:rsidR="00D31C9B" w:rsidRPr="009D675A" w:rsidRDefault="00D31C9B" w:rsidP="00D31C9B">
      <w:pPr>
        <w:rPr>
          <w:lang w:val="en-US"/>
        </w:rPr>
      </w:pPr>
    </w:p>
    <w:sectPr w:rsidR="00D31C9B" w:rsidRPr="009D675A" w:rsidSect="00562E6B">
      <w:headerReference w:type="default" r:id="rId22"/>
      <w:footerReference w:type="default" r:id="rId23"/>
      <w:headerReference w:type="first" r:id="rId24"/>
      <w:pgSz w:w="11906" w:h="16838"/>
      <w:pgMar w:top="567" w:right="1134" w:bottom="851" w:left="1134" w:header="709" w:footer="970"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19C30" w14:textId="77777777" w:rsidR="004166BD" w:rsidRDefault="004166BD" w:rsidP="008E0F4A">
      <w:r>
        <w:separator/>
      </w:r>
    </w:p>
  </w:endnote>
  <w:endnote w:type="continuationSeparator" w:id="0">
    <w:p w14:paraId="4DE9FDCD" w14:textId="77777777" w:rsidR="004166BD" w:rsidRDefault="004166BD" w:rsidP="008E0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9A7C8" w14:textId="77777777" w:rsidR="00FA6ACE" w:rsidRDefault="00FA6ACE" w:rsidP="00FA6ACE">
    <w:pPr>
      <w:pStyle w:val="Alatunniste"/>
      <w:ind w:right="28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34EF" w14:textId="77777777" w:rsidR="004166BD" w:rsidRDefault="004166BD" w:rsidP="008E0F4A">
      <w:r>
        <w:separator/>
      </w:r>
    </w:p>
  </w:footnote>
  <w:footnote w:type="continuationSeparator" w:id="0">
    <w:p w14:paraId="50743135" w14:textId="77777777" w:rsidR="004166BD" w:rsidRDefault="004166BD" w:rsidP="008E0F4A">
      <w:r>
        <w:continuationSeparator/>
      </w:r>
    </w:p>
  </w:footnote>
  <w:footnote w:id="1">
    <w:p w14:paraId="06AD43A3" w14:textId="1D002C35" w:rsidR="005009A7" w:rsidRPr="005009A7" w:rsidRDefault="00056207" w:rsidP="005009A7">
      <w:pPr>
        <w:pStyle w:val="Alaviitteenteksti"/>
        <w:rPr>
          <w:lang w:val="en-US"/>
        </w:rPr>
      </w:pPr>
      <w:r>
        <w:rPr>
          <w:rStyle w:val="Alaviitteenviite"/>
        </w:rPr>
        <w:footnoteRef/>
      </w:r>
      <w:r w:rsidRPr="005009A7">
        <w:rPr>
          <w:lang w:val="en-US"/>
        </w:rPr>
        <w:t xml:space="preserve"> </w:t>
      </w:r>
      <w:hyperlink r:id="rId1" w:history="1">
        <w:r w:rsidR="005009A7" w:rsidRPr="00E70F0F">
          <w:rPr>
            <w:rStyle w:val="Hyperlinkki"/>
            <w:lang w:val="en-US"/>
          </w:rPr>
          <w:t>EUROPEAN ECONOMICS ANALYST: Spillovers from the Global AI Capex Cycle 10/2026</w:t>
        </w:r>
      </w:hyperlink>
      <w:r w:rsidR="00E70F0F">
        <w:rPr>
          <w:lang w:val="en-US"/>
        </w:rPr>
        <w:t xml:space="preserve"> </w:t>
      </w:r>
    </w:p>
    <w:p w14:paraId="2D269415" w14:textId="40086F39" w:rsidR="00056207" w:rsidRPr="005009A7" w:rsidRDefault="00056207">
      <w:pPr>
        <w:pStyle w:val="Alaviitteenteksti"/>
        <w:rPr>
          <w:lang w:val="en-US"/>
        </w:rPr>
      </w:pPr>
    </w:p>
  </w:footnote>
  <w:footnote w:id="2">
    <w:p w14:paraId="18653977" w14:textId="4C1C2664" w:rsidR="00CA5072" w:rsidRPr="00CA5072" w:rsidRDefault="00CA5072">
      <w:pPr>
        <w:pStyle w:val="Alaviitteenteksti"/>
        <w:rPr>
          <w:lang w:val="en-US"/>
        </w:rPr>
      </w:pPr>
      <w:r>
        <w:rPr>
          <w:rStyle w:val="Alaviitteenviite"/>
        </w:rPr>
        <w:footnoteRef/>
      </w:r>
      <w:r w:rsidRPr="00CA5072">
        <w:rPr>
          <w:lang w:val="en-US"/>
        </w:rPr>
        <w:t xml:space="preserve"> </w:t>
      </w:r>
      <w:hyperlink r:id="rId2" w:history="1">
        <w:r w:rsidRPr="00CA5072">
          <w:rPr>
            <w:rStyle w:val="Hyperlinkki"/>
            <w:lang w:val="en-US"/>
          </w:rPr>
          <w:t>https://iot-analytics.com/data-center-infrastructure-market/</w:t>
        </w:r>
      </w:hyperlink>
      <w:r>
        <w:rPr>
          <w:lang w:val="en-US"/>
        </w:rPr>
        <w:t xml:space="preserve"> 11/202</w:t>
      </w:r>
      <w:r w:rsidR="009B7BBA">
        <w:rPr>
          <w:lang w:val="en-US"/>
        </w:rPr>
        <w:t>5</w:t>
      </w:r>
    </w:p>
  </w:footnote>
  <w:footnote w:id="3">
    <w:p w14:paraId="26EFB70F" w14:textId="02948E2F" w:rsidR="00B62B6B" w:rsidRPr="00B62B6B" w:rsidRDefault="009C68F6" w:rsidP="00B62B6B">
      <w:pPr>
        <w:pStyle w:val="Alaviitteenteksti"/>
        <w:rPr>
          <w:b/>
          <w:bCs/>
          <w:lang w:val="en-US"/>
        </w:rPr>
      </w:pPr>
      <w:r>
        <w:rPr>
          <w:rStyle w:val="Alaviitteenviite"/>
        </w:rPr>
        <w:footnoteRef/>
      </w:r>
      <w:r w:rsidRPr="00B62B6B">
        <w:rPr>
          <w:lang w:val="en-US"/>
        </w:rPr>
        <w:t xml:space="preserve"> </w:t>
      </w:r>
      <w:r w:rsidR="00B62B6B" w:rsidRPr="00B62B6B">
        <w:rPr>
          <w:lang w:val="en-US"/>
        </w:rPr>
        <w:t xml:space="preserve">Inside Finland: Google’s European hyperscale data </w:t>
      </w:r>
      <w:proofErr w:type="spellStart"/>
      <w:r w:rsidR="00B62B6B" w:rsidRPr="00B62B6B">
        <w:rPr>
          <w:lang w:val="en-US"/>
        </w:rPr>
        <w:t>centres</w:t>
      </w:r>
      <w:proofErr w:type="spellEnd"/>
      <w:r w:rsidR="00B62B6B" w:rsidRPr="00B62B6B">
        <w:rPr>
          <w:lang w:val="en-US"/>
        </w:rPr>
        <w:t xml:space="preserve"> and infrastructure ecosystem2020</w:t>
      </w:r>
    </w:p>
    <w:p w14:paraId="175ECC07" w14:textId="554E751E" w:rsidR="009C68F6" w:rsidRPr="00B62B6B" w:rsidRDefault="009C68F6">
      <w:pPr>
        <w:pStyle w:val="Alaviitteenteksti"/>
        <w:rPr>
          <w:lang w:val="en-US"/>
        </w:rPr>
      </w:pPr>
    </w:p>
  </w:footnote>
  <w:footnote w:id="4">
    <w:p w14:paraId="21257A7D" w14:textId="341AE2A8" w:rsidR="00236069" w:rsidRDefault="00236069">
      <w:pPr>
        <w:pStyle w:val="Alaviitteenteksti"/>
        <w:rPr>
          <w:lang w:val="en-US"/>
        </w:rPr>
      </w:pPr>
      <w:r>
        <w:rPr>
          <w:rStyle w:val="Alaviitteenviite"/>
        </w:rPr>
        <w:footnoteRef/>
      </w:r>
      <w:r w:rsidRPr="00602D1F">
        <w:rPr>
          <w:lang w:val="en-US"/>
        </w:rPr>
        <w:t xml:space="preserve"> </w:t>
      </w:r>
      <w:hyperlink r:id="rId3" w:history="1">
        <w:r w:rsidR="00944BB8">
          <w:rPr>
            <w:rStyle w:val="Hyperlinkki"/>
            <w:lang w:val="en-US"/>
          </w:rPr>
          <w:t>https://www.fdca.fi/wp-content/uploads/2025/09/FDCA-Market-Study-Impact-Modeling.pdf</w:t>
        </w:r>
      </w:hyperlink>
    </w:p>
    <w:p w14:paraId="4F32ED6E" w14:textId="6B28A6C2" w:rsidR="00FC4E17" w:rsidRPr="00FC4E17" w:rsidRDefault="00FC4E17">
      <w:pPr>
        <w:pStyle w:val="Alaviitteenteksti"/>
      </w:pPr>
      <w:r w:rsidRPr="00FC4E17">
        <w:t>Selvitys tehty siis ennen G</w:t>
      </w:r>
      <w:r>
        <w:t>ooglen 2026 ilmoittamaa 13mrd. investointia</w:t>
      </w:r>
    </w:p>
  </w:footnote>
  <w:footnote w:id="5">
    <w:p w14:paraId="50907D8C" w14:textId="287E4041" w:rsidR="00320A1C" w:rsidRDefault="00320A1C">
      <w:pPr>
        <w:pStyle w:val="Alaviitteenteksti"/>
      </w:pPr>
      <w:r>
        <w:rPr>
          <w:rStyle w:val="Alaviitteenviite"/>
        </w:rPr>
        <w:footnoteRef/>
      </w:r>
      <w:r>
        <w:t xml:space="preserve"> Sisältää</w:t>
      </w:r>
      <w:r w:rsidR="00265F74">
        <w:t xml:space="preserve"> myös</w:t>
      </w:r>
      <w:r>
        <w:t xml:space="preserve"> </w:t>
      </w:r>
      <w:r w:rsidRPr="00320A1C">
        <w:t>epäsuor</w:t>
      </w:r>
      <w:r>
        <w:t>at</w:t>
      </w:r>
      <w:r w:rsidRPr="00320A1C">
        <w:t xml:space="preserve"> ja kulutuksesta </w:t>
      </w:r>
      <w:r w:rsidR="00F909E2">
        <w:t>johtuvat</w:t>
      </w:r>
      <w:r w:rsidRPr="00320A1C">
        <w:t xml:space="preserve"> vaikutuks</w:t>
      </w:r>
      <w:r w:rsidR="00F909E2">
        <w:t>et</w:t>
      </w:r>
      <w:r w:rsidRPr="00320A1C">
        <w:t>.</w:t>
      </w:r>
    </w:p>
  </w:footnote>
  <w:footnote w:id="6">
    <w:p w14:paraId="2369432C" w14:textId="77777777" w:rsidR="00D510FA" w:rsidRDefault="00D510FA" w:rsidP="00D510FA">
      <w:pPr>
        <w:pStyle w:val="Alaviitteenteksti"/>
      </w:pPr>
      <w:r>
        <w:rPr>
          <w:rStyle w:val="Alaviitteenviite"/>
        </w:rPr>
        <w:footnoteRef/>
      </w:r>
      <w:r>
        <w:t xml:space="preserve"> Sähköstä maksetun ALV:n nettovaikutus on 0 koska suoritetut </w:t>
      </w:r>
      <w:proofErr w:type="spellStart"/>
      <w:r>
        <w:t>ALVit</w:t>
      </w:r>
      <w:proofErr w:type="spellEnd"/>
      <w:r>
        <w:t xml:space="preserve"> vähennetään omasta liiketoiminnasta.</w:t>
      </w:r>
    </w:p>
  </w:footnote>
  <w:footnote w:id="7">
    <w:p w14:paraId="0F948742" w14:textId="785F787D" w:rsidR="002B6819" w:rsidRDefault="002B6819">
      <w:pPr>
        <w:pStyle w:val="Alaviitteenteksti"/>
      </w:pPr>
      <w:r>
        <w:rPr>
          <w:rStyle w:val="Alaviitteenviite"/>
        </w:rPr>
        <w:footnoteRef/>
      </w:r>
      <w:r>
        <w:t xml:space="preserve"> </w:t>
      </w:r>
      <w:hyperlink r:id="rId4" w:history="1">
        <w:r w:rsidRPr="00D90570">
          <w:rPr>
            <w:rStyle w:val="Hyperlinkki"/>
          </w:rPr>
          <w:t>Fingrid_kehittamissuunnitelma_2024-2033.pdf</w:t>
        </w:r>
      </w:hyperlink>
    </w:p>
  </w:footnote>
  <w:footnote w:id="8">
    <w:p w14:paraId="1ED1BA57" w14:textId="01915C31" w:rsidR="00BB0F49" w:rsidRDefault="00BB0F49">
      <w:pPr>
        <w:pStyle w:val="Alaviitteenteksti"/>
      </w:pPr>
      <w:r>
        <w:rPr>
          <w:rStyle w:val="Alaviitteenviite"/>
        </w:rPr>
        <w:footnoteRef/>
      </w:r>
      <w:r>
        <w:t xml:space="preserve"> </w:t>
      </w:r>
      <w:hyperlink r:id="rId5" w:history="1">
        <w:r w:rsidRPr="001E54AD">
          <w:rPr>
            <w:rStyle w:val="Hyperlinkki"/>
          </w:rPr>
          <w:t>https://yle.fi/a/74-20219798</w:t>
        </w:r>
      </w:hyperlink>
    </w:p>
  </w:footnote>
  <w:footnote w:id="9">
    <w:p w14:paraId="11AC390F" w14:textId="554C854F" w:rsidR="00DF2C0E" w:rsidRDefault="00DF2C0E">
      <w:pPr>
        <w:pStyle w:val="Alaviitteenteksti"/>
      </w:pPr>
      <w:r>
        <w:rPr>
          <w:rStyle w:val="Alaviitteenviite"/>
        </w:rPr>
        <w:footnoteRef/>
      </w:r>
      <w:r>
        <w:t xml:space="preserve"> Liittyy </w:t>
      </w:r>
      <w:proofErr w:type="spellStart"/>
      <w:r w:rsidR="00AB24E5">
        <w:t>Fin</w:t>
      </w:r>
      <w:r w:rsidR="00003527">
        <w:t>gridin</w:t>
      </w:r>
      <w:proofErr w:type="spellEnd"/>
      <w:r w:rsidR="00003527">
        <w:t xml:space="preserve"> omaan ilmoitukseen </w:t>
      </w:r>
      <w:r w:rsidR="00CA2FC1">
        <w:t>”</w:t>
      </w:r>
      <w:r w:rsidR="00003527" w:rsidRPr="00003527">
        <w:t>Eteläisen Suomen kapasiteettirajoitteet vuosille 2027–2029 saakka</w:t>
      </w:r>
      <w:r w:rsidR="00CA2FC1">
        <w:t>”</w:t>
      </w:r>
      <w:r w:rsidRPr="00DF2C0E">
        <w:t xml:space="preserve"> kantaverkon investointien aikataulut ovat historiallisesti venyneet (lupaprosessit, materiaalitoimitukset, esim. suurmuuntajien toimitusajat), joten toteutunut aikataulu voi siirtyä tästä arviosta</w:t>
      </w:r>
    </w:p>
  </w:footnote>
  <w:footnote w:id="10">
    <w:p w14:paraId="27DE5408" w14:textId="77777777" w:rsidR="009A34EA" w:rsidRDefault="009A34EA" w:rsidP="009A34EA">
      <w:pPr>
        <w:pStyle w:val="Alaviitteenteksti"/>
      </w:pPr>
      <w:r>
        <w:rPr>
          <w:rStyle w:val="Alaviitteenviite"/>
        </w:rPr>
        <w:footnoteRef/>
      </w:r>
      <w:r>
        <w:t xml:space="preserve"> </w:t>
      </w:r>
      <w:hyperlink r:id="rId6" w:history="1">
        <w:proofErr w:type="spellStart"/>
        <w:r w:rsidRPr="000C619E">
          <w:rPr>
            <w:rStyle w:val="Hyperlinkki"/>
          </w:rPr>
          <w:t>Pervilä</w:t>
        </w:r>
        <w:proofErr w:type="spellEnd"/>
        <w:r w:rsidRPr="000C619E">
          <w:rPr>
            <w:rStyle w:val="Hyperlinkki"/>
          </w:rPr>
          <w:t xml:space="preserve"> &amp; Kangasharju, </w:t>
        </w:r>
        <w:r w:rsidRPr="000C619E">
          <w:rPr>
            <w:rStyle w:val="Hyperlinkki"/>
            <w:i/>
            <w:iCs/>
          </w:rPr>
          <w:t>Datakeskusten faktat ja fiktiot 7/2026</w:t>
        </w:r>
      </w:hyperlink>
    </w:p>
  </w:footnote>
  <w:footnote w:id="11">
    <w:p w14:paraId="732E1FFB" w14:textId="7048CD8E" w:rsidR="00194C7E" w:rsidRDefault="00194C7E">
      <w:pPr>
        <w:pStyle w:val="Alaviitteenteksti"/>
      </w:pPr>
      <w:r>
        <w:rPr>
          <w:rStyle w:val="Alaviitteenviite"/>
        </w:rPr>
        <w:footnoteRef/>
      </w:r>
      <w:r>
        <w:t xml:space="preserve"> </w:t>
      </w:r>
      <w:r w:rsidR="00F219E7">
        <w:t xml:space="preserve">Datakeskusten faktat ja fiktiot: </w:t>
      </w:r>
      <w:proofErr w:type="spellStart"/>
      <w:r w:rsidR="00F219E7">
        <w:t>Pervilä</w:t>
      </w:r>
      <w:proofErr w:type="spellEnd"/>
      <w:r w:rsidR="00F219E7">
        <w:t xml:space="preserve"> ja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2399"/>
      <w:docPartObj>
        <w:docPartGallery w:val="Page Numbers (Top of Page)"/>
        <w:docPartUnique/>
      </w:docPartObj>
    </w:sdtPr>
    <w:sdtEndPr/>
    <w:sdtContent>
      <w:p w14:paraId="51F1F8EC" w14:textId="77777777" w:rsidR="008E0F4A" w:rsidRDefault="00783B52" w:rsidP="00562E6B">
        <w:pPr>
          <w:ind w:right="-143" w:firstLine="8789"/>
          <w:jc w:val="center"/>
        </w:pPr>
        <w:r>
          <w:fldChar w:fldCharType="begin"/>
        </w:r>
        <w:r>
          <w:instrText xml:space="preserve"> PAGE   \* MERGEFORMAT </w:instrText>
        </w:r>
        <w:r>
          <w:fldChar w:fldCharType="separate"/>
        </w:r>
        <w:r>
          <w:rPr>
            <w:noProof/>
          </w:rPr>
          <w:t>2</w:t>
        </w:r>
        <w:r>
          <w:rPr>
            <w:noProof/>
          </w:rPr>
          <w:fldChar w:fldCharType="end"/>
        </w:r>
        <w:r w:rsidR="008E0F4A">
          <w:t>(</w:t>
        </w:r>
        <w:fldSimple w:instr=" NUMPAGES   \* MERGEFORMAT ">
          <w:r>
            <w:rPr>
              <w:noProof/>
            </w:rPr>
            <w:t>2</w:t>
          </w:r>
        </w:fldSimple>
        <w:r w:rsidR="008E0F4A">
          <w:t>)</w:t>
        </w:r>
      </w:p>
      <w:p w14:paraId="4AE751D2" w14:textId="77777777" w:rsidR="008E0F4A" w:rsidRDefault="008E0F4A" w:rsidP="00562E6B">
        <w:pPr>
          <w:tabs>
            <w:tab w:val="left" w:pos="5245"/>
          </w:tabs>
        </w:pPr>
        <w:r>
          <w:tab/>
        </w:r>
      </w:p>
      <w:p w14:paraId="273AC832" w14:textId="77777777" w:rsidR="00FA6ACE" w:rsidRDefault="00FA6ACE" w:rsidP="00562E6B"/>
      <w:p w14:paraId="151EF704" w14:textId="77777777" w:rsidR="008E0F4A" w:rsidRDefault="004166BD" w:rsidP="00562E6B"/>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02400"/>
      <w:docPartObj>
        <w:docPartGallery w:val="Page Numbers (Top of Page)"/>
        <w:docPartUnique/>
      </w:docPartObj>
    </w:sdtPr>
    <w:sdtEndPr/>
    <w:sdtContent>
      <w:p w14:paraId="54DEC23C" w14:textId="77777777" w:rsidR="00FA6ACE" w:rsidRDefault="00783B52" w:rsidP="00562E6B">
        <w:pPr>
          <w:ind w:right="-143" w:firstLine="8789"/>
          <w:jc w:val="right"/>
        </w:pPr>
        <w:r>
          <w:fldChar w:fldCharType="begin"/>
        </w:r>
        <w:r>
          <w:instrText xml:space="preserve"> PAGE   \* MERGEFORMAT </w:instrText>
        </w:r>
        <w:r>
          <w:fldChar w:fldCharType="separate"/>
        </w:r>
        <w:r>
          <w:rPr>
            <w:noProof/>
          </w:rPr>
          <w:t>1</w:t>
        </w:r>
        <w:r>
          <w:rPr>
            <w:noProof/>
          </w:rPr>
          <w:fldChar w:fldCharType="end"/>
        </w:r>
        <w:r w:rsidR="00FA6ACE">
          <w:t>(</w:t>
        </w:r>
        <w:fldSimple w:instr=" NUMPAGES   \* MERGEFORMAT ">
          <w:r>
            <w:rPr>
              <w:noProof/>
            </w:rPr>
            <w:t>1</w:t>
          </w:r>
        </w:fldSimple>
        <w:r w:rsidR="00FA6ACE">
          <w:t>)</w:t>
        </w:r>
      </w:p>
      <w:p w14:paraId="00CE553D" w14:textId="77777777" w:rsidR="00FA6ACE" w:rsidRDefault="004166BD" w:rsidP="00CB4C78">
        <w:pPr>
          <w:ind w:left="5245"/>
        </w:pPr>
      </w:p>
    </w:sdtContent>
  </w:sdt>
  <w:p w14:paraId="06A8A5AF" w14:textId="77777777" w:rsidR="00FA6ACE" w:rsidRDefault="00FA6ACE" w:rsidP="00CB4C78"/>
  <w:p w14:paraId="0EE8D79C" w14:textId="77777777" w:rsidR="00CB4C78" w:rsidRDefault="00CB4C78" w:rsidP="00CB4C7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33E"/>
    <w:multiLevelType w:val="hybridMultilevel"/>
    <w:tmpl w:val="E1DEBAE8"/>
    <w:lvl w:ilvl="0" w:tplc="72E2B9CA">
      <w:start w:val="1"/>
      <w:numFmt w:val="bullet"/>
      <w:pStyle w:val="VMLuettelonkappaletyyppi"/>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1" w15:restartNumberingAfterBreak="0">
    <w:nsid w:val="093D12DF"/>
    <w:multiLevelType w:val="multilevel"/>
    <w:tmpl w:val="D520AE78"/>
    <w:lvl w:ilvl="0">
      <w:start w:val="1"/>
      <w:numFmt w:val="bullet"/>
      <w:pStyle w:val="VMLuettelotyylipallukka"/>
      <w:lvlText w:val=""/>
      <w:lvlJc w:val="left"/>
      <w:pPr>
        <w:tabs>
          <w:tab w:val="num" w:pos="2968"/>
        </w:tabs>
        <w:ind w:left="2968" w:hanging="360"/>
      </w:pPr>
      <w:rPr>
        <w:rFonts w:ascii="Symbol" w:hAnsi="Symbol" w:hint="default"/>
        <w:sz w:val="24"/>
      </w:rPr>
    </w:lvl>
    <w:lvl w:ilvl="1">
      <w:start w:val="1"/>
      <w:numFmt w:val="bullet"/>
      <w:lvlText w:val="-"/>
      <w:lvlJc w:val="left"/>
      <w:pPr>
        <w:tabs>
          <w:tab w:val="num" w:pos="3798"/>
        </w:tabs>
        <w:ind w:left="3798" w:hanging="360"/>
      </w:pPr>
      <w:rPr>
        <w:rFonts w:ascii="Times New Roman" w:hAnsi="Times New Roman" w:cs="Times New Roman" w:hint="default"/>
        <w:sz w:val="24"/>
      </w:rPr>
    </w:lvl>
    <w:lvl w:ilvl="2">
      <w:start w:val="1"/>
      <w:numFmt w:val="bullet"/>
      <w:lvlText w:val="-"/>
      <w:lvlJc w:val="left"/>
      <w:pPr>
        <w:tabs>
          <w:tab w:val="num" w:pos="4518"/>
        </w:tabs>
        <w:ind w:left="4518" w:hanging="360"/>
      </w:pPr>
      <w:rPr>
        <w:rFonts w:ascii="Times New Roman" w:hAnsi="Times New Roman" w:cs="Times New Roman" w:hint="default"/>
        <w:sz w:val="24"/>
      </w:rPr>
    </w:lvl>
    <w:lvl w:ilvl="3">
      <w:start w:val="1"/>
      <w:numFmt w:val="bullet"/>
      <w:lvlText w:val="-"/>
      <w:lvlJc w:val="left"/>
      <w:pPr>
        <w:tabs>
          <w:tab w:val="num" w:pos="5238"/>
        </w:tabs>
        <w:ind w:left="5238" w:hanging="360"/>
      </w:pPr>
      <w:rPr>
        <w:rFonts w:ascii="Times New Roman" w:hAnsi="Times New Roman" w:cs="Times New Roman" w:hint="default"/>
        <w:sz w:val="24"/>
      </w:rPr>
    </w:lvl>
    <w:lvl w:ilvl="4">
      <w:start w:val="1"/>
      <w:numFmt w:val="bullet"/>
      <w:lvlText w:val="-"/>
      <w:lvlJc w:val="left"/>
      <w:pPr>
        <w:tabs>
          <w:tab w:val="num" w:pos="5958"/>
        </w:tabs>
        <w:ind w:left="5958" w:hanging="360"/>
      </w:pPr>
      <w:rPr>
        <w:rFonts w:ascii="Times New Roman" w:hAnsi="Times New Roman" w:cs="Times New Roman" w:hint="default"/>
        <w:sz w:val="24"/>
      </w:rPr>
    </w:lvl>
    <w:lvl w:ilvl="5">
      <w:start w:val="1"/>
      <w:numFmt w:val="bullet"/>
      <w:lvlText w:val="-"/>
      <w:lvlJc w:val="left"/>
      <w:pPr>
        <w:tabs>
          <w:tab w:val="num" w:pos="6678"/>
        </w:tabs>
        <w:ind w:left="6678" w:hanging="360"/>
      </w:pPr>
      <w:rPr>
        <w:rFonts w:ascii="Times New Roman" w:hAnsi="Times New Roman" w:cs="Times New Roman" w:hint="default"/>
        <w:sz w:val="24"/>
      </w:rPr>
    </w:lvl>
    <w:lvl w:ilvl="6">
      <w:start w:val="1"/>
      <w:numFmt w:val="bullet"/>
      <w:lvlText w:val="-"/>
      <w:lvlJc w:val="left"/>
      <w:pPr>
        <w:tabs>
          <w:tab w:val="num" w:pos="7398"/>
        </w:tabs>
        <w:ind w:left="7398" w:hanging="360"/>
      </w:pPr>
      <w:rPr>
        <w:rFonts w:ascii="Times New Roman" w:hAnsi="Times New Roman" w:cs="Times New Roman" w:hint="default"/>
        <w:sz w:val="24"/>
      </w:rPr>
    </w:lvl>
    <w:lvl w:ilvl="7">
      <w:start w:val="1"/>
      <w:numFmt w:val="bullet"/>
      <w:lvlText w:val="-"/>
      <w:lvlJc w:val="left"/>
      <w:pPr>
        <w:tabs>
          <w:tab w:val="num" w:pos="8118"/>
        </w:tabs>
        <w:ind w:left="8118" w:hanging="360"/>
      </w:pPr>
      <w:rPr>
        <w:rFonts w:ascii="Times New Roman" w:hAnsi="Times New Roman" w:cs="Times New Roman" w:hint="default"/>
        <w:sz w:val="24"/>
      </w:rPr>
    </w:lvl>
    <w:lvl w:ilvl="8">
      <w:start w:val="1"/>
      <w:numFmt w:val="bullet"/>
      <w:lvlText w:val="-"/>
      <w:lvlJc w:val="left"/>
      <w:pPr>
        <w:tabs>
          <w:tab w:val="num" w:pos="8838"/>
        </w:tabs>
        <w:ind w:left="8838" w:hanging="360"/>
      </w:pPr>
      <w:rPr>
        <w:rFonts w:ascii="Times New Roman" w:hAnsi="Times New Roman" w:cs="Times New Roman" w:hint="default"/>
        <w:sz w:val="24"/>
      </w:rPr>
    </w:lvl>
  </w:abstractNum>
  <w:abstractNum w:abstractNumId="2" w15:restartNumberingAfterBreak="0">
    <w:nsid w:val="0A86678E"/>
    <w:multiLevelType w:val="hybridMultilevel"/>
    <w:tmpl w:val="49546CE4"/>
    <w:lvl w:ilvl="0" w:tplc="040B0001">
      <w:numFmt w:val="bullet"/>
      <w:lvlText w:val=""/>
      <w:lvlJc w:val="left"/>
      <w:pPr>
        <w:ind w:left="720" w:hanging="360"/>
      </w:pPr>
      <w:rPr>
        <w:rFonts w:ascii="Symbol" w:eastAsia="Times New Roman" w:hAnsi="Symbol"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D3D12CF"/>
    <w:multiLevelType w:val="multilevel"/>
    <w:tmpl w:val="81CABD28"/>
    <w:lvl w:ilvl="0">
      <w:start w:val="1"/>
      <w:numFmt w:val="decimal"/>
      <w:pStyle w:val="VMOtsikkonum1"/>
      <w:suff w:val="space"/>
      <w:lvlText w:val="%1"/>
      <w:lvlJc w:val="left"/>
      <w:pPr>
        <w:ind w:left="720" w:hanging="720"/>
      </w:pPr>
      <w:rPr>
        <w:rFonts w:hint="default"/>
      </w:rPr>
    </w:lvl>
    <w:lvl w:ilvl="1">
      <w:start w:val="1"/>
      <w:numFmt w:val="decimal"/>
      <w:pStyle w:val="VMOtsikkonum2"/>
      <w:suff w:val="space"/>
      <w:lvlText w:val="%1.%2"/>
      <w:lvlJc w:val="left"/>
      <w:pPr>
        <w:ind w:left="1151" w:hanging="1151"/>
      </w:pPr>
      <w:rPr>
        <w:rFonts w:hint="default"/>
      </w:rPr>
    </w:lvl>
    <w:lvl w:ilvl="2">
      <w:start w:val="1"/>
      <w:numFmt w:val="decimal"/>
      <w:pStyle w:val="VMOtsikkonum3"/>
      <w:suff w:val="space"/>
      <w:lvlText w:val="%1.%2.%3"/>
      <w:lvlJc w:val="left"/>
      <w:pPr>
        <w:ind w:left="1582" w:hanging="1582"/>
      </w:pPr>
      <w:rPr>
        <w:rFonts w:hint="default"/>
      </w:rPr>
    </w:lvl>
    <w:lvl w:ilvl="3">
      <w:start w:val="1"/>
      <w:numFmt w:val="decimal"/>
      <w:lvlText w:val="%1.%2.%3.%4."/>
      <w:lvlJc w:val="left"/>
      <w:pPr>
        <w:tabs>
          <w:tab w:val="num" w:pos="3204"/>
        </w:tabs>
        <w:ind w:left="3204" w:hanging="794"/>
      </w:pPr>
      <w:rPr>
        <w:rFonts w:hint="default"/>
      </w:rPr>
    </w:lvl>
    <w:lvl w:ilvl="4">
      <w:start w:val="1"/>
      <w:numFmt w:val="decimal"/>
      <w:lvlText w:val="%1.%2.%3.%4.%5."/>
      <w:lvlJc w:val="left"/>
      <w:pPr>
        <w:tabs>
          <w:tab w:val="num" w:pos="3374"/>
        </w:tabs>
        <w:ind w:left="3374" w:hanging="964"/>
      </w:pPr>
      <w:rPr>
        <w:rFonts w:hint="default"/>
      </w:rPr>
    </w:lvl>
    <w:lvl w:ilvl="5">
      <w:start w:val="1"/>
      <w:numFmt w:val="decimal"/>
      <w:lvlText w:val="%1.%2.%3.%4.%5.%6."/>
      <w:lvlJc w:val="left"/>
      <w:pPr>
        <w:tabs>
          <w:tab w:val="num" w:pos="3544"/>
        </w:tabs>
        <w:ind w:left="3544" w:hanging="1134"/>
      </w:pPr>
      <w:rPr>
        <w:rFonts w:hint="default"/>
      </w:rPr>
    </w:lvl>
    <w:lvl w:ilvl="6">
      <w:start w:val="1"/>
      <w:numFmt w:val="decimal"/>
      <w:lvlText w:val="%1.%2.%3.%4.%5.%6.%7."/>
      <w:lvlJc w:val="left"/>
      <w:pPr>
        <w:tabs>
          <w:tab w:val="num" w:pos="3657"/>
        </w:tabs>
        <w:ind w:left="3657" w:hanging="1247"/>
      </w:pPr>
      <w:rPr>
        <w:rFonts w:hint="default"/>
      </w:rPr>
    </w:lvl>
    <w:lvl w:ilvl="7">
      <w:start w:val="1"/>
      <w:numFmt w:val="decimal"/>
      <w:lvlText w:val="%1.%2.%3.%4.%5.%6.%7.%8."/>
      <w:lvlJc w:val="left"/>
      <w:pPr>
        <w:tabs>
          <w:tab w:val="num" w:pos="3828"/>
        </w:tabs>
        <w:ind w:left="3828" w:hanging="1418"/>
      </w:pPr>
      <w:rPr>
        <w:rFonts w:hint="default"/>
      </w:rPr>
    </w:lvl>
    <w:lvl w:ilvl="8">
      <w:start w:val="1"/>
      <w:numFmt w:val="decimal"/>
      <w:lvlText w:val="%1.%2.%3.%4.%5.%6.%7.%8.%9."/>
      <w:lvlJc w:val="left"/>
      <w:pPr>
        <w:tabs>
          <w:tab w:val="num" w:pos="3941"/>
        </w:tabs>
        <w:ind w:left="3941" w:hanging="1531"/>
      </w:pPr>
      <w:rPr>
        <w:rFonts w:hint="default"/>
      </w:rPr>
    </w:lvl>
  </w:abstractNum>
  <w:abstractNum w:abstractNumId="4" w15:restartNumberingAfterBreak="0">
    <w:nsid w:val="18261981"/>
    <w:multiLevelType w:val="multilevel"/>
    <w:tmpl w:val="555A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C21B90"/>
    <w:multiLevelType w:val="hybridMultilevel"/>
    <w:tmpl w:val="46AECF36"/>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2ED1405E"/>
    <w:multiLevelType w:val="multilevel"/>
    <w:tmpl w:val="342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C2D5A"/>
    <w:multiLevelType w:val="hybridMultilevel"/>
    <w:tmpl w:val="4B5A122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30FE2A85"/>
    <w:multiLevelType w:val="hybridMultilevel"/>
    <w:tmpl w:val="3E64D34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9" w15:restartNumberingAfterBreak="0">
    <w:nsid w:val="33783C33"/>
    <w:multiLevelType w:val="multilevel"/>
    <w:tmpl w:val="51E4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F965BF"/>
    <w:multiLevelType w:val="multilevel"/>
    <w:tmpl w:val="4252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A2CAE"/>
    <w:multiLevelType w:val="multilevel"/>
    <w:tmpl w:val="040B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5BD5801"/>
    <w:multiLevelType w:val="multilevel"/>
    <w:tmpl w:val="E3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9058F"/>
    <w:multiLevelType w:val="hybridMultilevel"/>
    <w:tmpl w:val="EDB0135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42976FDE"/>
    <w:multiLevelType w:val="multilevel"/>
    <w:tmpl w:val="B9C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250E65"/>
    <w:multiLevelType w:val="multilevel"/>
    <w:tmpl w:val="B156CCBC"/>
    <w:lvl w:ilvl="0">
      <w:start w:val="1"/>
      <w:numFmt w:val="decimal"/>
      <w:suff w:val="space"/>
      <w:lvlText w:val="%1"/>
      <w:lvlJc w:val="left"/>
      <w:pPr>
        <w:ind w:left="720" w:hanging="720"/>
      </w:pPr>
      <w:rPr>
        <w:rFonts w:hint="default"/>
      </w:rPr>
    </w:lvl>
    <w:lvl w:ilvl="1">
      <w:start w:val="1"/>
      <w:numFmt w:val="decimal"/>
      <w:suff w:val="space"/>
      <w:lvlText w:val="%1.%2"/>
      <w:lvlJc w:val="left"/>
      <w:pPr>
        <w:ind w:left="1152" w:hanging="1152"/>
      </w:pPr>
      <w:rPr>
        <w:rFonts w:hint="default"/>
      </w:rPr>
    </w:lvl>
    <w:lvl w:ilvl="2">
      <w:start w:val="1"/>
      <w:numFmt w:val="decimal"/>
      <w:suff w:val="space"/>
      <w:lvlText w:val="%1.%2.%3"/>
      <w:lvlJc w:val="left"/>
      <w:pPr>
        <w:ind w:left="1584" w:hanging="1584"/>
      </w:pPr>
      <w:rPr>
        <w:rFonts w:hint="default"/>
      </w:rPr>
    </w:lvl>
    <w:lvl w:ilvl="3">
      <w:start w:val="1"/>
      <w:numFmt w:val="decimal"/>
      <w:lvlText w:val="%1.%2.%3.%4."/>
      <w:lvlJc w:val="left"/>
      <w:pPr>
        <w:tabs>
          <w:tab w:val="num" w:pos="3240"/>
        </w:tabs>
        <w:ind w:left="2088" w:hanging="648"/>
      </w:pPr>
      <w:rPr>
        <w:rFonts w:hint="default"/>
      </w:rPr>
    </w:lvl>
    <w:lvl w:ilvl="4">
      <w:start w:val="1"/>
      <w:numFmt w:val="decimal"/>
      <w:lvlText w:val="%1.%2.%3.%4.%5."/>
      <w:lvlJc w:val="left"/>
      <w:pPr>
        <w:tabs>
          <w:tab w:val="num" w:pos="3960"/>
        </w:tabs>
        <w:ind w:left="2592" w:hanging="792"/>
      </w:pPr>
      <w:rPr>
        <w:rFonts w:hint="default"/>
      </w:rPr>
    </w:lvl>
    <w:lvl w:ilvl="5">
      <w:start w:val="1"/>
      <w:numFmt w:val="decimal"/>
      <w:lvlText w:val="%1.%2.%3.%4.%5.%6."/>
      <w:lvlJc w:val="left"/>
      <w:pPr>
        <w:tabs>
          <w:tab w:val="num" w:pos="4680"/>
        </w:tabs>
        <w:ind w:left="3096" w:hanging="936"/>
      </w:pPr>
      <w:rPr>
        <w:rFonts w:hint="default"/>
      </w:rPr>
    </w:lvl>
    <w:lvl w:ilvl="6">
      <w:start w:val="1"/>
      <w:numFmt w:val="decimal"/>
      <w:lvlText w:val="%1.%2.%3.%4.%5.%6.%7."/>
      <w:lvlJc w:val="left"/>
      <w:pPr>
        <w:tabs>
          <w:tab w:val="num" w:pos="5400"/>
        </w:tabs>
        <w:ind w:left="3600" w:hanging="1080"/>
      </w:pPr>
      <w:rPr>
        <w:rFonts w:hint="default"/>
      </w:rPr>
    </w:lvl>
    <w:lvl w:ilvl="7">
      <w:start w:val="1"/>
      <w:numFmt w:val="decimal"/>
      <w:lvlText w:val="%1.%2.%3.%4.%5.%6.%7.%8."/>
      <w:lvlJc w:val="left"/>
      <w:pPr>
        <w:tabs>
          <w:tab w:val="num" w:pos="6120"/>
        </w:tabs>
        <w:ind w:left="4104" w:hanging="1224"/>
      </w:pPr>
      <w:rPr>
        <w:rFonts w:hint="default"/>
      </w:rPr>
    </w:lvl>
    <w:lvl w:ilvl="8">
      <w:start w:val="1"/>
      <w:numFmt w:val="decimal"/>
      <w:lvlText w:val="%1.%2.%3.%4.%5.%6.%7.%8.%9."/>
      <w:lvlJc w:val="left"/>
      <w:pPr>
        <w:tabs>
          <w:tab w:val="num" w:pos="6840"/>
        </w:tabs>
        <w:ind w:left="4680" w:hanging="1440"/>
      </w:pPr>
      <w:rPr>
        <w:rFonts w:hint="default"/>
      </w:rPr>
    </w:lvl>
  </w:abstractNum>
  <w:abstractNum w:abstractNumId="16" w15:restartNumberingAfterBreak="0">
    <w:nsid w:val="4CCD2A04"/>
    <w:multiLevelType w:val="multilevel"/>
    <w:tmpl w:val="129A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47004"/>
    <w:multiLevelType w:val="multilevel"/>
    <w:tmpl w:val="3408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DA1F29"/>
    <w:multiLevelType w:val="hybridMultilevel"/>
    <w:tmpl w:val="8B34DBE2"/>
    <w:lvl w:ilvl="0" w:tplc="0736E888">
      <w:start w:val="1"/>
      <w:numFmt w:val="decimal"/>
      <w:pStyle w:val="VMAsiakohta"/>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5BB57D34"/>
    <w:multiLevelType w:val="multilevel"/>
    <w:tmpl w:val="241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07048"/>
    <w:multiLevelType w:val="hybridMultilevel"/>
    <w:tmpl w:val="BDB8BA8A"/>
    <w:lvl w:ilvl="0" w:tplc="07C808B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1" w15:restartNumberingAfterBreak="0">
    <w:nsid w:val="68D044DD"/>
    <w:multiLevelType w:val="multilevel"/>
    <w:tmpl w:val="2E3A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7E1E0F"/>
    <w:multiLevelType w:val="hybridMultilevel"/>
    <w:tmpl w:val="E8A6DD78"/>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77DE4E84"/>
    <w:multiLevelType w:val="multilevel"/>
    <w:tmpl w:val="B828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72237"/>
    <w:multiLevelType w:val="hybridMultilevel"/>
    <w:tmpl w:val="A9B63BAC"/>
    <w:lvl w:ilvl="0" w:tplc="DBEA1990">
      <w:start w:val="1"/>
      <w:numFmt w:val="decimal"/>
      <w:pStyle w:val="VMluettelonumeroin"/>
      <w:lvlText w:val="%1"/>
      <w:lvlJc w:val="left"/>
      <w:pPr>
        <w:ind w:left="3328" w:hanging="360"/>
      </w:pPr>
      <w:rPr>
        <w:rFonts w:hint="default"/>
      </w:rPr>
    </w:lvl>
    <w:lvl w:ilvl="1" w:tplc="040B0019" w:tentative="1">
      <w:start w:val="1"/>
      <w:numFmt w:val="lowerLetter"/>
      <w:lvlText w:val="%2."/>
      <w:lvlJc w:val="left"/>
      <w:pPr>
        <w:ind w:left="4048" w:hanging="360"/>
      </w:pPr>
    </w:lvl>
    <w:lvl w:ilvl="2" w:tplc="040B001B" w:tentative="1">
      <w:start w:val="1"/>
      <w:numFmt w:val="lowerRoman"/>
      <w:lvlText w:val="%3."/>
      <w:lvlJc w:val="right"/>
      <w:pPr>
        <w:ind w:left="4768" w:hanging="180"/>
      </w:pPr>
    </w:lvl>
    <w:lvl w:ilvl="3" w:tplc="040B000F" w:tentative="1">
      <w:start w:val="1"/>
      <w:numFmt w:val="decimal"/>
      <w:lvlText w:val="%4."/>
      <w:lvlJc w:val="left"/>
      <w:pPr>
        <w:ind w:left="5488" w:hanging="360"/>
      </w:pPr>
    </w:lvl>
    <w:lvl w:ilvl="4" w:tplc="040B0019" w:tentative="1">
      <w:start w:val="1"/>
      <w:numFmt w:val="lowerLetter"/>
      <w:lvlText w:val="%5."/>
      <w:lvlJc w:val="left"/>
      <w:pPr>
        <w:ind w:left="6208" w:hanging="360"/>
      </w:pPr>
    </w:lvl>
    <w:lvl w:ilvl="5" w:tplc="040B001B" w:tentative="1">
      <w:start w:val="1"/>
      <w:numFmt w:val="lowerRoman"/>
      <w:lvlText w:val="%6."/>
      <w:lvlJc w:val="right"/>
      <w:pPr>
        <w:ind w:left="6928" w:hanging="180"/>
      </w:pPr>
    </w:lvl>
    <w:lvl w:ilvl="6" w:tplc="040B000F" w:tentative="1">
      <w:start w:val="1"/>
      <w:numFmt w:val="decimal"/>
      <w:lvlText w:val="%7."/>
      <w:lvlJc w:val="left"/>
      <w:pPr>
        <w:ind w:left="7648" w:hanging="360"/>
      </w:pPr>
    </w:lvl>
    <w:lvl w:ilvl="7" w:tplc="040B0019" w:tentative="1">
      <w:start w:val="1"/>
      <w:numFmt w:val="lowerLetter"/>
      <w:lvlText w:val="%8."/>
      <w:lvlJc w:val="left"/>
      <w:pPr>
        <w:ind w:left="8368" w:hanging="360"/>
      </w:pPr>
    </w:lvl>
    <w:lvl w:ilvl="8" w:tplc="040B001B" w:tentative="1">
      <w:start w:val="1"/>
      <w:numFmt w:val="lowerRoman"/>
      <w:lvlText w:val="%9."/>
      <w:lvlJc w:val="right"/>
      <w:pPr>
        <w:ind w:left="9088" w:hanging="180"/>
      </w:pPr>
    </w:lvl>
  </w:abstractNum>
  <w:num w:numId="1" w16cid:durableId="1228764815">
    <w:abstractNumId w:val="18"/>
  </w:num>
  <w:num w:numId="2" w16cid:durableId="2096895987">
    <w:abstractNumId w:val="24"/>
  </w:num>
  <w:num w:numId="3" w16cid:durableId="1552495759">
    <w:abstractNumId w:val="0"/>
  </w:num>
  <w:num w:numId="4" w16cid:durableId="1334839319">
    <w:abstractNumId w:val="1"/>
  </w:num>
  <w:num w:numId="5" w16cid:durableId="785275399">
    <w:abstractNumId w:val="20"/>
  </w:num>
  <w:num w:numId="6" w16cid:durableId="290402669">
    <w:abstractNumId w:val="15"/>
  </w:num>
  <w:num w:numId="7" w16cid:durableId="293100519">
    <w:abstractNumId w:val="15"/>
  </w:num>
  <w:num w:numId="8" w16cid:durableId="128011195">
    <w:abstractNumId w:val="3"/>
  </w:num>
  <w:num w:numId="9" w16cid:durableId="343096101">
    <w:abstractNumId w:val="23"/>
  </w:num>
  <w:num w:numId="10" w16cid:durableId="944264171">
    <w:abstractNumId w:val="2"/>
  </w:num>
  <w:num w:numId="11" w16cid:durableId="208104691">
    <w:abstractNumId w:val="19"/>
  </w:num>
  <w:num w:numId="12" w16cid:durableId="1572889604">
    <w:abstractNumId w:val="12"/>
  </w:num>
  <w:num w:numId="13" w16cid:durableId="147134653">
    <w:abstractNumId w:val="9"/>
  </w:num>
  <w:num w:numId="14" w16cid:durableId="1779595269">
    <w:abstractNumId w:val="4"/>
  </w:num>
  <w:num w:numId="15" w16cid:durableId="528108568">
    <w:abstractNumId w:val="22"/>
  </w:num>
  <w:num w:numId="16" w16cid:durableId="1893467710">
    <w:abstractNumId w:val="8"/>
  </w:num>
  <w:num w:numId="17" w16cid:durableId="1187717628">
    <w:abstractNumId w:val="21"/>
  </w:num>
  <w:num w:numId="18" w16cid:durableId="890654535">
    <w:abstractNumId w:val="5"/>
  </w:num>
  <w:num w:numId="19" w16cid:durableId="479034380">
    <w:abstractNumId w:val="11"/>
  </w:num>
  <w:num w:numId="20" w16cid:durableId="471480314">
    <w:abstractNumId w:val="7"/>
  </w:num>
  <w:num w:numId="21" w16cid:durableId="980615188">
    <w:abstractNumId w:val="13"/>
  </w:num>
  <w:num w:numId="22" w16cid:durableId="2018269191">
    <w:abstractNumId w:val="10"/>
  </w:num>
  <w:num w:numId="23" w16cid:durableId="1061752760">
    <w:abstractNumId w:val="6"/>
  </w:num>
  <w:num w:numId="24" w16cid:durableId="2127502">
    <w:abstractNumId w:val="14"/>
  </w:num>
  <w:num w:numId="25" w16cid:durableId="925843555">
    <w:abstractNumId w:val="17"/>
  </w:num>
  <w:num w:numId="26" w16cid:durableId="379745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autoHyphenation/>
  <w:hyphenationZone w:val="425"/>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AA"/>
    <w:rsid w:val="00002883"/>
    <w:rsid w:val="0000306F"/>
    <w:rsid w:val="00003527"/>
    <w:rsid w:val="00007D1B"/>
    <w:rsid w:val="00012120"/>
    <w:rsid w:val="00016E55"/>
    <w:rsid w:val="00020721"/>
    <w:rsid w:val="00021840"/>
    <w:rsid w:val="0003182E"/>
    <w:rsid w:val="00040F43"/>
    <w:rsid w:val="000419F6"/>
    <w:rsid w:val="00053D44"/>
    <w:rsid w:val="000547F2"/>
    <w:rsid w:val="00056207"/>
    <w:rsid w:val="00063ECB"/>
    <w:rsid w:val="000644C1"/>
    <w:rsid w:val="00075991"/>
    <w:rsid w:val="00090730"/>
    <w:rsid w:val="00090F8E"/>
    <w:rsid w:val="000A7DAE"/>
    <w:rsid w:val="000B3024"/>
    <w:rsid w:val="000C0A93"/>
    <w:rsid w:val="000C272A"/>
    <w:rsid w:val="000C360B"/>
    <w:rsid w:val="000C3E9C"/>
    <w:rsid w:val="000C5343"/>
    <w:rsid w:val="000C619E"/>
    <w:rsid w:val="000D3094"/>
    <w:rsid w:val="000D3235"/>
    <w:rsid w:val="000D6007"/>
    <w:rsid w:val="000E5269"/>
    <w:rsid w:val="000E56B5"/>
    <w:rsid w:val="000E5F97"/>
    <w:rsid w:val="000E7213"/>
    <w:rsid w:val="001044F9"/>
    <w:rsid w:val="001107E9"/>
    <w:rsid w:val="00131542"/>
    <w:rsid w:val="00132A28"/>
    <w:rsid w:val="00135293"/>
    <w:rsid w:val="00142724"/>
    <w:rsid w:val="001431B7"/>
    <w:rsid w:val="00144D34"/>
    <w:rsid w:val="00147111"/>
    <w:rsid w:val="00155F3B"/>
    <w:rsid w:val="001568CF"/>
    <w:rsid w:val="001675CC"/>
    <w:rsid w:val="001748BB"/>
    <w:rsid w:val="00176EE9"/>
    <w:rsid w:val="001776E9"/>
    <w:rsid w:val="0018357A"/>
    <w:rsid w:val="0018377A"/>
    <w:rsid w:val="00186BB3"/>
    <w:rsid w:val="001945DB"/>
    <w:rsid w:val="00194C7E"/>
    <w:rsid w:val="001B078B"/>
    <w:rsid w:val="001C7F77"/>
    <w:rsid w:val="001E2FFE"/>
    <w:rsid w:val="001E3AE1"/>
    <w:rsid w:val="001E5F86"/>
    <w:rsid w:val="001E7BDF"/>
    <w:rsid w:val="001F1D43"/>
    <w:rsid w:val="001F70AF"/>
    <w:rsid w:val="001F7856"/>
    <w:rsid w:val="002059CA"/>
    <w:rsid w:val="00207E64"/>
    <w:rsid w:val="00210152"/>
    <w:rsid w:val="002112AF"/>
    <w:rsid w:val="00236069"/>
    <w:rsid w:val="002373F4"/>
    <w:rsid w:val="00240996"/>
    <w:rsid w:val="002444AE"/>
    <w:rsid w:val="002453E2"/>
    <w:rsid w:val="00245466"/>
    <w:rsid w:val="0025246C"/>
    <w:rsid w:val="00252E2C"/>
    <w:rsid w:val="002626C8"/>
    <w:rsid w:val="00262FC4"/>
    <w:rsid w:val="00265F74"/>
    <w:rsid w:val="00271BD9"/>
    <w:rsid w:val="00271D40"/>
    <w:rsid w:val="0027571B"/>
    <w:rsid w:val="00281A7D"/>
    <w:rsid w:val="00283CA0"/>
    <w:rsid w:val="0028518F"/>
    <w:rsid w:val="00292DED"/>
    <w:rsid w:val="0029518E"/>
    <w:rsid w:val="002979F5"/>
    <w:rsid w:val="002A13C4"/>
    <w:rsid w:val="002A2DB0"/>
    <w:rsid w:val="002A7639"/>
    <w:rsid w:val="002B0A55"/>
    <w:rsid w:val="002B45C6"/>
    <w:rsid w:val="002B4BB0"/>
    <w:rsid w:val="002B6819"/>
    <w:rsid w:val="002C219D"/>
    <w:rsid w:val="002D31CC"/>
    <w:rsid w:val="002D5C12"/>
    <w:rsid w:val="002D72CF"/>
    <w:rsid w:val="002E7A49"/>
    <w:rsid w:val="002F3A57"/>
    <w:rsid w:val="002F3A70"/>
    <w:rsid w:val="00300911"/>
    <w:rsid w:val="00307C47"/>
    <w:rsid w:val="00307D8E"/>
    <w:rsid w:val="00307D93"/>
    <w:rsid w:val="00320A1C"/>
    <w:rsid w:val="00320C66"/>
    <w:rsid w:val="003232BF"/>
    <w:rsid w:val="003268C9"/>
    <w:rsid w:val="00346B03"/>
    <w:rsid w:val="003555E5"/>
    <w:rsid w:val="003634C5"/>
    <w:rsid w:val="00364F74"/>
    <w:rsid w:val="0036628D"/>
    <w:rsid w:val="003664C0"/>
    <w:rsid w:val="00367C90"/>
    <w:rsid w:val="003777FF"/>
    <w:rsid w:val="00390FC2"/>
    <w:rsid w:val="00393411"/>
    <w:rsid w:val="003A2869"/>
    <w:rsid w:val="003A2EFC"/>
    <w:rsid w:val="003A6E11"/>
    <w:rsid w:val="003B5EA8"/>
    <w:rsid w:val="003C08FE"/>
    <w:rsid w:val="003D2ABE"/>
    <w:rsid w:val="003F4013"/>
    <w:rsid w:val="003F70A4"/>
    <w:rsid w:val="00410342"/>
    <w:rsid w:val="00414969"/>
    <w:rsid w:val="00414FB8"/>
    <w:rsid w:val="004166BD"/>
    <w:rsid w:val="004272C6"/>
    <w:rsid w:val="00440480"/>
    <w:rsid w:val="00446453"/>
    <w:rsid w:val="004468FD"/>
    <w:rsid w:val="00446E3A"/>
    <w:rsid w:val="0045754B"/>
    <w:rsid w:val="004636AE"/>
    <w:rsid w:val="0046385F"/>
    <w:rsid w:val="0047233E"/>
    <w:rsid w:val="004816CA"/>
    <w:rsid w:val="0048209F"/>
    <w:rsid w:val="00485358"/>
    <w:rsid w:val="00486BE8"/>
    <w:rsid w:val="0049639B"/>
    <w:rsid w:val="004A196F"/>
    <w:rsid w:val="004B13AB"/>
    <w:rsid w:val="004B7749"/>
    <w:rsid w:val="004C1C69"/>
    <w:rsid w:val="004C5212"/>
    <w:rsid w:val="004C6B33"/>
    <w:rsid w:val="004D176F"/>
    <w:rsid w:val="004D67CB"/>
    <w:rsid w:val="004D724F"/>
    <w:rsid w:val="004F2C3B"/>
    <w:rsid w:val="004F7D87"/>
    <w:rsid w:val="005009A7"/>
    <w:rsid w:val="00507CD7"/>
    <w:rsid w:val="005146D4"/>
    <w:rsid w:val="0051596E"/>
    <w:rsid w:val="00517A74"/>
    <w:rsid w:val="005207C1"/>
    <w:rsid w:val="005215A3"/>
    <w:rsid w:val="00543EE3"/>
    <w:rsid w:val="00545EA4"/>
    <w:rsid w:val="005512A4"/>
    <w:rsid w:val="00557573"/>
    <w:rsid w:val="00560071"/>
    <w:rsid w:val="0056293B"/>
    <w:rsid w:val="00562E6B"/>
    <w:rsid w:val="00566E58"/>
    <w:rsid w:val="0057575D"/>
    <w:rsid w:val="005809BD"/>
    <w:rsid w:val="005834E9"/>
    <w:rsid w:val="00593C74"/>
    <w:rsid w:val="0059671F"/>
    <w:rsid w:val="005B21D2"/>
    <w:rsid w:val="005B72B7"/>
    <w:rsid w:val="005C6AAE"/>
    <w:rsid w:val="005E72EF"/>
    <w:rsid w:val="005E7FDD"/>
    <w:rsid w:val="00602D1F"/>
    <w:rsid w:val="006131C2"/>
    <w:rsid w:val="00613699"/>
    <w:rsid w:val="00613FBB"/>
    <w:rsid w:val="0061444E"/>
    <w:rsid w:val="00627552"/>
    <w:rsid w:val="00634561"/>
    <w:rsid w:val="006366BC"/>
    <w:rsid w:val="00654D5E"/>
    <w:rsid w:val="00664BDE"/>
    <w:rsid w:val="00667145"/>
    <w:rsid w:val="00672898"/>
    <w:rsid w:val="0067349F"/>
    <w:rsid w:val="00673651"/>
    <w:rsid w:val="00676841"/>
    <w:rsid w:val="00686FCD"/>
    <w:rsid w:val="006939C0"/>
    <w:rsid w:val="006A4A91"/>
    <w:rsid w:val="006A688E"/>
    <w:rsid w:val="006B2F9A"/>
    <w:rsid w:val="006B3892"/>
    <w:rsid w:val="006B6FA6"/>
    <w:rsid w:val="006C4E6C"/>
    <w:rsid w:val="006C5787"/>
    <w:rsid w:val="006D40F8"/>
    <w:rsid w:val="006D662F"/>
    <w:rsid w:val="006D6C2D"/>
    <w:rsid w:val="006E5763"/>
    <w:rsid w:val="006F5DBC"/>
    <w:rsid w:val="0070082D"/>
    <w:rsid w:val="0070727F"/>
    <w:rsid w:val="00712D91"/>
    <w:rsid w:val="00722420"/>
    <w:rsid w:val="00722A69"/>
    <w:rsid w:val="00727E5F"/>
    <w:rsid w:val="0073126C"/>
    <w:rsid w:val="007339C7"/>
    <w:rsid w:val="007475BE"/>
    <w:rsid w:val="0075057F"/>
    <w:rsid w:val="00757A42"/>
    <w:rsid w:val="0076257D"/>
    <w:rsid w:val="0076451B"/>
    <w:rsid w:val="0076479C"/>
    <w:rsid w:val="00772848"/>
    <w:rsid w:val="007729CF"/>
    <w:rsid w:val="007732A0"/>
    <w:rsid w:val="007815B3"/>
    <w:rsid w:val="00783B52"/>
    <w:rsid w:val="00784094"/>
    <w:rsid w:val="00785D97"/>
    <w:rsid w:val="007967E0"/>
    <w:rsid w:val="007A74C9"/>
    <w:rsid w:val="007A74D4"/>
    <w:rsid w:val="007B4560"/>
    <w:rsid w:val="007B4E42"/>
    <w:rsid w:val="007C2B22"/>
    <w:rsid w:val="007C5CBE"/>
    <w:rsid w:val="007C632D"/>
    <w:rsid w:val="007D1157"/>
    <w:rsid w:val="007D13ED"/>
    <w:rsid w:val="007D4EDC"/>
    <w:rsid w:val="007D6DF3"/>
    <w:rsid w:val="007E40B3"/>
    <w:rsid w:val="007F23CA"/>
    <w:rsid w:val="007F77E3"/>
    <w:rsid w:val="00805851"/>
    <w:rsid w:val="00811D8D"/>
    <w:rsid w:val="00816B94"/>
    <w:rsid w:val="008179D6"/>
    <w:rsid w:val="008200A9"/>
    <w:rsid w:val="008235EC"/>
    <w:rsid w:val="0082436F"/>
    <w:rsid w:val="008309E0"/>
    <w:rsid w:val="00831881"/>
    <w:rsid w:val="00836ACA"/>
    <w:rsid w:val="00836FBE"/>
    <w:rsid w:val="00841D4B"/>
    <w:rsid w:val="00842ABD"/>
    <w:rsid w:val="00847C43"/>
    <w:rsid w:val="008559F2"/>
    <w:rsid w:val="00872AE6"/>
    <w:rsid w:val="00885EDF"/>
    <w:rsid w:val="008875BC"/>
    <w:rsid w:val="00892936"/>
    <w:rsid w:val="00893736"/>
    <w:rsid w:val="008A0773"/>
    <w:rsid w:val="008A132A"/>
    <w:rsid w:val="008A1FB1"/>
    <w:rsid w:val="008A2AC6"/>
    <w:rsid w:val="008A4280"/>
    <w:rsid w:val="008B49F9"/>
    <w:rsid w:val="008C1BB1"/>
    <w:rsid w:val="008D02D3"/>
    <w:rsid w:val="008E0F4A"/>
    <w:rsid w:val="008F3339"/>
    <w:rsid w:val="008F5358"/>
    <w:rsid w:val="00906691"/>
    <w:rsid w:val="00906E49"/>
    <w:rsid w:val="009143DA"/>
    <w:rsid w:val="009221DE"/>
    <w:rsid w:val="00934F3F"/>
    <w:rsid w:val="00936000"/>
    <w:rsid w:val="00944BB8"/>
    <w:rsid w:val="00951D94"/>
    <w:rsid w:val="00980847"/>
    <w:rsid w:val="009903D9"/>
    <w:rsid w:val="00993B90"/>
    <w:rsid w:val="00994EF8"/>
    <w:rsid w:val="009A34EA"/>
    <w:rsid w:val="009B230C"/>
    <w:rsid w:val="009B27B5"/>
    <w:rsid w:val="009B2DBA"/>
    <w:rsid w:val="009B4ACE"/>
    <w:rsid w:val="009B6311"/>
    <w:rsid w:val="009B7BBA"/>
    <w:rsid w:val="009C68F6"/>
    <w:rsid w:val="009C71C0"/>
    <w:rsid w:val="009D222E"/>
    <w:rsid w:val="009D675A"/>
    <w:rsid w:val="009E749F"/>
    <w:rsid w:val="009E7C66"/>
    <w:rsid w:val="009F5877"/>
    <w:rsid w:val="00A11C58"/>
    <w:rsid w:val="00A131FB"/>
    <w:rsid w:val="00A135F7"/>
    <w:rsid w:val="00A161F6"/>
    <w:rsid w:val="00A240AA"/>
    <w:rsid w:val="00A24604"/>
    <w:rsid w:val="00A43C8C"/>
    <w:rsid w:val="00A472FA"/>
    <w:rsid w:val="00A50EDC"/>
    <w:rsid w:val="00A521F4"/>
    <w:rsid w:val="00A612FC"/>
    <w:rsid w:val="00A64BD2"/>
    <w:rsid w:val="00A67E4D"/>
    <w:rsid w:val="00A75231"/>
    <w:rsid w:val="00A90735"/>
    <w:rsid w:val="00A927D0"/>
    <w:rsid w:val="00A9295F"/>
    <w:rsid w:val="00AA17FF"/>
    <w:rsid w:val="00AA2CEB"/>
    <w:rsid w:val="00AA5350"/>
    <w:rsid w:val="00AB24E5"/>
    <w:rsid w:val="00AB28D7"/>
    <w:rsid w:val="00AB415E"/>
    <w:rsid w:val="00AB7F3A"/>
    <w:rsid w:val="00AE3372"/>
    <w:rsid w:val="00AE4B09"/>
    <w:rsid w:val="00AF062C"/>
    <w:rsid w:val="00AF2EBD"/>
    <w:rsid w:val="00AF3346"/>
    <w:rsid w:val="00B06446"/>
    <w:rsid w:val="00B07D08"/>
    <w:rsid w:val="00B27268"/>
    <w:rsid w:val="00B30A01"/>
    <w:rsid w:val="00B42986"/>
    <w:rsid w:val="00B4478D"/>
    <w:rsid w:val="00B469C7"/>
    <w:rsid w:val="00B50BFA"/>
    <w:rsid w:val="00B53414"/>
    <w:rsid w:val="00B6063C"/>
    <w:rsid w:val="00B60AEE"/>
    <w:rsid w:val="00B62B6B"/>
    <w:rsid w:val="00B644DC"/>
    <w:rsid w:val="00B66AAE"/>
    <w:rsid w:val="00B802AA"/>
    <w:rsid w:val="00B8062C"/>
    <w:rsid w:val="00B934EA"/>
    <w:rsid w:val="00B95385"/>
    <w:rsid w:val="00BA0949"/>
    <w:rsid w:val="00BA527C"/>
    <w:rsid w:val="00BA79F4"/>
    <w:rsid w:val="00BB0F49"/>
    <w:rsid w:val="00BB34D3"/>
    <w:rsid w:val="00BB6ADF"/>
    <w:rsid w:val="00BB7260"/>
    <w:rsid w:val="00BB7DC6"/>
    <w:rsid w:val="00BC3F51"/>
    <w:rsid w:val="00BD03C1"/>
    <w:rsid w:val="00BD2EB5"/>
    <w:rsid w:val="00BD5CFC"/>
    <w:rsid w:val="00BD6D41"/>
    <w:rsid w:val="00BD7935"/>
    <w:rsid w:val="00BE1DB3"/>
    <w:rsid w:val="00BE4CA3"/>
    <w:rsid w:val="00BF06A8"/>
    <w:rsid w:val="00BF2E1C"/>
    <w:rsid w:val="00BF70A5"/>
    <w:rsid w:val="00C115AC"/>
    <w:rsid w:val="00C21181"/>
    <w:rsid w:val="00C261C8"/>
    <w:rsid w:val="00C27588"/>
    <w:rsid w:val="00C3540B"/>
    <w:rsid w:val="00C42105"/>
    <w:rsid w:val="00C425D5"/>
    <w:rsid w:val="00C53BDD"/>
    <w:rsid w:val="00C57664"/>
    <w:rsid w:val="00C65D14"/>
    <w:rsid w:val="00C70030"/>
    <w:rsid w:val="00C70031"/>
    <w:rsid w:val="00C81534"/>
    <w:rsid w:val="00C93035"/>
    <w:rsid w:val="00C9482F"/>
    <w:rsid w:val="00CA2FC1"/>
    <w:rsid w:val="00CA5072"/>
    <w:rsid w:val="00CB1490"/>
    <w:rsid w:val="00CB188A"/>
    <w:rsid w:val="00CB21BE"/>
    <w:rsid w:val="00CB2699"/>
    <w:rsid w:val="00CB4C78"/>
    <w:rsid w:val="00CD4A95"/>
    <w:rsid w:val="00CE0412"/>
    <w:rsid w:val="00CF3958"/>
    <w:rsid w:val="00D01F22"/>
    <w:rsid w:val="00D0446B"/>
    <w:rsid w:val="00D05785"/>
    <w:rsid w:val="00D06D8C"/>
    <w:rsid w:val="00D122E9"/>
    <w:rsid w:val="00D12E8F"/>
    <w:rsid w:val="00D24CBA"/>
    <w:rsid w:val="00D24D29"/>
    <w:rsid w:val="00D24EC6"/>
    <w:rsid w:val="00D25AD2"/>
    <w:rsid w:val="00D31C9B"/>
    <w:rsid w:val="00D35986"/>
    <w:rsid w:val="00D35E49"/>
    <w:rsid w:val="00D42FBB"/>
    <w:rsid w:val="00D44B33"/>
    <w:rsid w:val="00D45530"/>
    <w:rsid w:val="00D510FA"/>
    <w:rsid w:val="00D52761"/>
    <w:rsid w:val="00D563A6"/>
    <w:rsid w:val="00D57205"/>
    <w:rsid w:val="00D576C0"/>
    <w:rsid w:val="00D60C53"/>
    <w:rsid w:val="00D629D1"/>
    <w:rsid w:val="00D6357D"/>
    <w:rsid w:val="00D76629"/>
    <w:rsid w:val="00D76D7A"/>
    <w:rsid w:val="00D8342D"/>
    <w:rsid w:val="00D839DC"/>
    <w:rsid w:val="00D87C57"/>
    <w:rsid w:val="00D90570"/>
    <w:rsid w:val="00D94164"/>
    <w:rsid w:val="00DA3C1A"/>
    <w:rsid w:val="00DA727B"/>
    <w:rsid w:val="00DB1451"/>
    <w:rsid w:val="00DB1728"/>
    <w:rsid w:val="00DC0749"/>
    <w:rsid w:val="00DD29F8"/>
    <w:rsid w:val="00DD4E37"/>
    <w:rsid w:val="00DD6C07"/>
    <w:rsid w:val="00DE107F"/>
    <w:rsid w:val="00DE217C"/>
    <w:rsid w:val="00DE6FE9"/>
    <w:rsid w:val="00DF2C0E"/>
    <w:rsid w:val="00DF62D5"/>
    <w:rsid w:val="00E00AC9"/>
    <w:rsid w:val="00E03C55"/>
    <w:rsid w:val="00E042B7"/>
    <w:rsid w:val="00E07440"/>
    <w:rsid w:val="00E13262"/>
    <w:rsid w:val="00E2160A"/>
    <w:rsid w:val="00E22141"/>
    <w:rsid w:val="00E23554"/>
    <w:rsid w:val="00E32490"/>
    <w:rsid w:val="00E330A7"/>
    <w:rsid w:val="00E37DAD"/>
    <w:rsid w:val="00E44094"/>
    <w:rsid w:val="00E500A6"/>
    <w:rsid w:val="00E53874"/>
    <w:rsid w:val="00E54C0B"/>
    <w:rsid w:val="00E60A46"/>
    <w:rsid w:val="00E70F0F"/>
    <w:rsid w:val="00E828CA"/>
    <w:rsid w:val="00E83C4B"/>
    <w:rsid w:val="00E96482"/>
    <w:rsid w:val="00E96CC0"/>
    <w:rsid w:val="00E96D47"/>
    <w:rsid w:val="00EA333A"/>
    <w:rsid w:val="00EA4479"/>
    <w:rsid w:val="00EA632A"/>
    <w:rsid w:val="00EA6C51"/>
    <w:rsid w:val="00EC21F0"/>
    <w:rsid w:val="00EC2820"/>
    <w:rsid w:val="00EC5B13"/>
    <w:rsid w:val="00EC6E09"/>
    <w:rsid w:val="00ED2AD2"/>
    <w:rsid w:val="00ED4FA2"/>
    <w:rsid w:val="00EE7A9F"/>
    <w:rsid w:val="00F00CC4"/>
    <w:rsid w:val="00F219E7"/>
    <w:rsid w:val="00F2741F"/>
    <w:rsid w:val="00F312F2"/>
    <w:rsid w:val="00F3197B"/>
    <w:rsid w:val="00F3500E"/>
    <w:rsid w:val="00F572E0"/>
    <w:rsid w:val="00F615BB"/>
    <w:rsid w:val="00F63379"/>
    <w:rsid w:val="00F64E11"/>
    <w:rsid w:val="00F71551"/>
    <w:rsid w:val="00F7177D"/>
    <w:rsid w:val="00F734F9"/>
    <w:rsid w:val="00F73B15"/>
    <w:rsid w:val="00F869DC"/>
    <w:rsid w:val="00F878B9"/>
    <w:rsid w:val="00F90553"/>
    <w:rsid w:val="00F909E2"/>
    <w:rsid w:val="00F93F9B"/>
    <w:rsid w:val="00F942E0"/>
    <w:rsid w:val="00FA0859"/>
    <w:rsid w:val="00FA1258"/>
    <w:rsid w:val="00FA356E"/>
    <w:rsid w:val="00FA4C07"/>
    <w:rsid w:val="00FA4D01"/>
    <w:rsid w:val="00FA6ACE"/>
    <w:rsid w:val="00FB1990"/>
    <w:rsid w:val="00FB3224"/>
    <w:rsid w:val="00FB6ABF"/>
    <w:rsid w:val="00FC3B3E"/>
    <w:rsid w:val="00FC4E17"/>
    <w:rsid w:val="00FC5723"/>
    <w:rsid w:val="00FC738A"/>
    <w:rsid w:val="00FD1899"/>
    <w:rsid w:val="00FD1A0C"/>
    <w:rsid w:val="00FD39E9"/>
    <w:rsid w:val="00FF40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8A1C20"/>
  <w15:chartTrackingRefBased/>
  <w15:docId w15:val="{2538C99D-3F08-42B4-93F0-3B04AC41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rsid w:val="009D222E"/>
    <w:rPr>
      <w:sz w:val="24"/>
      <w:lang w:eastAsia="en-US"/>
    </w:rPr>
  </w:style>
  <w:style w:type="paragraph" w:styleId="Otsikko1">
    <w:name w:val="heading 1"/>
    <w:basedOn w:val="Normaali"/>
    <w:next w:val="Normaali"/>
    <w:link w:val="Otsikko1Char"/>
    <w:uiPriority w:val="9"/>
    <w:rsid w:val="007732A0"/>
    <w:pPr>
      <w:keepNext/>
      <w:keepLines/>
      <w:spacing w:before="480"/>
      <w:outlineLvl w:val="0"/>
    </w:pPr>
    <w:rPr>
      <w:rFonts w:asciiTheme="majorHAnsi" w:eastAsiaTheme="majorEastAsia" w:hAnsiTheme="majorHAnsi" w:cstheme="majorBidi"/>
      <w:b/>
      <w:bCs/>
      <w:color w:val="365F91" w:themeColor="accent1" w:themeShade="BF"/>
      <w:sz w:val="36"/>
      <w:szCs w:val="28"/>
    </w:rPr>
  </w:style>
  <w:style w:type="paragraph" w:styleId="Otsikko2">
    <w:name w:val="heading 2"/>
    <w:basedOn w:val="Normaali"/>
    <w:next w:val="Normaali"/>
    <w:link w:val="Otsikko2Char"/>
    <w:uiPriority w:val="9"/>
    <w:unhideWhenUsed/>
    <w:rsid w:val="00A240A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Otsikko3">
    <w:name w:val="heading 3"/>
    <w:basedOn w:val="Normaali"/>
    <w:next w:val="Normaali"/>
    <w:link w:val="Otsikko3Char"/>
    <w:uiPriority w:val="9"/>
    <w:unhideWhenUsed/>
    <w:qFormat/>
    <w:rsid w:val="00A240AA"/>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Otsikko4">
    <w:name w:val="heading 4"/>
    <w:basedOn w:val="Normaali"/>
    <w:next w:val="Normaali"/>
    <w:link w:val="Otsikko4Char"/>
    <w:uiPriority w:val="9"/>
    <w:semiHidden/>
    <w:unhideWhenUsed/>
    <w:qFormat/>
    <w:rsid w:val="00A240AA"/>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Otsikko5">
    <w:name w:val="heading 5"/>
    <w:basedOn w:val="Normaali"/>
    <w:next w:val="Normaali"/>
    <w:link w:val="Otsikko5Char"/>
    <w:uiPriority w:val="9"/>
    <w:semiHidden/>
    <w:unhideWhenUsed/>
    <w:qFormat/>
    <w:rsid w:val="00A240AA"/>
    <w:pPr>
      <w:keepNext/>
      <w:keepLines/>
      <w:spacing w:before="80" w:after="40"/>
      <w:outlineLvl w:val="4"/>
    </w:pPr>
    <w:rPr>
      <w:rFonts w:asciiTheme="minorHAnsi" w:eastAsiaTheme="majorEastAsia" w:hAnsiTheme="minorHAnsi" w:cstheme="majorBidi"/>
      <w:color w:val="365F91" w:themeColor="accent1" w:themeShade="BF"/>
    </w:rPr>
  </w:style>
  <w:style w:type="paragraph" w:styleId="Otsikko6">
    <w:name w:val="heading 6"/>
    <w:basedOn w:val="Normaali"/>
    <w:next w:val="Normaali"/>
    <w:link w:val="Otsikko6Char"/>
    <w:uiPriority w:val="9"/>
    <w:semiHidden/>
    <w:unhideWhenUsed/>
    <w:qFormat/>
    <w:rsid w:val="00A240AA"/>
    <w:pPr>
      <w:keepNext/>
      <w:keepLines/>
      <w:spacing w:before="40"/>
      <w:outlineLvl w:val="5"/>
    </w:pPr>
    <w:rPr>
      <w:rFonts w:asciiTheme="minorHAnsi" w:eastAsiaTheme="majorEastAsia" w:hAnsiTheme="minorHAnsi" w:cstheme="majorBidi"/>
      <w:i/>
      <w:iCs/>
      <w:color w:val="595959" w:themeColor="text1" w:themeTint="A6"/>
    </w:rPr>
  </w:style>
  <w:style w:type="paragraph" w:styleId="Otsikko7">
    <w:name w:val="heading 7"/>
    <w:basedOn w:val="Normaali"/>
    <w:next w:val="Normaali"/>
    <w:link w:val="Otsikko7Char"/>
    <w:uiPriority w:val="9"/>
    <w:semiHidden/>
    <w:unhideWhenUsed/>
    <w:qFormat/>
    <w:rsid w:val="00A240AA"/>
    <w:pPr>
      <w:keepNext/>
      <w:keepLines/>
      <w:spacing w:before="40"/>
      <w:outlineLvl w:val="6"/>
    </w:pPr>
    <w:rPr>
      <w:rFonts w:asciiTheme="minorHAnsi" w:eastAsiaTheme="majorEastAsia" w:hAnsiTheme="minorHAnsi" w:cstheme="majorBidi"/>
      <w:color w:val="595959" w:themeColor="text1" w:themeTint="A6"/>
    </w:rPr>
  </w:style>
  <w:style w:type="paragraph" w:styleId="Otsikko8">
    <w:name w:val="heading 8"/>
    <w:basedOn w:val="Normaali"/>
    <w:next w:val="Normaali"/>
    <w:link w:val="Otsikko8Char"/>
    <w:uiPriority w:val="9"/>
    <w:semiHidden/>
    <w:unhideWhenUsed/>
    <w:qFormat/>
    <w:rsid w:val="00A240AA"/>
    <w:pPr>
      <w:keepNext/>
      <w:keepLines/>
      <w:outlineLvl w:val="7"/>
    </w:pPr>
    <w:rPr>
      <w:rFonts w:asciiTheme="minorHAnsi" w:eastAsiaTheme="majorEastAsia" w:hAnsiTheme="minorHAnsi" w:cstheme="majorBidi"/>
      <w:i/>
      <w:iCs/>
      <w:color w:val="272727" w:themeColor="text1" w:themeTint="D8"/>
    </w:rPr>
  </w:style>
  <w:style w:type="paragraph" w:styleId="Otsikko9">
    <w:name w:val="heading 9"/>
    <w:basedOn w:val="Normaali"/>
    <w:next w:val="Normaali"/>
    <w:link w:val="Otsikko9Char"/>
    <w:uiPriority w:val="9"/>
    <w:semiHidden/>
    <w:unhideWhenUsed/>
    <w:qFormat/>
    <w:rsid w:val="00A240AA"/>
    <w:pPr>
      <w:keepNext/>
      <w:keepLines/>
      <w:outlineLvl w:val="8"/>
    </w:pPr>
    <w:rPr>
      <w:rFonts w:asciiTheme="minorHAnsi" w:eastAsiaTheme="majorEastAsia" w:hAnsiTheme="minorHAnsi" w:cstheme="majorBidi"/>
      <w:color w:val="272727" w:themeColor="text1" w:themeTint="D8"/>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customStyle="1" w:styleId="VMNormaaliSisentmtn">
    <w:name w:val="VM_Normaali_Sisentämätön"/>
    <w:qFormat/>
    <w:rsid w:val="009D222E"/>
    <w:rPr>
      <w:sz w:val="24"/>
    </w:rPr>
  </w:style>
  <w:style w:type="paragraph" w:customStyle="1" w:styleId="VMAlatunniste">
    <w:name w:val="VM_Alatunniste"/>
    <w:basedOn w:val="VMNormaaliSisentmtn"/>
    <w:rsid w:val="009D222E"/>
    <w:rPr>
      <w:rFonts w:cs="Arial"/>
      <w:sz w:val="16"/>
      <w:szCs w:val="24"/>
    </w:rPr>
  </w:style>
  <w:style w:type="paragraph" w:customStyle="1" w:styleId="VMAsiakirjanidver">
    <w:name w:val="VM_Asiakirjan id&amp;ver"/>
    <w:basedOn w:val="VMNormaaliSisentmtn"/>
    <w:rsid w:val="009D222E"/>
    <w:rPr>
      <w:sz w:val="14"/>
    </w:rPr>
  </w:style>
  <w:style w:type="paragraph" w:customStyle="1" w:styleId="VMAsiakohta">
    <w:name w:val="VM_Asiakohta"/>
    <w:basedOn w:val="VMNormaaliSisentmtn"/>
    <w:next w:val="Normaali"/>
    <w:rsid w:val="009D222E"/>
    <w:pPr>
      <w:numPr>
        <w:numId w:val="1"/>
      </w:numPr>
      <w:spacing w:before="240" w:after="240"/>
    </w:pPr>
  </w:style>
  <w:style w:type="paragraph" w:customStyle="1" w:styleId="VMleipteksti">
    <w:name w:val="VM_leipäteksti"/>
    <w:basedOn w:val="VMNormaaliSisentmtn"/>
    <w:qFormat/>
    <w:rsid w:val="009D222E"/>
    <w:pPr>
      <w:ind w:left="2608"/>
    </w:pPr>
    <w:rPr>
      <w:szCs w:val="24"/>
    </w:rPr>
  </w:style>
  <w:style w:type="paragraph" w:customStyle="1" w:styleId="VMluettelonumeroin">
    <w:name w:val="VM_luettelo_numeroin"/>
    <w:basedOn w:val="VMleipteksti"/>
    <w:qFormat/>
    <w:rsid w:val="009B230C"/>
    <w:pPr>
      <w:numPr>
        <w:numId w:val="2"/>
      </w:numPr>
      <w:ind w:left="2965" w:hanging="357"/>
    </w:pPr>
  </w:style>
  <w:style w:type="paragraph" w:customStyle="1" w:styleId="VMLuettelonkappaletyyppi">
    <w:name w:val="VM_Luettelon kappaletyyppi"/>
    <w:basedOn w:val="VMleipteksti"/>
    <w:qFormat/>
    <w:rsid w:val="009B230C"/>
    <w:pPr>
      <w:numPr>
        <w:numId w:val="3"/>
      </w:numPr>
      <w:ind w:left="2965" w:hanging="357"/>
    </w:pPr>
  </w:style>
  <w:style w:type="paragraph" w:customStyle="1" w:styleId="VMLuettelotyylipallukka">
    <w:name w:val="VM_Luettelotyyli_pallukka"/>
    <w:basedOn w:val="VMleipteksti"/>
    <w:qFormat/>
    <w:rsid w:val="009D222E"/>
    <w:pPr>
      <w:numPr>
        <w:numId w:val="4"/>
      </w:numPr>
      <w:spacing w:after="120"/>
    </w:pPr>
  </w:style>
  <w:style w:type="paragraph" w:customStyle="1" w:styleId="VMmuistioleipteksti">
    <w:name w:val="VM_muistio_leipäteksti"/>
    <w:basedOn w:val="VMNormaaliSisentmtn"/>
    <w:rsid w:val="009D222E"/>
    <w:pPr>
      <w:ind w:left="1304"/>
    </w:pPr>
  </w:style>
  <w:style w:type="paragraph" w:customStyle="1" w:styleId="VMOtsikko1">
    <w:name w:val="VM_Otsikko 1"/>
    <w:basedOn w:val="VMNormaaliSisentmtn"/>
    <w:next w:val="VMleipteksti"/>
    <w:qFormat/>
    <w:rsid w:val="00722420"/>
    <w:pPr>
      <w:keepNext/>
      <w:spacing w:before="320" w:after="200"/>
      <w:outlineLvl w:val="0"/>
    </w:pPr>
    <w:rPr>
      <w:b/>
      <w:bCs/>
      <w:kern w:val="32"/>
      <w:sz w:val="26"/>
      <w:szCs w:val="32"/>
    </w:rPr>
  </w:style>
  <w:style w:type="paragraph" w:customStyle="1" w:styleId="VMOtsikko2">
    <w:name w:val="VM_Otsikko 2"/>
    <w:basedOn w:val="VMNormaaliSisentmtn"/>
    <w:next w:val="VMleipteksti"/>
    <w:qFormat/>
    <w:rsid w:val="00722420"/>
    <w:pPr>
      <w:spacing w:before="320" w:after="200"/>
      <w:outlineLvl w:val="1"/>
    </w:pPr>
    <w:rPr>
      <w:b/>
    </w:rPr>
  </w:style>
  <w:style w:type="paragraph" w:customStyle="1" w:styleId="VMOtsikko3">
    <w:name w:val="VM_Otsikko 3"/>
    <w:basedOn w:val="VMNormaaliSisentmtn"/>
    <w:next w:val="VMleipteksti"/>
    <w:qFormat/>
    <w:rsid w:val="00722420"/>
    <w:pPr>
      <w:spacing w:before="320" w:after="200"/>
      <w:outlineLvl w:val="2"/>
    </w:pPr>
    <w:rPr>
      <w:i/>
    </w:rPr>
  </w:style>
  <w:style w:type="paragraph" w:customStyle="1" w:styleId="VMOtsikkonum1">
    <w:name w:val="VM_Otsikko_num 1"/>
    <w:basedOn w:val="VMOtsikko1"/>
    <w:next w:val="VMleipteksti"/>
    <w:qFormat/>
    <w:rsid w:val="00722420"/>
    <w:pPr>
      <w:numPr>
        <w:numId w:val="8"/>
      </w:numPr>
      <w:ind w:left="227" w:hanging="227"/>
    </w:pPr>
  </w:style>
  <w:style w:type="paragraph" w:customStyle="1" w:styleId="VMOtsikkonum2">
    <w:name w:val="VM_Otsikko_num 2"/>
    <w:next w:val="VMleipteksti"/>
    <w:qFormat/>
    <w:rsid w:val="00722420"/>
    <w:pPr>
      <w:numPr>
        <w:ilvl w:val="1"/>
        <w:numId w:val="8"/>
      </w:numPr>
      <w:spacing w:before="320" w:after="200"/>
      <w:ind w:left="397" w:hanging="397"/>
      <w:outlineLvl w:val="1"/>
    </w:pPr>
    <w:rPr>
      <w:b/>
      <w:sz w:val="24"/>
    </w:rPr>
  </w:style>
  <w:style w:type="paragraph" w:customStyle="1" w:styleId="VMOtsikkonum3">
    <w:name w:val="VM_Otsikko_num 3"/>
    <w:basedOn w:val="VMOtsikko3"/>
    <w:next w:val="VMleipteksti"/>
    <w:qFormat/>
    <w:rsid w:val="00722420"/>
    <w:pPr>
      <w:numPr>
        <w:ilvl w:val="2"/>
        <w:numId w:val="8"/>
      </w:numPr>
      <w:ind w:left="567" w:hanging="567"/>
    </w:pPr>
  </w:style>
  <w:style w:type="paragraph" w:customStyle="1" w:styleId="VMRiippuva">
    <w:name w:val="VM_Riippuva"/>
    <w:basedOn w:val="VMNormaaliSisentmtn"/>
    <w:next w:val="VMleipteksti"/>
    <w:qFormat/>
    <w:rsid w:val="009D222E"/>
    <w:pPr>
      <w:ind w:left="2608" w:hanging="2608"/>
    </w:pPr>
  </w:style>
  <w:style w:type="paragraph" w:customStyle="1" w:styleId="VMYltunniste">
    <w:name w:val="VM_Ylätunniste"/>
    <w:basedOn w:val="VMNormaaliSisentmtn"/>
    <w:qFormat/>
    <w:rsid w:val="009D222E"/>
    <w:pPr>
      <w:tabs>
        <w:tab w:val="left" w:pos="1304"/>
        <w:tab w:val="left" w:pos="2608"/>
        <w:tab w:val="left" w:pos="3912"/>
        <w:tab w:val="left" w:pos="5216"/>
        <w:tab w:val="left" w:pos="6521"/>
        <w:tab w:val="left" w:pos="7825"/>
        <w:tab w:val="left" w:pos="9129"/>
      </w:tabs>
    </w:pPr>
    <w:rPr>
      <w:szCs w:val="24"/>
    </w:rPr>
  </w:style>
  <w:style w:type="paragraph" w:styleId="Alatunniste">
    <w:name w:val="footer"/>
    <w:basedOn w:val="Normaali"/>
    <w:link w:val="AlatunnisteChar"/>
    <w:uiPriority w:val="99"/>
    <w:semiHidden/>
    <w:unhideWhenUsed/>
    <w:rsid w:val="008E0F4A"/>
    <w:pPr>
      <w:tabs>
        <w:tab w:val="center" w:pos="4819"/>
        <w:tab w:val="right" w:pos="9638"/>
      </w:tabs>
    </w:pPr>
  </w:style>
  <w:style w:type="character" w:customStyle="1" w:styleId="AlatunnisteChar">
    <w:name w:val="Alatunniste Char"/>
    <w:basedOn w:val="Kappaleenoletusfontti"/>
    <w:link w:val="Alatunniste"/>
    <w:uiPriority w:val="99"/>
    <w:semiHidden/>
    <w:rsid w:val="008E0F4A"/>
    <w:rPr>
      <w:sz w:val="24"/>
      <w:lang w:eastAsia="en-US"/>
    </w:rPr>
  </w:style>
  <w:style w:type="paragraph" w:styleId="Seliteteksti">
    <w:name w:val="Balloon Text"/>
    <w:basedOn w:val="Normaali"/>
    <w:link w:val="SelitetekstiChar"/>
    <w:uiPriority w:val="99"/>
    <w:semiHidden/>
    <w:unhideWhenUsed/>
    <w:rsid w:val="00CB4C78"/>
    <w:rPr>
      <w:rFonts w:ascii="Tahoma" w:hAnsi="Tahoma" w:cs="Tahoma"/>
      <w:sz w:val="16"/>
      <w:szCs w:val="16"/>
    </w:rPr>
  </w:style>
  <w:style w:type="character" w:customStyle="1" w:styleId="SelitetekstiChar">
    <w:name w:val="Seliteteksti Char"/>
    <w:basedOn w:val="Kappaleenoletusfontti"/>
    <w:link w:val="Seliteteksti"/>
    <w:uiPriority w:val="99"/>
    <w:semiHidden/>
    <w:rsid w:val="00CB4C78"/>
    <w:rPr>
      <w:rFonts w:ascii="Tahoma" w:hAnsi="Tahoma" w:cs="Tahoma"/>
      <w:sz w:val="16"/>
      <w:szCs w:val="16"/>
      <w:lang w:eastAsia="en-US"/>
    </w:rPr>
  </w:style>
  <w:style w:type="character" w:customStyle="1" w:styleId="Otsikko1Char">
    <w:name w:val="Otsikko 1 Char"/>
    <w:basedOn w:val="Kappaleenoletusfontti"/>
    <w:link w:val="Otsikko1"/>
    <w:uiPriority w:val="9"/>
    <w:rsid w:val="007732A0"/>
    <w:rPr>
      <w:rFonts w:asciiTheme="majorHAnsi" w:eastAsiaTheme="majorEastAsia" w:hAnsiTheme="majorHAnsi" w:cstheme="majorBidi"/>
      <w:b/>
      <w:bCs/>
      <w:color w:val="365F91" w:themeColor="accent1" w:themeShade="BF"/>
      <w:sz w:val="36"/>
      <w:szCs w:val="28"/>
      <w:lang w:eastAsia="en-US"/>
    </w:rPr>
  </w:style>
  <w:style w:type="paragraph" w:styleId="Yltunniste">
    <w:name w:val="header"/>
    <w:basedOn w:val="Normaali"/>
    <w:link w:val="YltunnisteChar"/>
    <w:uiPriority w:val="99"/>
    <w:semiHidden/>
    <w:unhideWhenUsed/>
    <w:rsid w:val="009B6311"/>
    <w:pPr>
      <w:tabs>
        <w:tab w:val="center" w:pos="4819"/>
        <w:tab w:val="right" w:pos="9638"/>
      </w:tabs>
    </w:pPr>
  </w:style>
  <w:style w:type="character" w:customStyle="1" w:styleId="YltunnisteChar">
    <w:name w:val="Ylätunniste Char"/>
    <w:basedOn w:val="Kappaleenoletusfontti"/>
    <w:link w:val="Yltunniste"/>
    <w:uiPriority w:val="99"/>
    <w:semiHidden/>
    <w:rsid w:val="009B6311"/>
    <w:rPr>
      <w:sz w:val="24"/>
      <w:lang w:eastAsia="en-US"/>
    </w:rPr>
  </w:style>
  <w:style w:type="character" w:customStyle="1" w:styleId="Otsikko2Char">
    <w:name w:val="Otsikko 2 Char"/>
    <w:basedOn w:val="Kappaleenoletusfontti"/>
    <w:link w:val="Otsikko2"/>
    <w:uiPriority w:val="9"/>
    <w:rsid w:val="00A240AA"/>
    <w:rPr>
      <w:rFonts w:asciiTheme="majorHAnsi" w:eastAsiaTheme="majorEastAsia" w:hAnsiTheme="majorHAnsi" w:cstheme="majorBidi"/>
      <w:color w:val="365F91" w:themeColor="accent1" w:themeShade="BF"/>
      <w:sz w:val="32"/>
      <w:szCs w:val="32"/>
      <w:lang w:eastAsia="en-US"/>
    </w:rPr>
  </w:style>
  <w:style w:type="character" w:customStyle="1" w:styleId="Otsikko3Char">
    <w:name w:val="Otsikko 3 Char"/>
    <w:basedOn w:val="Kappaleenoletusfontti"/>
    <w:link w:val="Otsikko3"/>
    <w:uiPriority w:val="9"/>
    <w:rsid w:val="00A240AA"/>
    <w:rPr>
      <w:rFonts w:asciiTheme="minorHAnsi" w:eastAsiaTheme="majorEastAsia" w:hAnsiTheme="minorHAnsi" w:cstheme="majorBidi"/>
      <w:color w:val="365F91" w:themeColor="accent1" w:themeShade="BF"/>
      <w:sz w:val="28"/>
      <w:szCs w:val="28"/>
      <w:lang w:eastAsia="en-US"/>
    </w:rPr>
  </w:style>
  <w:style w:type="character" w:customStyle="1" w:styleId="Otsikko4Char">
    <w:name w:val="Otsikko 4 Char"/>
    <w:basedOn w:val="Kappaleenoletusfontti"/>
    <w:link w:val="Otsikko4"/>
    <w:uiPriority w:val="9"/>
    <w:semiHidden/>
    <w:rsid w:val="00A240AA"/>
    <w:rPr>
      <w:rFonts w:asciiTheme="minorHAnsi" w:eastAsiaTheme="majorEastAsia" w:hAnsiTheme="minorHAnsi" w:cstheme="majorBidi"/>
      <w:i/>
      <w:iCs/>
      <w:color w:val="365F91" w:themeColor="accent1" w:themeShade="BF"/>
      <w:sz w:val="24"/>
      <w:lang w:eastAsia="en-US"/>
    </w:rPr>
  </w:style>
  <w:style w:type="character" w:customStyle="1" w:styleId="Otsikko5Char">
    <w:name w:val="Otsikko 5 Char"/>
    <w:basedOn w:val="Kappaleenoletusfontti"/>
    <w:link w:val="Otsikko5"/>
    <w:uiPriority w:val="9"/>
    <w:semiHidden/>
    <w:rsid w:val="00A240AA"/>
    <w:rPr>
      <w:rFonts w:asciiTheme="minorHAnsi" w:eastAsiaTheme="majorEastAsia" w:hAnsiTheme="minorHAnsi" w:cstheme="majorBidi"/>
      <w:color w:val="365F91" w:themeColor="accent1" w:themeShade="BF"/>
      <w:sz w:val="24"/>
      <w:lang w:eastAsia="en-US"/>
    </w:rPr>
  </w:style>
  <w:style w:type="character" w:customStyle="1" w:styleId="Otsikko6Char">
    <w:name w:val="Otsikko 6 Char"/>
    <w:basedOn w:val="Kappaleenoletusfontti"/>
    <w:link w:val="Otsikko6"/>
    <w:uiPriority w:val="9"/>
    <w:semiHidden/>
    <w:rsid w:val="00A240AA"/>
    <w:rPr>
      <w:rFonts w:asciiTheme="minorHAnsi" w:eastAsiaTheme="majorEastAsia" w:hAnsiTheme="minorHAnsi" w:cstheme="majorBidi"/>
      <w:i/>
      <w:iCs/>
      <w:color w:val="595959" w:themeColor="text1" w:themeTint="A6"/>
      <w:sz w:val="24"/>
      <w:lang w:eastAsia="en-US"/>
    </w:rPr>
  </w:style>
  <w:style w:type="character" w:customStyle="1" w:styleId="Otsikko7Char">
    <w:name w:val="Otsikko 7 Char"/>
    <w:basedOn w:val="Kappaleenoletusfontti"/>
    <w:link w:val="Otsikko7"/>
    <w:uiPriority w:val="9"/>
    <w:semiHidden/>
    <w:rsid w:val="00A240AA"/>
    <w:rPr>
      <w:rFonts w:asciiTheme="minorHAnsi" w:eastAsiaTheme="majorEastAsia" w:hAnsiTheme="minorHAnsi" w:cstheme="majorBidi"/>
      <w:color w:val="595959" w:themeColor="text1" w:themeTint="A6"/>
      <w:sz w:val="24"/>
      <w:lang w:eastAsia="en-US"/>
    </w:rPr>
  </w:style>
  <w:style w:type="character" w:customStyle="1" w:styleId="Otsikko8Char">
    <w:name w:val="Otsikko 8 Char"/>
    <w:basedOn w:val="Kappaleenoletusfontti"/>
    <w:link w:val="Otsikko8"/>
    <w:uiPriority w:val="9"/>
    <w:semiHidden/>
    <w:rsid w:val="00A240AA"/>
    <w:rPr>
      <w:rFonts w:asciiTheme="minorHAnsi" w:eastAsiaTheme="majorEastAsia" w:hAnsiTheme="minorHAnsi" w:cstheme="majorBidi"/>
      <w:i/>
      <w:iCs/>
      <w:color w:val="272727" w:themeColor="text1" w:themeTint="D8"/>
      <w:sz w:val="24"/>
      <w:lang w:eastAsia="en-US"/>
    </w:rPr>
  </w:style>
  <w:style w:type="character" w:customStyle="1" w:styleId="Otsikko9Char">
    <w:name w:val="Otsikko 9 Char"/>
    <w:basedOn w:val="Kappaleenoletusfontti"/>
    <w:link w:val="Otsikko9"/>
    <w:uiPriority w:val="9"/>
    <w:semiHidden/>
    <w:rsid w:val="00A240AA"/>
    <w:rPr>
      <w:rFonts w:asciiTheme="minorHAnsi" w:eastAsiaTheme="majorEastAsia" w:hAnsiTheme="minorHAnsi" w:cstheme="majorBidi"/>
      <w:color w:val="272727" w:themeColor="text1" w:themeTint="D8"/>
      <w:sz w:val="24"/>
      <w:lang w:eastAsia="en-US"/>
    </w:rPr>
  </w:style>
  <w:style w:type="paragraph" w:styleId="Otsikko">
    <w:name w:val="Title"/>
    <w:basedOn w:val="Normaali"/>
    <w:next w:val="Normaali"/>
    <w:link w:val="OtsikkoChar"/>
    <w:uiPriority w:val="10"/>
    <w:rsid w:val="00A240AA"/>
    <w:pPr>
      <w:spacing w:after="80"/>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A240AA"/>
    <w:rPr>
      <w:rFonts w:asciiTheme="majorHAnsi" w:eastAsiaTheme="majorEastAsia" w:hAnsiTheme="majorHAnsi" w:cstheme="majorBidi"/>
      <w:spacing w:val="-10"/>
      <w:kern w:val="28"/>
      <w:sz w:val="56"/>
      <w:szCs w:val="56"/>
      <w:lang w:eastAsia="en-US"/>
    </w:rPr>
  </w:style>
  <w:style w:type="paragraph" w:styleId="Alaotsikko">
    <w:name w:val="Subtitle"/>
    <w:basedOn w:val="Normaali"/>
    <w:next w:val="Normaali"/>
    <w:link w:val="AlaotsikkoChar"/>
    <w:uiPriority w:val="11"/>
    <w:rsid w:val="00A240A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A240AA"/>
    <w:rPr>
      <w:rFonts w:asciiTheme="minorHAnsi" w:eastAsiaTheme="majorEastAsia" w:hAnsiTheme="minorHAnsi" w:cstheme="majorBidi"/>
      <w:color w:val="595959" w:themeColor="text1" w:themeTint="A6"/>
      <w:spacing w:val="15"/>
      <w:sz w:val="28"/>
      <w:szCs w:val="28"/>
      <w:lang w:eastAsia="en-US"/>
    </w:rPr>
  </w:style>
  <w:style w:type="paragraph" w:styleId="Lainaus">
    <w:name w:val="Quote"/>
    <w:basedOn w:val="Normaali"/>
    <w:next w:val="Normaali"/>
    <w:link w:val="LainausChar"/>
    <w:uiPriority w:val="29"/>
    <w:rsid w:val="00A240AA"/>
    <w:pPr>
      <w:spacing w:before="160" w:after="160"/>
      <w:jc w:val="center"/>
    </w:pPr>
    <w:rPr>
      <w:i/>
      <w:iCs/>
      <w:color w:val="404040" w:themeColor="text1" w:themeTint="BF"/>
    </w:rPr>
  </w:style>
  <w:style w:type="character" w:customStyle="1" w:styleId="LainausChar">
    <w:name w:val="Lainaus Char"/>
    <w:basedOn w:val="Kappaleenoletusfontti"/>
    <w:link w:val="Lainaus"/>
    <w:uiPriority w:val="29"/>
    <w:rsid w:val="00A240AA"/>
    <w:rPr>
      <w:i/>
      <w:iCs/>
      <w:color w:val="404040" w:themeColor="text1" w:themeTint="BF"/>
      <w:sz w:val="24"/>
      <w:lang w:eastAsia="en-US"/>
    </w:rPr>
  </w:style>
  <w:style w:type="paragraph" w:styleId="Luettelokappale">
    <w:name w:val="List Paragraph"/>
    <w:basedOn w:val="Normaali"/>
    <w:uiPriority w:val="34"/>
    <w:rsid w:val="00A240AA"/>
    <w:pPr>
      <w:ind w:left="720"/>
      <w:contextualSpacing/>
    </w:pPr>
  </w:style>
  <w:style w:type="character" w:styleId="Voimakaskorostus">
    <w:name w:val="Intense Emphasis"/>
    <w:basedOn w:val="Kappaleenoletusfontti"/>
    <w:uiPriority w:val="21"/>
    <w:rsid w:val="00A240AA"/>
    <w:rPr>
      <w:i/>
      <w:iCs/>
      <w:color w:val="365F91" w:themeColor="accent1" w:themeShade="BF"/>
    </w:rPr>
  </w:style>
  <w:style w:type="paragraph" w:styleId="Erottuvalainaus">
    <w:name w:val="Intense Quote"/>
    <w:basedOn w:val="Normaali"/>
    <w:next w:val="Normaali"/>
    <w:link w:val="ErottuvalainausChar"/>
    <w:uiPriority w:val="30"/>
    <w:rsid w:val="00A240A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ErottuvalainausChar">
    <w:name w:val="Erottuva lainaus Char"/>
    <w:basedOn w:val="Kappaleenoletusfontti"/>
    <w:link w:val="Erottuvalainaus"/>
    <w:uiPriority w:val="30"/>
    <w:rsid w:val="00A240AA"/>
    <w:rPr>
      <w:i/>
      <w:iCs/>
      <w:color w:val="365F91" w:themeColor="accent1" w:themeShade="BF"/>
      <w:sz w:val="24"/>
      <w:lang w:eastAsia="en-US"/>
    </w:rPr>
  </w:style>
  <w:style w:type="character" w:styleId="Erottuvaviittaus">
    <w:name w:val="Intense Reference"/>
    <w:basedOn w:val="Kappaleenoletusfontti"/>
    <w:uiPriority w:val="32"/>
    <w:rsid w:val="00A240AA"/>
    <w:rPr>
      <w:b/>
      <w:bCs/>
      <w:smallCaps/>
      <w:color w:val="365F91" w:themeColor="accent1" w:themeShade="BF"/>
      <w:spacing w:val="5"/>
    </w:rPr>
  </w:style>
  <w:style w:type="paragraph" w:styleId="Alaviitteenteksti">
    <w:name w:val="footnote text"/>
    <w:basedOn w:val="Normaali"/>
    <w:link w:val="AlaviitteentekstiChar"/>
    <w:uiPriority w:val="99"/>
    <w:semiHidden/>
    <w:unhideWhenUsed/>
    <w:rsid w:val="00DF2C0E"/>
    <w:rPr>
      <w:sz w:val="20"/>
    </w:rPr>
  </w:style>
  <w:style w:type="character" w:customStyle="1" w:styleId="AlaviitteentekstiChar">
    <w:name w:val="Alaviitteen teksti Char"/>
    <w:basedOn w:val="Kappaleenoletusfontti"/>
    <w:link w:val="Alaviitteenteksti"/>
    <w:uiPriority w:val="99"/>
    <w:semiHidden/>
    <w:rsid w:val="00DF2C0E"/>
    <w:rPr>
      <w:lang w:eastAsia="en-US"/>
    </w:rPr>
  </w:style>
  <w:style w:type="character" w:styleId="Alaviitteenviite">
    <w:name w:val="footnote reference"/>
    <w:basedOn w:val="Kappaleenoletusfontti"/>
    <w:uiPriority w:val="99"/>
    <w:semiHidden/>
    <w:unhideWhenUsed/>
    <w:rsid w:val="00DF2C0E"/>
    <w:rPr>
      <w:vertAlign w:val="superscript"/>
    </w:rPr>
  </w:style>
  <w:style w:type="character" w:styleId="Hyperlinkki">
    <w:name w:val="Hyperlink"/>
    <w:basedOn w:val="Kappaleenoletusfontti"/>
    <w:uiPriority w:val="99"/>
    <w:unhideWhenUsed/>
    <w:rsid w:val="00D76629"/>
    <w:rPr>
      <w:color w:val="0000FF" w:themeColor="hyperlink"/>
      <w:u w:val="single"/>
    </w:rPr>
  </w:style>
  <w:style w:type="character" w:styleId="Ratkaisematonmaininta">
    <w:name w:val="Unresolved Mention"/>
    <w:basedOn w:val="Kappaleenoletusfontti"/>
    <w:uiPriority w:val="99"/>
    <w:semiHidden/>
    <w:unhideWhenUsed/>
    <w:rsid w:val="00D76629"/>
    <w:rPr>
      <w:color w:val="605E5C"/>
      <w:shd w:val="clear" w:color="auto" w:fill="E1DFDD"/>
    </w:rPr>
  </w:style>
  <w:style w:type="paragraph" w:styleId="Loppuviitteenteksti">
    <w:name w:val="endnote text"/>
    <w:basedOn w:val="Normaali"/>
    <w:link w:val="LoppuviitteentekstiChar"/>
    <w:uiPriority w:val="99"/>
    <w:semiHidden/>
    <w:unhideWhenUsed/>
    <w:rsid w:val="002B6819"/>
    <w:rPr>
      <w:sz w:val="20"/>
    </w:rPr>
  </w:style>
  <w:style w:type="character" w:customStyle="1" w:styleId="LoppuviitteentekstiChar">
    <w:name w:val="Loppuviitteen teksti Char"/>
    <w:basedOn w:val="Kappaleenoletusfontti"/>
    <w:link w:val="Loppuviitteenteksti"/>
    <w:uiPriority w:val="99"/>
    <w:semiHidden/>
    <w:rsid w:val="002B6819"/>
    <w:rPr>
      <w:lang w:eastAsia="en-US"/>
    </w:rPr>
  </w:style>
  <w:style w:type="character" w:styleId="Loppuviitteenviite">
    <w:name w:val="endnote reference"/>
    <w:basedOn w:val="Kappaleenoletusfontti"/>
    <w:uiPriority w:val="99"/>
    <w:semiHidden/>
    <w:unhideWhenUsed/>
    <w:rsid w:val="002B6819"/>
    <w:rPr>
      <w:vertAlign w:val="superscript"/>
    </w:rPr>
  </w:style>
  <w:style w:type="character" w:styleId="AvattuHyperlinkki">
    <w:name w:val="FollowedHyperlink"/>
    <w:basedOn w:val="Kappaleenoletusfontti"/>
    <w:uiPriority w:val="99"/>
    <w:semiHidden/>
    <w:unhideWhenUsed/>
    <w:rsid w:val="00BA0949"/>
    <w:rPr>
      <w:color w:val="800080" w:themeColor="followedHyperlink"/>
      <w:u w:val="single"/>
    </w:rPr>
  </w:style>
  <w:style w:type="paragraph" w:styleId="NormaaliWWW">
    <w:name w:val="Normal (Web)"/>
    <w:basedOn w:val="Normaali"/>
    <w:uiPriority w:val="99"/>
    <w:semiHidden/>
    <w:unhideWhenUsed/>
    <w:rsid w:val="00B95385"/>
    <w:pPr>
      <w:spacing w:before="100" w:beforeAutospacing="1" w:after="100" w:afterAutospacing="1"/>
    </w:pPr>
    <w:rPr>
      <w:szCs w:val="24"/>
      <w:lang w:eastAsia="fi-FI"/>
    </w:rPr>
  </w:style>
  <w:style w:type="character" w:styleId="Korostus">
    <w:name w:val="Emphasis"/>
    <w:basedOn w:val="Kappaleenoletusfontti"/>
    <w:uiPriority w:val="20"/>
    <w:qFormat/>
    <w:rsid w:val="000A7D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140757">
      <w:bodyDiv w:val="1"/>
      <w:marLeft w:val="0"/>
      <w:marRight w:val="0"/>
      <w:marTop w:val="0"/>
      <w:marBottom w:val="0"/>
      <w:divBdr>
        <w:top w:val="none" w:sz="0" w:space="0" w:color="auto"/>
        <w:left w:val="none" w:sz="0" w:space="0" w:color="auto"/>
        <w:bottom w:val="none" w:sz="0" w:space="0" w:color="auto"/>
        <w:right w:val="none" w:sz="0" w:space="0" w:color="auto"/>
      </w:divBdr>
    </w:div>
    <w:div w:id="155924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mtvuutiset.fi/artikkeli/suomesta-datakeskusten-eldorado-veropomolta-suorat-sanat-miinusmerkkisia/9334084"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verkkouutiset.fi/a/professori-datakeskusten-suurin-riski-on-niiden-maaran-holtiton-kasvu"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helda.helsinki.fi/server/api/core/bitstreams/533969e6-e647-4fcd-b13c-afcb62effa2d/content"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yperlink" Target="https://helda.helsinki.fi/server/api/core/bitstreams/533969e6-e647-4fcd-b13c-afcb62effa2d/cont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emf"/><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fi.linkedin.com/in/satugreki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www.fdca.fi/wp-content/uploads/2025/09/FDCA-Market-Study-Impact-Modeling.pdf" TargetMode="External"/><Relationship Id="rId2" Type="http://schemas.openxmlformats.org/officeDocument/2006/relationships/hyperlink" Target="https://iot-analytics.com/data-center-infrastructure-market/" TargetMode="External"/><Relationship Id="rId1" Type="http://schemas.openxmlformats.org/officeDocument/2006/relationships/hyperlink" Target="https://marquee.gs.com/content/research/en/reports/2026/10/05/0bbe827e-0916-4b83-80d8-d5095597ec9d.html" TargetMode="External"/><Relationship Id="rId6" Type="http://schemas.openxmlformats.org/officeDocument/2006/relationships/hyperlink" Target="https://helda.helsinki.fi/server/api/core/bitstreams/533969e6-e647-4fcd-b13c-afcb62effa2d/content" TargetMode="External"/><Relationship Id="rId5" Type="http://schemas.openxmlformats.org/officeDocument/2006/relationships/hyperlink" Target="https://yle.fi/a/74-20219798" TargetMode="External"/><Relationship Id="rId4" Type="http://schemas.openxmlformats.org/officeDocument/2006/relationships/hyperlink" Target="https://www.fingrid.fi/globalassets/dokumentit/fi/kantaverkko/kantaverkon-kehittaminen/fingrid_kehittamissuunnitelma_2024-2033.pdf"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f6bfde8-e824-4253-8d57-8db55cf8063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EAD3DB17915C54E9C6E23B35C0030BF" ma:contentTypeVersion="10" ma:contentTypeDescription="Create a new document." ma:contentTypeScope="" ma:versionID="b62435f0d163a256780295930c83755c">
  <xsd:schema xmlns:xsd="http://www.w3.org/2001/XMLSchema" xmlns:xs="http://www.w3.org/2001/XMLSchema" xmlns:p="http://schemas.microsoft.com/office/2006/metadata/properties" xmlns:ns2="3f6bfde8-e824-4253-8d57-8db55cf80638" targetNamespace="http://schemas.microsoft.com/office/2006/metadata/properties" ma:root="true" ma:fieldsID="e895ca4c284545b5c49d16efaf06fd2d" ns2:_="">
    <xsd:import namespace="3f6bfde8-e824-4253-8d57-8db55cf806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bfde8-e824-4253-8d57-8db55cf806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74eb33-bc01-4b65-a333-7b16e5d3bc2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CD221F-77A8-41F5-9451-CA1EB843F51E}">
  <ds:schemaRefs>
    <ds:schemaRef ds:uri="http://schemas.microsoft.com/office/2006/metadata/properties"/>
    <ds:schemaRef ds:uri="http://schemas.microsoft.com/office/infopath/2007/PartnerControls"/>
    <ds:schemaRef ds:uri="3f6bfde8-e824-4253-8d57-8db55cf80638"/>
  </ds:schemaRefs>
</ds:datastoreItem>
</file>

<file path=customXml/itemProps2.xml><?xml version="1.0" encoding="utf-8"?>
<ds:datastoreItem xmlns:ds="http://schemas.openxmlformats.org/officeDocument/2006/customXml" ds:itemID="{752605C0-5CBC-4683-AEEF-90E6C2C961A4}">
  <ds:schemaRefs>
    <ds:schemaRef ds:uri="http://schemas.microsoft.com/sharepoint/v3/contenttype/forms"/>
  </ds:schemaRefs>
</ds:datastoreItem>
</file>

<file path=customXml/itemProps3.xml><?xml version="1.0" encoding="utf-8"?>
<ds:datastoreItem xmlns:ds="http://schemas.openxmlformats.org/officeDocument/2006/customXml" ds:itemID="{D7EC02A4-5AB9-46D7-A5B9-8E2045F22782}">
  <ds:schemaRefs>
    <ds:schemaRef ds:uri="http://schemas.openxmlformats.org/officeDocument/2006/bibliography"/>
  </ds:schemaRefs>
</ds:datastoreItem>
</file>

<file path=customXml/itemProps4.xml><?xml version="1.0" encoding="utf-8"?>
<ds:datastoreItem xmlns:ds="http://schemas.openxmlformats.org/officeDocument/2006/customXml" ds:itemID="{FAAEFCFE-4693-4F55-A91A-15056B048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bfde8-e824-4253-8d57-8db55cf806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2223</TotalTime>
  <Pages>18</Pages>
  <Words>3176</Words>
  <Characters>25734</Characters>
  <Application>Microsoft Office Word</Application>
  <DocSecurity>0</DocSecurity>
  <Lines>214</Lines>
  <Paragraphs>57</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28853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Rantala Mark (VM)</dc:creator>
  <cp:keywords/>
  <dc:description/>
  <cp:lastModifiedBy>Rantala Mark (VM)</cp:lastModifiedBy>
  <cp:revision>392</cp:revision>
  <dcterms:created xsi:type="dcterms:W3CDTF">2026-09-29T21:49:00Z</dcterms:created>
  <dcterms:modified xsi:type="dcterms:W3CDTF">2026-10-08T12:44:00Z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4462f58-56ce-4eb9-9eda-c3ed032e269e_Enabled">
    <vt:lpwstr>true</vt:lpwstr>
  </property>
  <property fmtid="{D5CDD505-2E9C-101B-9397-08002B2CF9AE}" pid="3" name="MSIP_Label_d4462f58-56ce-4eb9-9eda-c3ed032e269e_SetDate">
    <vt:lpwstr>2026-09-29T23:09:47Z</vt:lpwstr>
  </property>
  <property fmtid="{D5CDD505-2E9C-101B-9397-08002B2CF9AE}" pid="4" name="MSIP_Label_d4462f58-56ce-4eb9-9eda-c3ed032e269e_Method">
    <vt:lpwstr>Privileged</vt:lpwstr>
  </property>
  <property fmtid="{D5CDD505-2E9C-101B-9397-08002B2CF9AE}" pid="5" name="MSIP_Label_d4462f58-56ce-4eb9-9eda-c3ed032e269e_Name">
    <vt:lpwstr>Ei salassa pidettävä</vt:lpwstr>
  </property>
  <property fmtid="{D5CDD505-2E9C-101B-9397-08002B2CF9AE}" pid="6" name="MSIP_Label_d4462f58-56ce-4eb9-9eda-c3ed032e269e_SiteId">
    <vt:lpwstr>c39ecab6-fd9d-453a-92e9-1d8f40f2f504</vt:lpwstr>
  </property>
  <property fmtid="{D5CDD505-2E9C-101B-9397-08002B2CF9AE}" pid="7" name="MSIP_Label_d4462f58-56ce-4eb9-9eda-c3ed032e269e_ActionId">
    <vt:lpwstr>7b468c62-5fff-4c47-8b51-b71b715f98bf</vt:lpwstr>
  </property>
  <property fmtid="{D5CDD505-2E9C-101B-9397-08002B2CF9AE}" pid="8" name="MSIP_Label_d4462f58-56ce-4eb9-9eda-c3ed032e269e_ContentBits">
    <vt:lpwstr>0</vt:lpwstr>
  </property>
  <property fmtid="{D5CDD505-2E9C-101B-9397-08002B2CF9AE}" pid="9" name="MSIP_Label_d4462f58-56ce-4eb9-9eda-c3ed032e269e_Tag">
    <vt:lpwstr>10, 0, 1, 1</vt:lpwstr>
  </property>
  <property fmtid="{D5CDD505-2E9C-101B-9397-08002B2CF9AE}" pid="10" name="ContentTypeId">
    <vt:lpwstr>0x0101002EAD3DB17915C54E9C6E23B35C0030BF</vt:lpwstr>
  </property>
  <property fmtid="{D5CDD505-2E9C-101B-9397-08002B2CF9AE}" pid="11" name="MediaServiceImageTags">
    <vt:lpwstr/>
  </property>
</Properties>
</file>