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sz w:val="32"/>
          <w:szCs w:val="32"/>
        </w:rPr>
        <w:t xml:space="preserve">TECHNICAL MEMORANDUM</w:t>
      </w:r>
    </w:p>
    <w:p>
      <w:pPr>
        <w:pBdr>
          <w:bottom w:val="single" w:color="2E75B6" w:sz="12" w:space="4"/>
        </w:pBdr>
        <w:spacing w:after="240"/>
        <w:jc w:val="center"/>
      </w:pPr>
      <w:r>
        <w:rPr>
          <w:rFonts w:ascii="Arial" w:cs="Arial" w:eastAsia="Arial" w:hAnsi="Arial"/>
          <w:color w:val="595959"/>
          <w:sz w:val="22"/>
          <w:szCs w:val="22"/>
        </w:rPr>
        <w:t xml:space="preserve">HKL Infrastructure — DR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FBFBF" w:sz="4"/>
              <w:left w:val="single" w:color="BFBFBF" w:sz="4"/>
              <w:bottom w:val="single" w:color="BFBFBF" w:sz="4"/>
              <w:right w:val="single" w:color="BFBFBF" w:sz="4"/>
            </w:tcBorders>
            <w:shd w:fill="E7E6E6" w:color="auto" w:val="clear"/>
            <w:tcMar>
              <w:top w:type="dxa" w:w="100"/>
              <w:left w:type="dxa" w:w="140"/>
              <w:bottom w:type="dxa" w:w="100"/>
              <w:right w:type="dxa" w:w="140"/>
            </w:tcMar>
          </w:tcPr>
          <w:p>
            <w:pPr>
              <w:spacing w:after="0"/>
            </w:pPr>
            <w:r>
              <w:rPr>
                <w:rFonts w:ascii="Arial" w:cs="Arial" w:eastAsia="Arial" w:hAnsi="Arial"/>
                <w:b/>
                <w:bCs/>
                <w:sz w:val="20"/>
                <w:szCs w:val="20"/>
              </w:rPr>
              <w:t xml:space="preserve">TO</w:t>
            </w:r>
          </w:p>
        </w:tc>
        <w:tc>
          <w:tcPr>
            <w:tcW w:type="dxa" w:w="7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sz w:val="22"/>
                <w:szCs w:val="22"/>
              </w:rPr>
              <w:t xml:space="preserve">HKL Infrastructure Team</w:t>
            </w:r>
          </w:p>
        </w:tc>
      </w:tr>
      <w:tr>
        <w:tc>
          <w:tcPr>
            <w:tcW w:type="dxa" w:w="1800"/>
            <w:tcBorders>
              <w:top w:val="single" w:color="BFBFBF" w:sz="4"/>
              <w:left w:val="single" w:color="BFBFBF" w:sz="4"/>
              <w:bottom w:val="single" w:color="BFBFBF" w:sz="4"/>
              <w:right w:val="single" w:color="BFBFBF" w:sz="4"/>
            </w:tcBorders>
            <w:shd w:fill="E7E6E6" w:color="auto" w:val="clear"/>
            <w:tcMar>
              <w:top w:type="dxa" w:w="100"/>
              <w:left w:type="dxa" w:w="140"/>
              <w:bottom w:type="dxa" w:w="100"/>
              <w:right w:type="dxa" w:w="140"/>
            </w:tcMar>
          </w:tcPr>
          <w:p>
            <w:pPr>
              <w:spacing w:after="0"/>
            </w:pPr>
            <w:r>
              <w:rPr>
                <w:rFonts w:ascii="Arial" w:cs="Arial" w:eastAsia="Arial" w:hAnsi="Arial"/>
                <w:b/>
                <w:bCs/>
                <w:sz w:val="20"/>
                <w:szCs w:val="20"/>
              </w:rPr>
              <w:t xml:space="preserve">CC</w:t>
            </w:r>
          </w:p>
        </w:tc>
        <w:tc>
          <w:tcPr>
            <w:tcW w:type="dxa" w:w="7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sz w:val="22"/>
                <w:szCs w:val="22"/>
              </w:rPr>
              <w:t xml:space="preserve">Hugh (DB DevOps), HKL Security</w:t>
            </w:r>
          </w:p>
        </w:tc>
      </w:tr>
      <w:tr>
        <w:tc>
          <w:tcPr>
            <w:tcW w:type="dxa" w:w="1800"/>
            <w:tcBorders>
              <w:top w:val="single" w:color="BFBFBF" w:sz="4"/>
              <w:left w:val="single" w:color="BFBFBF" w:sz="4"/>
              <w:bottom w:val="single" w:color="BFBFBF" w:sz="4"/>
              <w:right w:val="single" w:color="BFBFBF" w:sz="4"/>
            </w:tcBorders>
            <w:shd w:fill="E7E6E6" w:color="auto" w:val="clear"/>
            <w:tcMar>
              <w:top w:type="dxa" w:w="100"/>
              <w:left w:type="dxa" w:w="140"/>
              <w:bottom w:type="dxa" w:w="100"/>
              <w:right w:type="dxa" w:w="140"/>
            </w:tcMar>
          </w:tcPr>
          <w:p>
            <w:pPr>
              <w:spacing w:after="0"/>
            </w:pPr>
            <w:r>
              <w:rPr>
                <w:rFonts w:ascii="Arial" w:cs="Arial" w:eastAsia="Arial" w:hAnsi="Arial"/>
                <w:b/>
                <w:bCs/>
                <w:sz w:val="20"/>
                <w:szCs w:val="20"/>
              </w:rPr>
              <w:t xml:space="preserve">FROM</w:t>
            </w:r>
          </w:p>
        </w:tc>
        <w:tc>
          <w:tcPr>
            <w:tcW w:type="dxa" w:w="7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sz w:val="22"/>
                <w:szCs w:val="22"/>
              </w:rPr>
              <w:t xml:space="preserve">Zul — CIS Level 1 Hardening Audit</w:t>
            </w:r>
          </w:p>
        </w:tc>
      </w:tr>
      <w:tr>
        <w:tc>
          <w:tcPr>
            <w:tcW w:type="dxa" w:w="1800"/>
            <w:tcBorders>
              <w:top w:val="single" w:color="BFBFBF" w:sz="4"/>
              <w:left w:val="single" w:color="BFBFBF" w:sz="4"/>
              <w:bottom w:val="single" w:color="BFBFBF" w:sz="4"/>
              <w:right w:val="single" w:color="BFBFBF" w:sz="4"/>
            </w:tcBorders>
            <w:shd w:fill="E7E6E6" w:color="auto" w:val="clear"/>
            <w:tcMar>
              <w:top w:type="dxa" w:w="100"/>
              <w:left w:type="dxa" w:w="140"/>
              <w:bottom w:type="dxa" w:w="100"/>
              <w:right w:type="dxa" w:w="140"/>
            </w:tcMar>
          </w:tcPr>
          <w:p>
            <w:pPr>
              <w:spacing w:after="0"/>
            </w:pPr>
            <w:r>
              <w:rPr>
                <w:rFonts w:ascii="Arial" w:cs="Arial" w:eastAsia="Arial" w:hAnsi="Arial"/>
                <w:b/>
                <w:bCs/>
                <w:sz w:val="20"/>
                <w:szCs w:val="20"/>
              </w:rPr>
              <w:t xml:space="preserve">DATE</w:t>
            </w:r>
          </w:p>
        </w:tc>
        <w:tc>
          <w:tcPr>
            <w:tcW w:type="dxa" w:w="7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sz w:val="22"/>
                <w:szCs w:val="22"/>
              </w:rPr>
              <w:t xml:space="preserve">19 April 2026</w:t>
            </w:r>
          </w:p>
        </w:tc>
      </w:tr>
      <w:tr>
        <w:tc>
          <w:tcPr>
            <w:tcW w:type="dxa" w:w="1800"/>
            <w:tcBorders>
              <w:top w:val="single" w:color="BFBFBF" w:sz="4"/>
              <w:left w:val="single" w:color="BFBFBF" w:sz="4"/>
              <w:bottom w:val="single" w:color="BFBFBF" w:sz="4"/>
              <w:right w:val="single" w:color="BFBFBF" w:sz="4"/>
            </w:tcBorders>
            <w:shd w:fill="E7E6E6" w:color="auto" w:val="clear"/>
            <w:tcMar>
              <w:top w:type="dxa" w:w="100"/>
              <w:left w:type="dxa" w:w="140"/>
              <w:bottom w:type="dxa" w:w="100"/>
              <w:right w:type="dxa" w:w="140"/>
            </w:tcMar>
          </w:tcPr>
          <w:p>
            <w:pPr>
              <w:spacing w:after="0"/>
            </w:pPr>
            <w:r>
              <w:rPr>
                <w:rFonts w:ascii="Arial" w:cs="Arial" w:eastAsia="Arial" w:hAnsi="Arial"/>
                <w:b/>
                <w:bCs/>
                <w:sz w:val="20"/>
                <w:szCs w:val="20"/>
              </w:rPr>
              <w:t xml:space="preserve">SUBJECT</w:t>
            </w:r>
          </w:p>
        </w:tc>
        <w:tc>
          <w:tcPr>
            <w:tcW w:type="dxa" w:w="7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sz w:val="22"/>
                <w:szCs w:val="22"/>
              </w:rPr>
              <w:t xml:space="preserve">DR HAProxy HA Pair Drift — Single VM Presenting as Two Hosts</w:t>
            </w:r>
          </w:p>
        </w:tc>
      </w:tr>
      <w:tr>
        <w:tc>
          <w:tcPr>
            <w:tcW w:type="dxa" w:w="1800"/>
            <w:tcBorders>
              <w:top w:val="single" w:color="BFBFBF" w:sz="4"/>
              <w:left w:val="single" w:color="BFBFBF" w:sz="4"/>
              <w:bottom w:val="single" w:color="BFBFBF" w:sz="4"/>
              <w:right w:val="single" w:color="BFBFBF" w:sz="4"/>
            </w:tcBorders>
            <w:shd w:fill="E7E6E6" w:color="auto" w:val="clear"/>
            <w:tcMar>
              <w:top w:type="dxa" w:w="100"/>
              <w:left w:type="dxa" w:w="140"/>
              <w:bottom w:type="dxa" w:w="100"/>
              <w:right w:type="dxa" w:w="140"/>
            </w:tcMar>
          </w:tcPr>
          <w:p>
            <w:pPr>
              <w:spacing w:after="0"/>
            </w:pPr>
            <w:r>
              <w:rPr>
                <w:rFonts w:ascii="Arial" w:cs="Arial" w:eastAsia="Arial" w:hAnsi="Arial"/>
                <w:b/>
                <w:bCs/>
                <w:sz w:val="20"/>
                <w:szCs w:val="20"/>
              </w:rPr>
              <w:t xml:space="preserve">CLASSIFICATION</w:t>
            </w:r>
          </w:p>
        </w:tc>
        <w:tc>
          <w:tcPr>
            <w:tcW w:type="dxa" w:w="7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sz w:val="22"/>
                <w:szCs w:val="22"/>
              </w:rPr>
              <w:t xml:space="preserve">Informational — Outside CIS Level 1 Hardening Scope</w:t>
            </w:r>
          </w:p>
        </w:tc>
      </w:tr>
    </w:tbl>
    <w:p>
      <w:pPr>
        <w:spacing w:after="120" w:line="300"/>
      </w:pPr>
      <w:r>
        <w:rPr>
          <w:rFonts w:ascii="Arial" w:cs="Arial" w:eastAsia="Arial" w:hAnsi="Arial"/>
          <w:sz w:val="22"/>
          <w:szCs w:val="22"/>
        </w:rPr>
        <w:t xml:space="preserve"/>
      </w:r>
    </w:p>
    <w:p>
      <w:pPr>
        <w:pStyle w:val="Heading1"/>
        <w:spacing w:after="160" w:before="320"/>
      </w:pPr>
      <w:r>
        <w:rPr>
          <w:rFonts w:ascii="Arial" w:cs="Arial" w:eastAsia="Arial" w:hAnsi="Arial"/>
          <w:b/>
          <w:bCs/>
          <w:sz w:val="28"/>
          <w:szCs w:val="28"/>
        </w:rPr>
        <w:t xml:space="preserve">1. Executive Summary</w:t>
      </w:r>
    </w:p>
    <w:p>
      <w:pPr>
        <w:spacing w:after="120" w:line="300"/>
      </w:pPr>
      <w:r>
        <w:rPr>
          <w:rFonts w:ascii="Arial" w:cs="Arial" w:eastAsia="Arial" w:hAnsi="Arial"/>
          <w:sz w:val="22"/>
          <w:szCs w:val="22"/>
        </w:rPr>
        <w:t xml:space="preserve">During pre-hardening verification of the HKLDR environment on 19 April 2026, the two HAProxy inventory entries — dr-haprox-01 (172.16.202.11) and dr-haprox-02 (172.16.202.12) — were found to be two IP addresses bound to a single physical VM rather than a redundant high-availability pair. DR therefore has no functional HAProxy failover today.</w:t>
      </w:r>
    </w:p>
    <w:p>
      <w:pPr>
        <w:spacing w:after="120" w:line="300"/>
      </w:pPr>
      <w:r>
        <w:rPr>
          <w:rFonts w:ascii="Arial" w:cs="Arial" w:eastAsia="Arial" w:hAnsi="Arial"/>
          <w:sz w:val="22"/>
          <w:szCs w:val="22"/>
        </w:rPr>
        <w:t xml:space="preserve">There is no immediate functional impact because DR is a standby site and production users are served from DC. However, the documented HA topology does not match reality, and the gap should be closed before DR is called on as an active site or before any future failover exercise.</w:t>
      </w:r>
    </w:p>
    <w:p>
      <w:pPr>
        <w:spacing w:after="120" w:line="300"/>
      </w:pPr>
      <w:r>
        <w:rPr>
          <w:rFonts w:ascii="Arial" w:cs="Arial" w:eastAsia="Arial" w:hAnsi="Arial"/>
          <w:sz w:val="22"/>
          <w:szCs w:val="22"/>
        </w:rPr>
        <w:t xml:space="preserve">Remediation is an infrastructure change and sits outside the CIS Level 1 hardening engagement. This memorandum records the observation for the HKL infrastructure team, explains how the CIS preflight tooling has been adjusted to accommodate the current state, and recommends a short pre-flight check against the production HAProxy pair before the 30 April prod cutover window.</w:t>
      </w:r>
    </w:p>
    <w:p>
      <w:pPr>
        <w:pStyle w:val="Heading1"/>
        <w:spacing w:after="160" w:before="320"/>
      </w:pPr>
      <w:r>
        <w:rPr>
          <w:rFonts w:ascii="Arial" w:cs="Arial" w:eastAsia="Arial" w:hAnsi="Arial"/>
          <w:b/>
          <w:bCs/>
          <w:sz w:val="28"/>
          <w:szCs w:val="28"/>
        </w:rPr>
        <w:t xml:space="preserve">2. Background</w:t>
      </w:r>
    </w:p>
    <w:p>
      <w:pPr>
        <w:spacing w:after="120" w:line="300"/>
      </w:pPr>
      <w:r>
        <w:rPr>
          <w:rFonts w:ascii="Arial" w:cs="Arial" w:eastAsia="Arial" w:hAnsi="Arial"/>
          <w:sz w:val="22"/>
          <w:szCs w:val="22"/>
        </w:rPr>
        <w:t xml:space="preserve">The HKLDR HAProxy layer is documented and inventoried as two nodes:</w:t>
      </w:r>
    </w:p>
    <w:p>
      <w:pPr>
        <w:pStyle w:val="ListParagraph"/>
        <w:numPr>
          <w:ilvl w:val="0"/>
          <w:numId w:val="2"/>
        </w:numPr>
        <w:spacing w:after="80" w:line="280"/>
      </w:pPr>
      <w:r>
        <w:rPr>
          <w:rFonts w:ascii="Arial" w:cs="Arial" w:eastAsia="Arial" w:hAnsi="Arial"/>
          <w:sz w:val="22"/>
          <w:szCs w:val="22"/>
        </w:rPr>
        <w:t xml:space="preserve">dr-haprox-01 — 172.16.202.11</w:t>
      </w:r>
    </w:p>
    <w:p>
      <w:pPr>
        <w:pStyle w:val="ListParagraph"/>
        <w:numPr>
          <w:ilvl w:val="0"/>
          <w:numId w:val="2"/>
        </w:numPr>
        <w:spacing w:after="80" w:line="280"/>
      </w:pPr>
      <w:r>
        <w:rPr>
          <w:rFonts w:ascii="Arial" w:cs="Arial" w:eastAsia="Arial" w:hAnsi="Arial"/>
          <w:sz w:val="22"/>
          <w:szCs w:val="22"/>
        </w:rPr>
        <w:t xml:space="preserve">dr-haprox-02 — 172.16.202.12</w:t>
      </w:r>
    </w:p>
    <w:p>
      <w:pPr>
        <w:spacing w:after="120" w:line="300"/>
      </w:pPr>
      <w:r>
        <w:rPr>
          <w:rFonts w:ascii="Arial" w:cs="Arial" w:eastAsia="Arial" w:hAnsi="Arial"/>
          <w:sz w:val="22"/>
          <w:szCs w:val="22"/>
        </w:rPr>
        <w:t xml:space="preserve">Both entries respond to SSH and appear as distinct hosts to Ansible inventory-based tooling. A floating VIP at 172.16.202.35 was assumed during preflight development, consistent with a typical keepalived VRRP pair.</w:t>
      </w:r>
    </w:p>
    <w:p>
      <w:pPr>
        <w:spacing w:after="120" w:line="300"/>
      </w:pPr>
      <w:r>
        <w:rPr>
          <w:rFonts w:ascii="Arial" w:cs="Arial" w:eastAsia="Arial" w:hAnsi="Arial"/>
          <w:sz w:val="22"/>
          <w:szCs w:val="22"/>
        </w:rPr>
        <w:t xml:space="preserve">This memorandum documents the finding that this topology does not exist in practice.</w:t>
      </w:r>
    </w:p>
    <w:p>
      <w:pPr>
        <w:pStyle w:val="Heading1"/>
        <w:spacing w:after="160" w:before="320"/>
      </w:pPr>
      <w:r>
        <w:rPr>
          <w:rFonts w:ascii="Arial" w:cs="Arial" w:eastAsia="Arial" w:hAnsi="Arial"/>
          <w:b/>
          <w:bCs/>
          <w:sz w:val="28"/>
          <w:szCs w:val="28"/>
        </w:rPr>
        <w:t xml:space="preserve">3. Investigation and Evidence</w:t>
      </w:r>
    </w:p>
    <w:p>
      <w:pPr>
        <w:spacing w:after="120" w:line="300"/>
      </w:pPr>
      <w:r>
        <w:rPr>
          <w:rFonts w:ascii="Arial" w:cs="Arial" w:eastAsia="Arial" w:hAnsi="Arial"/>
          <w:sz w:val="22"/>
          <w:szCs w:val="22"/>
        </w:rPr>
        <w:t xml:space="preserve">Identical diagnostic commands were executed against both IP addresses. Every check that would differ between two distinct Linux hosts returned matching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BFBFBF" w:sz="4"/>
              <w:left w:val="single" w:color="BFBFBF" w:sz="4"/>
              <w:bottom w:val="single" w:color="BFBFBF" w:sz="4"/>
              <w:right w:val="single" w:color="BFBFBF" w:sz="4"/>
            </w:tcBorders>
            <w:shd w:fill="D5E8F0" w:color="auto" w:val="clear"/>
            <w:tcMar>
              <w:top w:type="dxa" w:w="100"/>
              <w:left w:type="dxa" w:w="140"/>
              <w:bottom w:type="dxa" w:w="100"/>
              <w:right w:type="dxa" w:w="140"/>
            </w:tcMar>
          </w:tcPr>
          <w:p>
            <w:pPr>
              <w:spacing w:after="0"/>
            </w:pPr>
            <w:r>
              <w:rPr>
                <w:rFonts w:ascii="Arial" w:cs="Arial" w:eastAsia="Arial" w:hAnsi="Arial"/>
                <w:b/>
                <w:bCs/>
                <w:sz w:val="20"/>
                <w:szCs w:val="20"/>
              </w:rPr>
              <w:t xml:space="preserve">Check</w:t>
            </w:r>
          </w:p>
        </w:tc>
        <w:tc>
          <w:tcPr>
            <w:tcW w:type="dxa" w:w="3380"/>
            <w:tcBorders>
              <w:top w:val="single" w:color="BFBFBF" w:sz="4"/>
              <w:left w:val="single" w:color="BFBFBF" w:sz="4"/>
              <w:bottom w:val="single" w:color="BFBFBF" w:sz="4"/>
              <w:right w:val="single" w:color="BFBFBF" w:sz="4"/>
            </w:tcBorders>
            <w:shd w:fill="D5E8F0" w:color="auto" w:val="clear"/>
            <w:tcMar>
              <w:top w:type="dxa" w:w="100"/>
              <w:left w:type="dxa" w:w="140"/>
              <w:bottom w:type="dxa" w:w="100"/>
              <w:right w:type="dxa" w:w="140"/>
            </w:tcMar>
          </w:tcPr>
          <w:p>
            <w:pPr>
              <w:spacing w:after="0"/>
            </w:pPr>
            <w:r>
              <w:rPr>
                <w:rFonts w:ascii="Arial" w:cs="Arial" w:eastAsia="Arial" w:hAnsi="Arial"/>
                <w:b/>
                <w:bCs/>
                <w:sz w:val="20"/>
                <w:szCs w:val="20"/>
              </w:rPr>
              <w:t xml:space="preserve">Expected (distinct hosts)</w:t>
            </w:r>
          </w:p>
        </w:tc>
        <w:tc>
          <w:tcPr>
            <w:tcW w:type="dxa" w:w="3380"/>
            <w:tcBorders>
              <w:top w:val="single" w:color="BFBFBF" w:sz="4"/>
              <w:left w:val="single" w:color="BFBFBF" w:sz="4"/>
              <w:bottom w:val="single" w:color="BFBFBF" w:sz="4"/>
              <w:right w:val="single" w:color="BFBFBF" w:sz="4"/>
            </w:tcBorders>
            <w:shd w:fill="D5E8F0" w:color="auto" w:val="clear"/>
            <w:tcMar>
              <w:top w:type="dxa" w:w="100"/>
              <w:left w:type="dxa" w:w="140"/>
              <w:bottom w:type="dxa" w:w="100"/>
              <w:right w:type="dxa" w:w="140"/>
            </w:tcMar>
          </w:tcPr>
          <w:p>
            <w:pPr>
              <w:spacing w:after="0"/>
            </w:pPr>
            <w:r>
              <w:rPr>
                <w:rFonts w:ascii="Arial" w:cs="Arial" w:eastAsia="Arial" w:hAnsi="Arial"/>
                <w:b/>
                <w:bCs/>
                <w:sz w:val="20"/>
                <w:szCs w:val="20"/>
              </w:rPr>
              <w:t xml:space="preserve">Observed (both IPs)</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sz w:val="20"/>
                <w:szCs w:val="20"/>
              </w:rPr>
              <w:t xml:space="preserve">/etc/machine-id</w:t>
            </w:r>
          </w:p>
        </w:tc>
        <w:tc>
          <w:tcPr>
            <w:tcW w:type="dxa" w:w="33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sz w:val="20"/>
                <w:szCs w:val="20"/>
              </w:rPr>
              <w:t xml:space="preserve">Two different UUIDs</w:t>
            </w:r>
          </w:p>
        </w:tc>
        <w:tc>
          <w:tcPr>
            <w:tcW w:type="dxa" w:w="33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Consolas" w:cs="Consolas" w:eastAsia="Consolas" w:hAnsi="Consolas"/>
                <w:sz w:val="18"/>
                <w:szCs w:val="18"/>
              </w:rPr>
              <w:t xml:space="preserve">2de6c17023914f1c9fa986b1886bde77 on both</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sz w:val="20"/>
                <w:szCs w:val="20"/>
              </w:rPr>
              <w:t xml:space="preserve">hostname / /etc/hostname</w:t>
            </w:r>
          </w:p>
        </w:tc>
        <w:tc>
          <w:tcPr>
            <w:tcW w:type="dxa" w:w="33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sz w:val="20"/>
                <w:szCs w:val="20"/>
              </w:rPr>
              <w:t xml:space="preserve">dr-haprox-01 vs dr-haprox-02</w:t>
            </w:r>
          </w:p>
        </w:tc>
        <w:tc>
          <w:tcPr>
            <w:tcW w:type="dxa" w:w="33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Consolas" w:cs="Consolas" w:eastAsia="Consolas" w:hAnsi="Consolas"/>
                <w:sz w:val="18"/>
                <w:szCs w:val="18"/>
              </w:rPr>
              <w:t xml:space="preserve">dr-haproxy-02 on both</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sz w:val="20"/>
                <w:szCs w:val="20"/>
              </w:rPr>
              <w:t xml:space="preserve">haproxy / keepalived PIDs</w:t>
            </w:r>
          </w:p>
        </w:tc>
        <w:tc>
          <w:tcPr>
            <w:tcW w:type="dxa" w:w="33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sz w:val="20"/>
                <w:szCs w:val="20"/>
              </w:rPr>
              <w:t xml:space="preserve">Different PIDs per host</w:t>
            </w:r>
          </w:p>
        </w:tc>
        <w:tc>
          <w:tcPr>
            <w:tcW w:type="dxa" w:w="33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Consolas" w:cs="Consolas" w:eastAsia="Consolas" w:hAnsi="Consolas"/>
                <w:sz w:val="18"/>
                <w:szCs w:val="18"/>
              </w:rPr>
              <w:t xml:space="preserve">Identical (1046723, 1046754, 1046765, 1046766)</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sz w:val="20"/>
                <w:szCs w:val="20"/>
              </w:rPr>
              <w:t xml:space="preserve">ip -4 addr show eth0</w:t>
            </w:r>
          </w:p>
        </w:tc>
        <w:tc>
          <w:tcPr>
            <w:tcW w:type="dxa" w:w="33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sz w:val="20"/>
                <w:szCs w:val="20"/>
              </w:rPr>
              <w:t xml:space="preserve">One IP per interface</w:t>
            </w:r>
          </w:p>
        </w:tc>
        <w:tc>
          <w:tcPr>
            <w:tcW w:type="dxa" w:w="33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Consolas" w:cs="Consolas" w:eastAsia="Consolas" w:hAnsi="Consolas"/>
                <w:sz w:val="18"/>
                <w:szCs w:val="18"/>
              </w:rPr>
              <w:t xml:space="preserve">eth0=172.16.202.11 and eth0:1=172.16.202.12 (secondary)</w:t>
            </w:r>
          </w:p>
        </w:tc>
      </w:tr>
    </w:tbl>
    <w:p>
      <w:pPr>
        <w:spacing w:after="120" w:line="300"/>
      </w:pPr>
      <w:r>
        <w:rPr>
          <w:rFonts w:ascii="Arial" w:cs="Arial" w:eastAsia="Arial" w:hAnsi="Arial"/>
          <w:sz w:val="22"/>
          <w:szCs w:val="22"/>
        </w:rPr>
        <w:t xml:space="preserve"/>
      </w:r>
    </w:p>
    <w:p>
      <w:pPr>
        <w:spacing w:after="120" w:line="300"/>
      </w:pPr>
      <w:r>
        <w:rPr>
          <w:rFonts w:ascii="Arial" w:cs="Arial" w:eastAsia="Arial" w:hAnsi="Arial"/>
          <w:sz w:val="22"/>
          <w:szCs w:val="22"/>
        </w:rPr>
        <w:t xml:space="preserve">Network interface inspection on both sessions returned the same addressing:</w:t>
      </w:r>
    </w:p>
    <w:p>
      <w:pPr>
        <w:shd w:fill="F4F4F4" w:color="auto" w:val="clear"/>
        <w:spacing w:after="80" w:line="260"/>
      </w:pPr>
      <w:r>
        <w:rPr>
          <w:rFonts w:ascii="Consolas" w:cs="Consolas" w:eastAsia="Consolas" w:hAnsi="Consolas"/>
          <w:sz w:val="18"/>
          <w:szCs w:val="18"/>
        </w:rPr>
        <w:t xml:space="preserve">  eth0:   172.16.202.11/24    (primary)</w:t>
      </w:r>
    </w:p>
    <w:p>
      <w:pPr>
        <w:shd w:fill="F4F4F4" w:color="auto" w:val="clear"/>
        <w:spacing w:after="80" w:line="260"/>
      </w:pPr>
      <w:r>
        <w:rPr>
          <w:rFonts w:ascii="Consolas" w:cs="Consolas" w:eastAsia="Consolas" w:hAnsi="Consolas"/>
          <w:sz w:val="18"/>
          <w:szCs w:val="18"/>
        </w:rPr>
        <w:t xml:space="preserve">  eth0:1: 172.16.202.12/24    (secondary alias)</w:t>
      </w:r>
    </w:p>
    <w:p>
      <w:pPr>
        <w:spacing w:after="120" w:line="300"/>
      </w:pPr>
      <w:r>
        <w:rPr>
          <w:rFonts w:ascii="Arial" w:cs="Arial" w:eastAsia="Arial" w:hAnsi="Arial"/>
          <w:sz w:val="22"/>
          <w:szCs w:val="22"/>
        </w:rPr>
        <w:t xml:space="preserve">Both IPs answer SSH because the kernel accepts traffic for either address on eth0. The two inventory entries are two routes to the same Linux kernel, same filesystem, same process table, same journal.</w:t>
      </w:r>
    </w:p>
    <w:p>
      <w:pPr>
        <w:pStyle w:val="Heading1"/>
        <w:spacing w:after="160" w:before="320"/>
      </w:pPr>
      <w:r>
        <w:rPr>
          <w:rFonts w:ascii="Arial" w:cs="Arial" w:eastAsia="Arial" w:hAnsi="Arial"/>
          <w:b/>
          <w:bCs/>
          <w:sz w:val="28"/>
          <w:szCs w:val="28"/>
        </w:rPr>
        <w:t xml:space="preserve">4. Keepalived Configuration Analysis</w:t>
      </w:r>
    </w:p>
    <w:p>
      <w:pPr>
        <w:spacing w:after="120" w:line="300"/>
      </w:pPr>
      <w:r>
        <w:rPr>
          <w:rFonts w:ascii="Arial" w:cs="Arial" w:eastAsia="Arial" w:hAnsi="Arial"/>
          <w:sz w:val="22"/>
          <w:szCs w:val="22"/>
        </w:rPr>
        <w:t xml:space="preserve">/etc/keepalived/keepalived.conf on the VM (content is identical regardless of which IP is used to access the host):</w:t>
      </w:r>
    </w:p>
    <w:p>
      <w:pPr>
        <w:shd w:fill="F4F4F4" w:color="auto" w:val="clear"/>
        <w:spacing w:after="80" w:line="260"/>
      </w:pPr>
      <w:r>
        <w:rPr>
          <w:rFonts w:ascii="Consolas" w:cs="Consolas" w:eastAsia="Consolas" w:hAnsi="Consolas"/>
          <w:sz w:val="18"/>
          <w:szCs w:val="18"/>
        </w:rPr>
        <w:t xml:space="preserve">vrrp_instance VI_1 {</w:t>
      </w:r>
    </w:p>
    <w:p>
      <w:pPr>
        <w:shd w:fill="F4F4F4" w:color="auto" w:val="clear"/>
        <w:spacing w:after="80" w:line="260"/>
      </w:pPr>
      <w:r>
        <w:rPr>
          <w:rFonts w:ascii="Consolas" w:cs="Consolas" w:eastAsia="Consolas" w:hAnsi="Consolas"/>
          <w:sz w:val="18"/>
          <w:szCs w:val="18"/>
        </w:rPr>
        <w:t xml:space="preserve">  interface eth0</w:t>
      </w:r>
    </w:p>
    <w:p>
      <w:pPr>
        <w:shd w:fill="F4F4F4" w:color="auto" w:val="clear"/>
        <w:spacing w:after="80" w:line="260"/>
      </w:pPr>
      <w:r>
        <w:rPr>
          <w:rFonts w:ascii="Consolas" w:cs="Consolas" w:eastAsia="Consolas" w:hAnsi="Consolas"/>
          <w:sz w:val="18"/>
          <w:szCs w:val="18"/>
        </w:rPr>
        <w:t xml:space="preserve">  state BACKUP</w:t>
      </w:r>
    </w:p>
    <w:p>
      <w:pPr>
        <w:shd w:fill="F4F4F4" w:color="auto" w:val="clear"/>
        <w:spacing w:after="80" w:line="260"/>
      </w:pPr>
      <w:r>
        <w:rPr>
          <w:rFonts w:ascii="Consolas" w:cs="Consolas" w:eastAsia="Consolas" w:hAnsi="Consolas"/>
          <w:sz w:val="18"/>
          <w:szCs w:val="18"/>
        </w:rPr>
        <w:t xml:space="preserve">  priority 100</w:t>
      </w:r>
    </w:p>
    <w:p>
      <w:pPr>
        <w:shd w:fill="F4F4F4" w:color="auto" w:val="clear"/>
        <w:spacing w:after="80" w:line="260"/>
      </w:pPr>
      <w:r>
        <w:rPr>
          <w:rFonts w:ascii="Consolas" w:cs="Consolas" w:eastAsia="Consolas" w:hAnsi="Consolas"/>
          <w:sz w:val="18"/>
          <w:szCs w:val="18"/>
        </w:rPr>
        <w:t xml:space="preserve">  virtual_router_id 23</w:t>
      </w:r>
    </w:p>
    <w:p>
      <w:pPr>
        <w:shd w:fill="F4F4F4" w:color="auto" w:val="clear"/>
        <w:spacing w:after="80" w:line="260"/>
      </w:pPr>
      <w:r>
        <w:rPr>
          <w:rFonts w:ascii="Consolas" w:cs="Consolas" w:eastAsia="Consolas" w:hAnsi="Consolas"/>
          <w:sz w:val="18"/>
          <w:szCs w:val="18"/>
        </w:rPr>
        <w:t xml:space="preserve">  nopreempt</w:t>
      </w:r>
    </w:p>
    <w:p>
      <w:pPr>
        <w:shd w:fill="F4F4F4" w:color="auto" w:val="clear"/>
        <w:spacing w:after="80" w:line="260"/>
      </w:pPr>
      <w:r>
        <w:rPr>
          <w:rFonts w:ascii="Consolas" w:cs="Consolas" w:eastAsia="Consolas" w:hAnsi="Consolas"/>
          <w:sz w:val="18"/>
          <w:szCs w:val="18"/>
        </w:rPr>
        <w:t xml:space="preserve">  virtual_ipaddress {</w:t>
      </w:r>
    </w:p>
    <w:p>
      <w:pPr>
        <w:shd w:fill="F4F4F4" w:color="auto" w:val="clear"/>
        <w:spacing w:after="80" w:line="260"/>
      </w:pPr>
      <w:r>
        <w:rPr>
          <w:rFonts w:ascii="Consolas" w:cs="Consolas" w:eastAsia="Consolas" w:hAnsi="Consolas"/>
          <w:sz w:val="18"/>
          <w:szCs w:val="18"/>
        </w:rPr>
        <w:t xml:space="preserve">    172.16.202.12/24 dev eth0 label eth0:1</w:t>
      </w:r>
    </w:p>
    <w:p>
      <w:pPr>
        <w:shd w:fill="F4F4F4" w:color="auto" w:val="clear"/>
        <w:spacing w:after="80" w:line="260"/>
      </w:pPr>
      <w:r>
        <w:rPr>
          <w:rFonts w:ascii="Consolas" w:cs="Consolas" w:eastAsia="Consolas" w:hAnsi="Consolas"/>
          <w:sz w:val="18"/>
          <w:szCs w:val="18"/>
        </w:rPr>
        <w:t xml:space="preserve">  }</w:t>
      </w:r>
    </w:p>
    <w:p>
      <w:pPr>
        <w:shd w:fill="F4F4F4" w:color="auto" w:val="clear"/>
        <w:spacing w:after="80" w:line="260"/>
      </w:pPr>
      <w:r>
        <w:rPr>
          <w:rFonts w:ascii="Consolas" w:cs="Consolas" w:eastAsia="Consolas" w:hAnsi="Consolas"/>
          <w:sz w:val="18"/>
          <w:szCs w:val="18"/>
        </w:rPr>
        <w:t xml:space="preserve">  track_script { chk_haproxy }</w:t>
      </w:r>
    </w:p>
    <w:p>
      <w:pPr>
        <w:shd w:fill="F4F4F4" w:color="auto" w:val="clear"/>
        <w:spacing w:after="80" w:line="260"/>
      </w:pPr>
      <w:r>
        <w:rPr>
          <w:rFonts w:ascii="Consolas" w:cs="Consolas" w:eastAsia="Consolas" w:hAnsi="Consolas"/>
          <w:sz w:val="18"/>
          <w:szCs w:val="18"/>
        </w:rPr>
        <w:t xml:space="preserve">}</w:t>
      </w:r>
    </w:p>
    <w:p>
      <w:pPr>
        <w:spacing w:after="120" w:line="300"/>
      </w:pPr>
      <w:r>
        <w:rPr>
          <w:rFonts w:ascii="Arial" w:cs="Arial" w:eastAsia="Arial" w:hAnsi="Arial"/>
          <w:sz w:val="22"/>
          <w:szCs w:val="22"/>
        </w:rPr>
        <w:t xml:space="preserve">Two problems are evident:</w:t>
      </w:r>
    </w:p>
    <w:p>
      <w:pPr>
        <w:pStyle w:val="ListParagraph"/>
        <w:numPr>
          <w:ilvl w:val="0"/>
          <w:numId w:val="3"/>
        </w:numPr>
        <w:spacing w:after="80" w:line="280"/>
      </w:pPr>
      <w:r>
        <w:rPr>
          <w:rFonts w:ascii="Arial" w:cs="Arial" w:eastAsia="Arial" w:hAnsi="Arial"/>
          <w:sz w:val="22"/>
          <w:szCs w:val="22"/>
        </w:rPr>
        <w:t xml:space="preserve">virtual_ipaddress is set to 172.16.202.12, which is already a static secondary alias on eth0:1. Keepalived starts, observes that the target address is already present on the interface, transitions to MASTER, and takes no further action. The systemd journal confirms no state changes over the prior 48 hours.</w:t>
      </w:r>
    </w:p>
    <w:p>
      <w:pPr>
        <w:pStyle w:val="ListParagraph"/>
        <w:numPr>
          <w:ilvl w:val="0"/>
          <w:numId w:val="3"/>
        </w:numPr>
        <w:spacing w:after="80" w:line="280"/>
      </w:pPr>
      <w:r>
        <w:rPr>
          <w:rFonts w:ascii="Arial" w:cs="Arial" w:eastAsia="Arial" w:hAnsi="Arial"/>
          <w:sz w:val="22"/>
          <w:szCs w:val="22"/>
        </w:rPr>
        <w:t xml:space="preserve">There is no peer node, so VRRP has nothing to negotiate against. The state BACKUP / priority 100 / nopreempt pattern suggests this file was originally authored as one half of a pair.</w:t>
      </w:r>
    </w:p>
    <w:p>
      <w:pPr>
        <w:spacing w:after="120" w:line="300"/>
      </w:pPr>
      <w:r>
        <w:rPr>
          <w:rFonts w:ascii="Arial" w:cs="Arial" w:eastAsia="Arial" w:hAnsi="Arial"/>
          <w:sz w:val="22"/>
          <w:szCs w:val="22"/>
        </w:rPr>
        <w:t xml:space="preserve">No floating VIP on 172.16.202.35 exists anywhere on the DR network. That address was an assumption carried into preflight development and does not correspond to a configured resource.</w:t>
      </w:r>
    </w:p>
    <w:p>
      <w:pPr>
        <w:pStyle w:val="Heading1"/>
        <w:spacing w:after="160" w:before="320"/>
      </w:pPr>
      <w:r>
        <w:rPr>
          <w:rFonts w:ascii="Arial" w:cs="Arial" w:eastAsia="Arial" w:hAnsi="Arial"/>
          <w:b/>
          <w:bCs/>
          <w:sz w:val="28"/>
          <w:szCs w:val="28"/>
        </w:rPr>
        <w:t xml:space="preserve">5. Impact Assessment</w:t>
      </w:r>
    </w:p>
    <w:p>
      <w:pPr>
        <w:pStyle w:val="Heading2"/>
        <w:spacing w:after="120" w:before="240"/>
      </w:pPr>
      <w:r>
        <w:rPr>
          <w:rFonts w:ascii="Arial" w:cs="Arial" w:eastAsia="Arial" w:hAnsi="Arial"/>
          <w:b/>
          <w:bCs/>
          <w:sz w:val="24"/>
          <w:szCs w:val="24"/>
        </w:rPr>
        <w:t xml:space="preserve">5.1 Current Operations</w:t>
      </w:r>
    </w:p>
    <w:p>
      <w:pPr>
        <w:spacing w:after="120" w:line="300"/>
      </w:pPr>
      <w:r>
        <w:rPr>
          <w:rFonts w:ascii="Arial" w:cs="Arial" w:eastAsia="Arial" w:hAnsi="Arial"/>
          <w:sz w:val="22"/>
          <w:szCs w:val="22"/>
        </w:rPr>
        <w:t xml:space="preserve">No user-facing impact. DR is a standby site; production traffic is served from DC. Internal DR application components that might ordinarily traverse HAProxy currently reach MongoDB, MySQL, and RabbitMQ backends directly, so the absence of a functioning HAProxy path is not observable in normal DR operation.</w:t>
      </w:r>
    </w:p>
    <w:p>
      <w:pPr>
        <w:pStyle w:val="Heading2"/>
        <w:spacing w:after="120" w:before="240"/>
      </w:pPr>
      <w:r>
        <w:rPr>
          <w:rFonts w:ascii="Arial" w:cs="Arial" w:eastAsia="Arial" w:hAnsi="Arial"/>
          <w:b/>
          <w:bCs/>
          <w:sz w:val="24"/>
          <w:szCs w:val="24"/>
        </w:rPr>
        <w:t xml:space="preserve">5.2 Reboot Dress Rehearsal</w:t>
      </w:r>
    </w:p>
    <w:p>
      <w:pPr>
        <w:spacing w:after="120" w:line="300"/>
      </w:pPr>
      <w:r>
        <w:rPr>
          <w:rFonts w:ascii="Arial" w:cs="Arial" w:eastAsia="Arial" w:hAnsi="Arial"/>
          <w:sz w:val="22"/>
          <w:szCs w:val="22"/>
        </w:rPr>
        <w:t xml:space="preserve">Under the current inventory, rebooting dr-haprox-01 and dr-haprox-02 in series will reboot the same physical VM twice. The operation is idempotent but wasteful and does not exercise real failover, because no failover is configured to exercise.</w:t>
      </w:r>
    </w:p>
    <w:p>
      <w:pPr>
        <w:pStyle w:val="Heading2"/>
        <w:spacing w:after="120" w:before="240"/>
      </w:pPr>
      <w:r>
        <w:rPr>
          <w:rFonts w:ascii="Arial" w:cs="Arial" w:eastAsia="Arial" w:hAnsi="Arial"/>
          <w:b/>
          <w:bCs/>
          <w:sz w:val="24"/>
          <w:szCs w:val="24"/>
        </w:rPr>
        <w:t xml:space="preserve">5.3 Failover Risk</w:t>
      </w:r>
    </w:p>
    <w:p>
      <w:pPr>
        <w:spacing w:after="120" w:line="300"/>
      </w:pPr>
      <w:r>
        <w:rPr>
          <w:rFonts w:ascii="Arial" w:cs="Arial" w:eastAsia="Arial" w:hAnsi="Arial"/>
          <w:sz w:val="22"/>
          <w:szCs w:val="22"/>
        </w:rPr>
        <w:t xml:space="preserve">If the single VM fails, the DR HAProxy layer fails with it. If DR is ever promoted to active, the documented high-availability property does not hold.</w:t>
      </w:r>
    </w:p>
    <w:p>
      <w:pPr>
        <w:pStyle w:val="Heading1"/>
        <w:spacing w:after="160" w:before="320"/>
      </w:pPr>
      <w:r>
        <w:rPr>
          <w:rFonts w:ascii="Arial" w:cs="Arial" w:eastAsia="Arial" w:hAnsi="Arial"/>
          <w:b/>
          <w:bCs/>
          <w:sz w:val="28"/>
          <w:szCs w:val="28"/>
        </w:rPr>
        <w:t xml:space="preserve">6. Scope Determination</w:t>
      </w:r>
    </w:p>
    <w:p>
      <w:pPr>
        <w:spacing w:after="120" w:line="300"/>
      </w:pPr>
      <w:r>
        <w:rPr>
          <w:rFonts w:ascii="Arial" w:cs="Arial" w:eastAsia="Arial" w:hAnsi="Arial"/>
          <w:sz w:val="22"/>
          <w:szCs w:val="22"/>
        </w:rPr>
        <w:t xml:space="preserve">The CIS Level 1 Server benchmark defines host-hardening controls: account policies, filesystem permissions, kernel parameters, audit logging, service minimisation, and similar. Whether an environment runs one HAProxy VM or two, and whether VRRP is correctly configured between them, is an infrastructure-topology concern. It is not addressed by any CIS L1 rule.</w:t>
      </w:r>
    </w:p>
    <w:p>
      <w:pPr>
        <w:spacing w:after="120" w:line="300"/>
      </w:pPr>
      <w:r>
        <w:rPr>
          <w:rFonts w:ascii="Arial" w:cs="Arial" w:eastAsia="Arial" w:hAnsi="Arial"/>
          <w:sz w:val="22"/>
          <w:szCs w:val="22"/>
        </w:rPr>
        <w:t xml:space="preserve">Fixing the DR HAProxy HA topology — by provisioning a second VM, correcting the keepalived configuration to use a genuinely floating VIP, and removing the duplicate inventory entry — is recorded here as an observation for the HKL infrastructure team and is not tracked as a CIS L1 audit finding.</w:t>
      </w:r>
    </w:p>
    <w:p>
      <w:pPr>
        <w:pStyle w:val="Heading1"/>
        <w:spacing w:after="160" w:before="320"/>
      </w:pPr>
      <w:r>
        <w:rPr>
          <w:rFonts w:ascii="Arial" w:cs="Arial" w:eastAsia="Arial" w:hAnsi="Arial"/>
          <w:b/>
          <w:bCs/>
          <w:sz w:val="28"/>
          <w:szCs w:val="28"/>
        </w:rPr>
        <w:t xml:space="preserve">7. Preflight Handling Change</w:t>
      </w:r>
    </w:p>
    <w:p>
      <w:pPr>
        <w:spacing w:after="120" w:line="300"/>
      </w:pPr>
      <w:r>
        <w:rPr>
          <w:rFonts w:ascii="Arial" w:cs="Arial" w:eastAsia="Arial" w:hAnsi="Arial"/>
          <w:sz w:val="22"/>
          <w:szCs w:val="22"/>
        </w:rPr>
        <w:t xml:space="preserve">deliverables/ansible/preflight-check.yml now treats the VIP-holder check as advisory by default. The relevant variable:</w:t>
      </w:r>
    </w:p>
    <w:p>
      <w:pPr>
        <w:shd w:fill="F4F4F4" w:color="auto" w:val="clear"/>
        <w:spacing w:after="80" w:line="260"/>
      </w:pPr>
      <w:r>
        <w:rPr>
          <w:rFonts w:ascii="Consolas" w:cs="Consolas" w:eastAsia="Consolas" w:hAnsi="Consolas"/>
          <w:sz w:val="18"/>
          <w:szCs w:val="18"/>
        </w:rPr>
        <w:t xml:space="preserve">vars:</w:t>
      </w:r>
    </w:p>
    <w:p>
      <w:pPr>
        <w:shd w:fill="F4F4F4" w:color="auto" w:val="clear"/>
        <w:spacing w:after="80" w:line="260"/>
      </w:pPr>
      <w:r>
        <w:rPr>
          <w:rFonts w:ascii="Consolas" w:cs="Consolas" w:eastAsia="Consolas" w:hAnsi="Consolas"/>
          <w:sz w:val="18"/>
          <w:szCs w:val="18"/>
        </w:rPr>
        <w:t xml:space="preserve">  enforce_vip_check: false</w:t>
      </w:r>
    </w:p>
    <w:p>
      <w:pPr>
        <w:spacing w:after="120" w:line="300"/>
      </w:pPr>
      <w:r>
        <w:rPr>
          <w:rFonts w:ascii="Arial" w:cs="Arial" w:eastAsia="Arial" w:hAnsi="Arial"/>
          <w:sz w:val="22"/>
          <w:szCs w:val="22"/>
        </w:rPr>
        <w:t xml:space="preserve">With the default value, the playbook logs a warning when the VIP count is not exactly one but does not fail the preflight run. For environments with a real keepalived pair (notably production, pending verification), the check can be enforced on the command line:</w:t>
      </w:r>
    </w:p>
    <w:p>
      <w:pPr>
        <w:shd w:fill="F4F4F4" w:color="auto" w:val="clear"/>
        <w:spacing w:after="80" w:line="260"/>
      </w:pPr>
      <w:r>
        <w:rPr>
          <w:rFonts w:ascii="Consolas" w:cs="Consolas" w:eastAsia="Consolas" w:hAnsi="Consolas"/>
          <w:sz w:val="18"/>
          <w:szCs w:val="18"/>
        </w:rPr>
        <w:t xml:space="preserve">ansible-playbook -i inventories/prod.ini preflight-check.yml \</w:t>
      </w:r>
    </w:p>
    <w:p>
      <w:pPr>
        <w:shd w:fill="F4F4F4" w:color="auto" w:val="clear"/>
        <w:spacing w:after="80" w:line="260"/>
      </w:pPr>
      <w:r>
        <w:rPr>
          <w:rFonts w:ascii="Consolas" w:cs="Consolas" w:eastAsia="Consolas" w:hAnsi="Consolas"/>
          <w:sz w:val="18"/>
          <w:szCs w:val="18"/>
        </w:rPr>
        <w:t xml:space="preserve">  --vault-password-file .vault_pass \</w:t>
      </w:r>
    </w:p>
    <w:p>
      <w:pPr>
        <w:shd w:fill="F4F4F4" w:color="auto" w:val="clear"/>
        <w:spacing w:after="80" w:line="260"/>
      </w:pPr>
      <w:r>
        <w:rPr>
          <w:rFonts w:ascii="Consolas" w:cs="Consolas" w:eastAsia="Consolas" w:hAnsi="Consolas"/>
          <w:sz w:val="18"/>
          <w:szCs w:val="18"/>
        </w:rPr>
        <w:t xml:space="preserve">  -e enforce_vip_check=true</w:t>
      </w:r>
    </w:p>
    <w:p>
      <w:pPr>
        <w:spacing w:after="120" w:line="300"/>
      </w:pPr>
      <w:r>
        <w:rPr>
          <w:rFonts w:ascii="Arial" w:cs="Arial" w:eastAsia="Arial" w:hAnsi="Arial"/>
          <w:sz w:val="22"/>
          <w:szCs w:val="22"/>
        </w:rPr>
        <w:t xml:space="preserve">This preserves the check’s value for production while avoiding a false failure on DR.</w:t>
      </w:r>
    </w:p>
    <w:p>
      <w:pPr>
        <w:pStyle w:val="Heading1"/>
        <w:spacing w:after="160" w:before="320"/>
      </w:pPr>
      <w:r>
        <w:rPr>
          <w:rFonts w:ascii="Arial" w:cs="Arial" w:eastAsia="Arial" w:hAnsi="Arial"/>
          <w:b/>
          <w:bCs/>
          <w:sz w:val="28"/>
          <w:szCs w:val="28"/>
        </w:rPr>
        <w:t xml:space="preserve">8. Recommendations</w:t>
      </w:r>
    </w:p>
    <w:p>
      <w:pPr>
        <w:pStyle w:val="Heading2"/>
        <w:spacing w:after="120" w:before="240"/>
      </w:pPr>
      <w:r>
        <w:rPr>
          <w:rFonts w:ascii="Arial" w:cs="Arial" w:eastAsia="Arial" w:hAnsi="Arial"/>
          <w:b/>
          <w:bCs/>
          <w:sz w:val="24"/>
          <w:szCs w:val="24"/>
        </w:rPr>
        <w:t xml:space="preserve">8.1 For the HKL Infrastructure Team</w:t>
      </w:r>
    </w:p>
    <w:p>
      <w:pPr>
        <w:pStyle w:val="ListParagraph"/>
        <w:numPr>
          <w:ilvl w:val="0"/>
          <w:numId w:val="3"/>
        </w:numPr>
        <w:spacing w:after="80" w:line="280"/>
      </w:pPr>
      <w:r>
        <w:rPr>
          <w:rFonts w:ascii="Arial" w:cs="Arial" w:eastAsia="Arial" w:hAnsi="Arial"/>
          <w:sz w:val="22"/>
          <w:szCs w:val="22"/>
        </w:rPr>
        <w:t xml:space="preserve">Decide the intended target state for DR HAProxy: a genuine two-VM HA pair, or an explicit single-node deployment with the inventory and documentation reflecting that choice.</w:t>
      </w:r>
    </w:p>
    <w:p>
      <w:pPr>
        <w:pStyle w:val="ListParagraph"/>
        <w:numPr>
          <w:ilvl w:val="0"/>
          <w:numId w:val="3"/>
        </w:numPr>
        <w:spacing w:after="80" w:line="280"/>
      </w:pPr>
      <w:r>
        <w:rPr>
          <w:rFonts w:ascii="Arial" w:cs="Arial" w:eastAsia="Arial" w:hAnsi="Arial"/>
          <w:sz w:val="22"/>
          <w:szCs w:val="22"/>
        </w:rPr>
        <w:t xml:space="preserve">If a two-VM HA pair is desired, provision a second VM with a distinct machine-id, hostname, and primary IP; remove 172.16.202.12 from eth0:1 on the current VM; configure keepalived on both nodes with matching virtual_router_id, complementary state/priority pairs, and a floating virtual_ipaddress that is not already bound to an interface.</w:t>
      </w:r>
    </w:p>
    <w:p>
      <w:pPr>
        <w:pStyle w:val="ListParagraph"/>
        <w:numPr>
          <w:ilvl w:val="0"/>
          <w:numId w:val="3"/>
        </w:numPr>
        <w:spacing w:after="80" w:line="280"/>
      </w:pPr>
      <w:r>
        <w:rPr>
          <w:rFonts w:ascii="Arial" w:cs="Arial" w:eastAsia="Arial" w:hAnsi="Arial"/>
          <w:sz w:val="22"/>
          <w:szCs w:val="22"/>
        </w:rPr>
        <w:t xml:space="preserve">If a single-node deployment is acceptable, remove the dr-haprox-02 entry from the Ansible inventory, remove the 172.16.202.12 secondary alias if unused, and remove or disable keepalived.</w:t>
      </w:r>
    </w:p>
    <w:p>
      <w:pPr>
        <w:pStyle w:val="ListParagraph"/>
        <w:numPr>
          <w:ilvl w:val="0"/>
          <w:numId w:val="3"/>
        </w:numPr>
        <w:spacing w:after="80" w:line="280"/>
      </w:pPr>
      <w:r>
        <w:rPr>
          <w:rFonts w:ascii="Arial" w:cs="Arial" w:eastAsia="Arial" w:hAnsi="Arial"/>
          <w:sz w:val="22"/>
          <w:szCs w:val="22"/>
        </w:rPr>
        <w:t xml:space="preserve">Confirm whether a floating VIP at 172.16.202.35 is required by any downstream consumer. If so, configure it on the HA pair; if not, remove the expectation from internal documentation.</w:t>
      </w:r>
    </w:p>
    <w:p>
      <w:pPr>
        <w:pStyle w:val="Heading2"/>
        <w:spacing w:after="120" w:before="240"/>
      </w:pPr>
      <w:r>
        <w:rPr>
          <w:rFonts w:ascii="Arial" w:cs="Arial" w:eastAsia="Arial" w:hAnsi="Arial"/>
          <w:b/>
          <w:bCs/>
          <w:sz w:val="24"/>
          <w:szCs w:val="24"/>
        </w:rPr>
        <w:t xml:space="preserve">8.2 For the CIS L1 Audit Workstream</w:t>
      </w:r>
    </w:p>
    <w:p>
      <w:pPr>
        <w:pStyle w:val="ListParagraph"/>
        <w:numPr>
          <w:ilvl w:val="0"/>
          <w:numId w:val="3"/>
        </w:numPr>
        <w:spacing w:after="80" w:line="280"/>
      </w:pPr>
      <w:r>
        <w:rPr>
          <w:rFonts w:ascii="Arial" w:cs="Arial" w:eastAsia="Arial" w:hAnsi="Arial"/>
          <w:sz w:val="22"/>
          <w:szCs w:val="22"/>
        </w:rPr>
        <w:t xml:space="preserve">Proceed with DR hardening and the 30 April production cutover using the softened preflight default described in section 7.</w:t>
      </w:r>
    </w:p>
    <w:p>
      <w:pPr>
        <w:pStyle w:val="ListParagraph"/>
        <w:numPr>
          <w:ilvl w:val="0"/>
          <w:numId w:val="3"/>
        </w:numPr>
        <w:spacing w:after="80" w:line="280"/>
      </w:pPr>
      <w:r>
        <w:rPr>
          <w:rFonts w:ascii="Arial" w:cs="Arial" w:eastAsia="Arial" w:hAnsi="Arial"/>
          <w:sz w:val="22"/>
          <w:szCs w:val="22"/>
        </w:rPr>
        <w:t xml:space="preserve">Before the production reboot window on 30 April, run the machine-id check described in section 9 against the production HAProxy hosts to confirm whether prod is a real HA pair or exhibits the same drift.</w:t>
      </w:r>
    </w:p>
    <w:p>
      <w:pPr>
        <w:pStyle w:val="Heading1"/>
        <w:spacing w:after="160" w:before="320"/>
      </w:pPr>
      <w:r>
        <w:rPr>
          <w:rFonts w:ascii="Arial" w:cs="Arial" w:eastAsia="Arial" w:hAnsi="Arial"/>
          <w:b/>
          <w:bCs/>
          <w:sz w:val="28"/>
          <w:szCs w:val="28"/>
        </w:rPr>
        <w:t xml:space="preserve">9. Next Steps Before 30 April Prod Cutover</w:t>
      </w:r>
    </w:p>
    <w:p>
      <w:pPr>
        <w:spacing w:after="120" w:line="300"/>
      </w:pPr>
      <w:r>
        <w:rPr>
          <w:rFonts w:ascii="Arial" w:cs="Arial" w:eastAsia="Arial" w:hAnsi="Arial"/>
          <w:sz w:val="22"/>
          <w:szCs w:val="22"/>
        </w:rPr>
        <w:t xml:space="preserve">Prior to the production reboot window, execute the following verification from the Ansible control node:</w:t>
      </w:r>
    </w:p>
    <w:p>
      <w:pPr>
        <w:shd w:fill="F4F4F4" w:color="auto" w:val="clear"/>
        <w:spacing w:after="80" w:line="260"/>
      </w:pPr>
      <w:r>
        <w:rPr>
          <w:rFonts w:ascii="Consolas" w:cs="Consolas" w:eastAsia="Consolas" w:hAnsi="Consolas"/>
          <w:sz w:val="18"/>
          <w:szCs w:val="18"/>
        </w:rPr>
        <w:t xml:space="preserve">for host in &lt;prod-haproxy-01-ip&gt; &lt;prod-haproxy-02-ip&gt;; do</w:t>
      </w:r>
    </w:p>
    <w:p>
      <w:pPr>
        <w:shd w:fill="F4F4F4" w:color="auto" w:val="clear"/>
        <w:spacing w:after="80" w:line="260"/>
      </w:pPr>
      <w:r>
        <w:rPr>
          <w:rFonts w:ascii="Consolas" w:cs="Consolas" w:eastAsia="Consolas" w:hAnsi="Consolas"/>
          <w:sz w:val="18"/>
          <w:szCs w:val="18"/>
        </w:rPr>
        <w:t xml:space="preserve">  ssh ubuntu@$host "cat /etc/machine-id; hostname"</w:t>
      </w:r>
    </w:p>
    <w:p>
      <w:pPr>
        <w:shd w:fill="F4F4F4" w:color="auto" w:val="clear"/>
        <w:spacing w:after="80" w:line="260"/>
      </w:pPr>
      <w:r>
        <w:rPr>
          <w:rFonts w:ascii="Consolas" w:cs="Consolas" w:eastAsia="Consolas" w:hAnsi="Consolas"/>
          <w:sz w:val="18"/>
          <w:szCs w:val="18"/>
        </w:rPr>
        <w:t xml:space="preserve">done</w:t>
      </w:r>
    </w:p>
    <w:p>
      <w:pPr>
        <w:spacing w:after="120" w:line="300"/>
      </w:pPr>
      <w:r>
        <w:rPr>
          <w:rFonts w:ascii="Arial" w:cs="Arial" w:eastAsia="Arial" w:hAnsi="Arial"/>
          <w:sz w:val="22"/>
          <w:szCs w:val="22"/>
        </w:rPr>
        <w:t xml:space="preserve">Interpretation:</w:t>
      </w:r>
    </w:p>
    <w:p>
      <w:pPr>
        <w:pStyle w:val="ListParagraph"/>
        <w:numPr>
          <w:ilvl w:val="0"/>
          <w:numId w:val="2"/>
        </w:numPr>
        <w:spacing w:after="80" w:line="280"/>
      </w:pPr>
      <w:r>
        <w:rPr>
          <w:rFonts w:ascii="Arial" w:cs="Arial" w:eastAsia="Arial" w:hAnsi="Arial"/>
          <w:sz w:val="22"/>
          <w:szCs w:val="22"/>
        </w:rPr>
        <w:t xml:space="preserve">If both machine-ids and hostnames differ, production has a genuine HA pair. Run the prod preflight with -e enforce_vip_check=true so the VIP-holder check is enforced.</w:t>
      </w:r>
    </w:p>
    <w:p>
      <w:pPr>
        <w:pStyle w:val="ListParagraph"/>
        <w:numPr>
          <w:ilvl w:val="0"/>
          <w:numId w:val="2"/>
        </w:numPr>
        <w:spacing w:after="80" w:line="280"/>
      </w:pPr>
      <w:r>
        <w:rPr>
          <w:rFonts w:ascii="Arial" w:cs="Arial" w:eastAsia="Arial" w:hAnsi="Arial"/>
          <w:sz w:val="22"/>
          <w:szCs w:val="22"/>
        </w:rPr>
        <w:t xml:space="preserve">If machine-ids match, production exhibits the same single-VM drift as DR. Adjust the reboot plan to a single reboot (instead of serial:1 across two inventory entries) and raise a matching infrastructure ticket for prod.</w:t>
      </w:r>
    </w:p>
    <w:p>
      <w:pPr>
        <w:pStyle w:val="Heading1"/>
        <w:spacing w:after="160" w:before="320"/>
      </w:pPr>
      <w:r>
        <w:rPr>
          <w:rFonts w:ascii="Arial" w:cs="Arial" w:eastAsia="Arial" w:hAnsi="Arial"/>
          <w:b/>
          <w:bCs/>
          <w:sz w:val="28"/>
          <w:szCs w:val="28"/>
        </w:rPr>
        <w:t xml:space="preserve">10. References</w:t>
      </w:r>
    </w:p>
    <w:p>
      <w:pPr>
        <w:pStyle w:val="ListParagraph"/>
        <w:numPr>
          <w:ilvl w:val="0"/>
          <w:numId w:val="2"/>
        </w:numPr>
        <w:spacing w:after="80" w:line="280"/>
      </w:pPr>
      <w:r>
        <w:rPr>
          <w:rFonts w:ascii="Arial" w:cs="Arial" w:eastAsia="Arial" w:hAnsi="Arial"/>
          <w:sz w:val="22"/>
          <w:szCs w:val="22"/>
        </w:rPr>
        <w:t xml:space="preserve">deliverables/audit-findings/DR-HAProxy-HA-topology.md — source investigation notes</w:t>
      </w:r>
    </w:p>
    <w:p>
      <w:pPr>
        <w:pStyle w:val="ListParagraph"/>
        <w:numPr>
          <w:ilvl w:val="0"/>
          <w:numId w:val="2"/>
        </w:numPr>
        <w:spacing w:after="80" w:line="280"/>
      </w:pPr>
      <w:r>
        <w:rPr>
          <w:rFonts w:ascii="Arial" w:cs="Arial" w:eastAsia="Arial" w:hAnsi="Arial"/>
          <w:sz w:val="22"/>
          <w:szCs w:val="22"/>
        </w:rPr>
        <w:t xml:space="preserve">deliverables/ansible/preflight-check.yml — Play 7 (VIP-holder summary), enforce_vip_check variable</w:t>
      </w:r>
    </w:p>
    <w:p>
      <w:pPr>
        <w:pStyle w:val="ListParagraph"/>
        <w:numPr>
          <w:ilvl w:val="0"/>
          <w:numId w:val="2"/>
        </w:numPr>
        <w:spacing w:after="80" w:line="280"/>
      </w:pPr>
      <w:r>
        <w:rPr>
          <w:rFonts w:ascii="Arial" w:cs="Arial" w:eastAsia="Arial" w:hAnsi="Arial"/>
          <w:sz w:val="22"/>
          <w:szCs w:val="22"/>
        </w:rPr>
        <w:t xml:space="preserve">deliverables/ansible/inventories/dr.ini — dr-haprox-01, dr-haprox-02 entries</w:t>
      </w:r>
    </w:p>
    <w:p>
      <w:pPr>
        <w:pStyle w:val="ListParagraph"/>
        <w:numPr>
          <w:ilvl w:val="0"/>
          <w:numId w:val="2"/>
        </w:numPr>
        <w:spacing w:after="80" w:line="280"/>
      </w:pPr>
      <w:r>
        <w:rPr>
          <w:rFonts w:ascii="Arial" w:cs="Arial" w:eastAsia="Arial" w:hAnsi="Arial"/>
          <w:sz w:val="22"/>
          <w:szCs w:val="22"/>
        </w:rPr>
        <w:t xml:space="preserve">/etc/keepalived/keepalived.conf on 172.16.202.11 / 172.16.202.12</w:t>
      </w:r>
    </w:p>
    <w:p>
      <w:pPr>
        <w:pStyle w:val="Heading1"/>
        <w:spacing w:after="160" w:before="320"/>
      </w:pPr>
      <w:r>
        <w:rPr>
          <w:rFonts w:ascii="Arial" w:cs="Arial" w:eastAsia="Arial" w:hAnsi="Arial"/>
          <w:b/>
          <w:bCs/>
          <w:sz w:val="28"/>
          <w:szCs w:val="28"/>
        </w:rPr>
        <w:t xml:space="preserve">— End of Memorandum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808080"/>
        <w:sz w:val="18"/>
        <w:szCs w:val="18"/>
      </w:rPr>
      <w:t xml:space="preserve">DR-HAProxy-HA-topology-memo — 19 April 2026</w:t>
    </w:r>
    <w:r>
      <w:rPr>
        <w:rFonts w:ascii="Arial" w:cs="Arial" w:eastAsia="Arial" w:hAnsi="Arial"/>
        <w:sz w:val="18"/>
        <w:szCs w:val="18"/>
      </w:rPr>
      <w:t xml:space="preserve">	</w:t>
    </w:r>
    <w:r>
      <w:rPr>
        <w:rFonts w:ascii="Arial" w:cs="Arial" w:eastAsia="Arial" w:hAnsi="Arial"/>
        <w:color w:val="808080"/>
        <w:sz w:val="18"/>
        <w:szCs w:val="18"/>
      </w:rPr>
      <w:t xml:space="preserve">Page </w:t>
    </w:r>
    <w:r>
      <w:rPr>
        <w:rFonts w:ascii="Arial" w:cs="Arial" w:eastAsia="Arial" w:hAnsi="Arial"/>
        <w:color w:val="808080"/>
        <w:sz w:val="18"/>
        <w:szCs w:val="18"/>
      </w:rPr>
      <w:fldChar w:fldCharType="begin"/>
      <w:instrText xml:space="preserve">PAGE</w:instrText>
      <w:fldChar w:fldCharType="separate"/>
      <w:fldChar w:fldCharType="end"/>
    </w:r>
    <w:r>
      <w:rPr>
        <w:rFonts w:ascii="Arial" w:cs="Arial" w:eastAsia="Arial" w:hAnsi="Arial"/>
        <w:color w:val="808080"/>
        <w:sz w:val="18"/>
        <w:szCs w:val="18"/>
      </w:rPr>
      <w:t xml:space="preserve"> of </w:t>
    </w:r>
    <w:r>
      <w:rPr>
        <w:rFonts w:ascii="Arial" w:cs="Arial" w:eastAsia="Arial" w:hAnsi="Arial"/>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08080"/>
        <w:sz w:val="18"/>
        <w:szCs w:val="18"/>
      </w:rPr>
      <w:t xml:space="preserve">HKL — CIS L1 Audit — Technical Memorandum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 HAProxy HA Topology — Technical Memorandum</dc:title>
  <dc:creator>Zul</dc:creator>
  <dc:description>CIS L1 audit finding: DR HAProxy single-VM drift</dc:description>
  <cp:lastModifiedBy>Un-named</cp:lastModifiedBy>
  <cp:revision>1</cp:revision>
  <dcterms:created xsi:type="dcterms:W3CDTF">2026-04-19T11:07:57.289Z</dcterms:created>
  <dcterms:modified xsi:type="dcterms:W3CDTF">2026-04-19T11:07:57.299Z</dcterms:modified>
</cp:coreProperties>
</file>

<file path=docProps/custom.xml><?xml version="1.0" encoding="utf-8"?>
<Properties xmlns="http://schemas.openxmlformats.org/officeDocument/2006/custom-properties" xmlns:vt="http://schemas.openxmlformats.org/officeDocument/2006/docPropsVTypes"/>
</file>