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rFonts w:ascii="Arial" w:cs="Arial" w:hAnsi="Arial"/>
          <w:b/>
          <w:sz w:val="20"/>
          <w:szCs w:val="20"/>
        </w:rPr>
        <w:t>Spis treści</w:t>
      </w:r>
    </w:p>
    <w:p>
      <w:pPr>
        <w:pStyle w:val="style21"/>
        <w:spacing w:after="0" w:before="0" w:line="100" w:lineRule="atLeast"/>
        <w:ind w:hanging="0" w:left="360" w:right="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Jakość handlowa dostaw energii elektrycznej;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 xml:space="preserve">Standardy dotyczące obsługi odbiorców , zapytań , skarg i reklamacji 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Standardy dotyczące pomiarów energii i rozliczeń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Standardy dotyczące przyłączenia do sieci.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Standardy dotyczące przerw w dostawie energii i jakości napięcia</w:t>
      </w:r>
    </w:p>
    <w:p>
      <w:pPr>
        <w:pStyle w:val="style21"/>
        <w:spacing w:after="0" w:before="0" w:line="100" w:lineRule="atLeast"/>
        <w:ind w:hanging="0" w:left="360" w:right="0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Jakość napięcia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Regulacja napięcia a regulacja ciągłości zasilania.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Podstawowe zasady regulacji jakości napięcia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Monitorowanie istniejącego poziomu jakości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Ciągłość dostaw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 xml:space="preserve">Zdarzenia wyjątkowe w systeme </w:t>
      </w:r>
    </w:p>
    <w:p>
      <w:pPr>
        <w:pStyle w:val="style21"/>
        <w:numPr>
          <w:ilvl w:val="0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Systemy monitoringu jakości energii elektrycznej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Struktura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Wymagania</w:t>
      </w:r>
    </w:p>
    <w:p>
      <w:pPr>
        <w:pStyle w:val="style21"/>
        <w:numPr>
          <w:ilvl w:val="1"/>
          <w:numId w:val="1"/>
        </w:numPr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  <w:t>Standardy</w:t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b/>
          <w:sz w:val="20"/>
          <w:szCs w:val="20"/>
        </w:rPr>
      </w:r>
    </w:p>
    <w:p>
      <w:pPr>
        <w:pStyle w:val="style0"/>
        <w:spacing w:after="0" w:before="0" w:line="100" w:lineRule="atLeast"/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spacing w:after="0" w:before="0" w:line="100" w:lineRule="atLeast"/>
        <w:jc w:val="right"/>
      </w:pPr>
      <w:r>
        <w:rPr>
          <w:rFonts w:ascii="Arial" w:cs="Arial" w:hAnsi="Arial"/>
          <w:sz w:val="20"/>
          <w:szCs w:val="20"/>
        </w:rPr>
        <w:t>Mateusz Zuń</w:t>
      </w:r>
    </w:p>
    <w:p>
      <w:pPr>
        <w:pStyle w:val="style0"/>
      </w:pPr>
      <w:r>
        <w:rPr>
          <w:sz w:val="20"/>
          <w:szCs w:val="20"/>
        </w:rPr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pl-PL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2013-11-12T21:17:00.00Z</dcterms:created>
  <dc:creator>MZ</dc:creator>
  <cp:lastModifiedBy>MZ</cp:lastModifiedBy>
  <dcterms:modified xsi:type="dcterms:W3CDTF">2013-11-12T21:30:00.00Z</dcterms:modified>
  <cp:revision>2</cp:revision>
</cp:coreProperties>
</file>