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76"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Pr>
        <w:drawing>
          <wp:anchor allowOverlap="1" behindDoc="0" distB="0" distT="0" distL="114300" distR="114300" hidden="0" layoutInCell="1" locked="0" relativeHeight="0" simplePos="0">
            <wp:simplePos x="0" y="0"/>
            <wp:positionH relativeFrom="margin">
              <wp:posOffset>0</wp:posOffset>
            </wp:positionH>
            <wp:positionV relativeFrom="margin">
              <wp:posOffset>-427354</wp:posOffset>
            </wp:positionV>
            <wp:extent cx="1460500" cy="901700"/>
            <wp:effectExtent b="0" l="0" r="0" t="0"/>
            <wp:wrapSquare wrapText="bothSides" distB="0" distT="0" distL="114300" distR="114300"/>
            <wp:docPr descr="A logo with a cube&#10;&#10;AI-generated content may be incorrect." id="1580196660" name="image2.png"/>
            <a:graphic>
              <a:graphicData uri="http://schemas.openxmlformats.org/drawingml/2006/picture">
                <pic:pic>
                  <pic:nvPicPr>
                    <pic:cNvPr descr="A logo with a cube&#10;&#10;AI-generated content may be incorrect." id="0" name="image2.png"/>
                    <pic:cNvPicPr preferRelativeResize="0"/>
                  </pic:nvPicPr>
                  <pic:blipFill>
                    <a:blip r:embed="rId7"/>
                    <a:srcRect b="0" l="0" r="0" t="0"/>
                    <a:stretch>
                      <a:fillRect/>
                    </a:stretch>
                  </pic:blipFill>
                  <pic:spPr>
                    <a:xfrm>
                      <a:off x="0" y="0"/>
                      <a:ext cx="1460500" cy="901700"/>
                    </a:xfrm>
                    <a:prstGeom prst="rect"/>
                    <a:ln/>
                  </pic:spPr>
                </pic:pic>
              </a:graphicData>
            </a:graphic>
          </wp:anchor>
        </w:drawing>
      </w:r>
      <w:r w:rsidDel="00000000" w:rsidR="00000000" w:rsidRPr="00000000">
        <w:rPr>
          <w:rFonts w:ascii="Times New Roman" w:cs="Times New Roman" w:eastAsia="Times New Roman" w:hAnsi="Times New Roman"/>
          <w:b w:val="1"/>
          <w:bCs w:val="1"/>
          <w:sz w:val="36"/>
          <w:szCs w:val="36"/>
          <w:rtl w:val="0"/>
        </w:rPr>
        <w:tab/>
        <w:tab/>
        <w:tab/>
        <w:tab/>
        <w:tab/>
        <w:tab/>
        <w:t xml:space="preserve">     </w:t>
      </w:r>
      <w:r w:rsidDel="00000000" w:rsidR="00000000" w:rsidRPr="00000000">
        <w:drawing>
          <wp:anchor allowOverlap="1" behindDoc="0" distB="0" distT="0" distL="114300" distR="114300" hidden="0" layoutInCell="1" locked="0" relativeHeight="0" simplePos="0">
            <wp:simplePos x="0" y="0"/>
            <wp:positionH relativeFrom="column">
              <wp:posOffset>4425784</wp:posOffset>
            </wp:positionH>
            <wp:positionV relativeFrom="paragraph">
              <wp:posOffset>-267831</wp:posOffset>
            </wp:positionV>
            <wp:extent cx="1245600" cy="583200"/>
            <wp:effectExtent b="0" l="0" r="0" t="0"/>
            <wp:wrapNone/>
            <wp:docPr id="158019666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245600" cy="583200"/>
                    </a:xfrm>
                    <a:prstGeom prst="rect"/>
                    <a:ln/>
                  </pic:spPr>
                </pic:pic>
              </a:graphicData>
            </a:graphic>
          </wp:anchor>
        </w:drawing>
      </w:r>
    </w:p>
    <w:p w:rsidR="00000000" w:rsidDel="00000000" w:rsidP="00000000" w:rsidRDefault="00000000" w:rsidRPr="00000000" w14:paraId="00000002">
      <w:pPr>
        <w:spacing w:after="280" w:before="280" w:line="276"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3">
      <w:pPr>
        <w:spacing w:after="280" w:before="280" w:line="27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Topic 2: Implementation Models for Banks in the Context of the Digital Euro</w:t>
      </w:r>
    </w:p>
    <w:p w:rsidR="00000000" w:rsidDel="00000000" w:rsidP="00000000" w:rsidRDefault="00000000" w:rsidRPr="00000000" w14:paraId="00000004">
      <w:pPr>
        <w:spacing w:after="280" w:before="28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280" w:before="280" w:line="276" w:lineRule="auto"/>
        <w:rPr>
          <w:rFonts w:ascii="Times New Roman" w:cs="Times New Roman" w:eastAsia="Times New Roman" w:hAnsi="Times New Roman"/>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Research Focus:</w:t>
      </w:r>
      <w:r w:rsidDel="00000000" w:rsidR="00000000" w:rsidRPr="00000000">
        <w:rPr>
          <w:rtl w:val="0"/>
        </w:rPr>
      </w:r>
    </w:p>
    <w:p w:rsidR="00000000" w:rsidDel="00000000" w:rsidP="00000000" w:rsidRDefault="00000000" w:rsidRPr="00000000" w14:paraId="00000006">
      <w:pPr>
        <w:spacing w:after="280" w:before="2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thesis explores how banks can strategically implement the Digital Euro in a </w:t>
      </w:r>
      <w:r w:rsidDel="00000000" w:rsidR="00000000" w:rsidRPr="00000000">
        <w:rPr>
          <w:rFonts w:ascii="Times New Roman" w:cs="Times New Roman" w:eastAsia="Times New Roman" w:hAnsi="Times New Roman"/>
          <w:b w:val="1"/>
          <w:bCs w:val="1"/>
          <w:rtl w:val="0"/>
        </w:rPr>
        <w:t xml:space="preserve">cost-efficient, scalable, and compliant</w:t>
      </w:r>
      <w:r w:rsidDel="00000000" w:rsidR="00000000" w:rsidRPr="00000000">
        <w:rPr>
          <w:rFonts w:ascii="Times New Roman" w:cs="Times New Roman" w:eastAsia="Times New Roman" w:hAnsi="Times New Roman"/>
          <w:rtl w:val="0"/>
        </w:rPr>
        <w:t xml:space="preserve"> manner within the ECB’s </w:t>
      </w:r>
      <w:r w:rsidDel="00000000" w:rsidR="00000000" w:rsidRPr="00000000">
        <w:rPr>
          <w:rFonts w:ascii="Times New Roman" w:cs="Times New Roman" w:eastAsia="Times New Roman" w:hAnsi="Times New Roman"/>
          <w:b w:val="1"/>
          <w:bCs w:val="1"/>
          <w:rtl w:val="0"/>
        </w:rPr>
        <w:t xml:space="preserve">Digital Euro Service Platform (DESP)</w:t>
      </w:r>
      <w:r w:rsidDel="00000000" w:rsidR="00000000" w:rsidRPr="00000000">
        <w:rPr>
          <w:rFonts w:ascii="Times New Roman" w:cs="Times New Roman" w:eastAsia="Times New Roman" w:hAnsi="Times New Roman"/>
          <w:rtl w:val="0"/>
        </w:rPr>
        <w:t xml:space="preserve"> framework. It investigates different </w:t>
      </w:r>
      <w:r w:rsidDel="00000000" w:rsidR="00000000" w:rsidRPr="00000000">
        <w:rPr>
          <w:rFonts w:ascii="Times New Roman" w:cs="Times New Roman" w:eastAsia="Times New Roman" w:hAnsi="Times New Roman"/>
          <w:b w:val="1"/>
          <w:bCs w:val="1"/>
          <w:rtl w:val="0"/>
        </w:rPr>
        <w:t xml:space="preserve">strategic implementation approaches</w:t>
      </w:r>
      <w:r w:rsidDel="00000000" w:rsidR="00000000" w:rsidRPr="00000000">
        <w:rPr>
          <w:rFonts w:ascii="Times New Roman" w:cs="Times New Roman" w:eastAsia="Times New Roman" w:hAnsi="Times New Roman"/>
          <w:rtl w:val="0"/>
        </w:rPr>
        <w:t xml:space="preserve"> (ranging from proprietary to collaborative and hybrid setups) and assesses their financial, technical, and organizational implications. The goal is to derive recommendations for banks on how to structure their implementation to ensure efficiency, interoperability, and long-term adaptability.</w:t>
      </w:r>
    </w:p>
    <w:p w:rsidR="00000000" w:rsidDel="00000000" w:rsidP="00000000" w:rsidRDefault="00000000" w:rsidRPr="00000000" w14:paraId="00000007">
      <w:pPr>
        <w:spacing w:line="276" w:lineRule="auto"/>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08">
      <w:pPr>
        <w:spacing w:line="276" w:lineRule="auto"/>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Outline:</w:t>
      </w:r>
    </w:p>
    <w:p w:rsidR="00000000" w:rsidDel="00000000" w:rsidP="00000000" w:rsidRDefault="00000000" w:rsidRPr="00000000" w14:paraId="00000009">
      <w:pPr>
        <w:spacing w:after="280" w:before="28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Introduction</w:t>
      </w:r>
    </w:p>
    <w:p w:rsidR="00000000" w:rsidDel="00000000" w:rsidP="00000000" w:rsidRDefault="00000000" w:rsidRPr="00000000" w14:paraId="0000000A">
      <w:pPr>
        <w:numPr>
          <w:ilvl w:val="0"/>
          <w:numId w:val="2"/>
        </w:numPr>
        <w:spacing w:after="280" w:before="2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Background &amp; Motivation:</w:t>
      </w:r>
      <w:r w:rsidDel="00000000" w:rsidR="00000000" w:rsidRPr="00000000">
        <w:rPr>
          <w:rtl w:val="0"/>
        </w:rPr>
      </w:r>
    </w:p>
    <w:p w:rsidR="00000000" w:rsidDel="00000000" w:rsidP="00000000" w:rsidRDefault="00000000" w:rsidRPr="00000000" w14:paraId="0000000B">
      <w:pPr>
        <w:spacing w:after="280" w:before="28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Overview of the Digital Euro initiative and the intermediated model. Emphasis on the </w:t>
      </w:r>
      <w:r w:rsidDel="00000000" w:rsidR="00000000" w:rsidRPr="00000000">
        <w:rPr>
          <w:rFonts w:ascii="Times New Roman" w:cs="Times New Roman" w:eastAsia="Times New Roman" w:hAnsi="Times New Roman"/>
          <w:b w:val="1"/>
          <w:bCs w:val="1"/>
          <w:rtl w:val="0"/>
        </w:rPr>
        <w:t xml:space="preserve">Digital Euro Service Platform (DESP)</w:t>
      </w:r>
      <w:r w:rsidDel="00000000" w:rsidR="00000000" w:rsidRPr="00000000">
        <w:rPr>
          <w:rFonts w:ascii="Times New Roman" w:cs="Times New Roman" w:eastAsia="Times New Roman" w:hAnsi="Times New Roman"/>
          <w:rtl w:val="0"/>
        </w:rPr>
        <w:t xml:space="preserve"> and its implications for bank back-end integration.</w:t>
      </w:r>
    </w:p>
    <w:p w:rsidR="00000000" w:rsidDel="00000000" w:rsidP="00000000" w:rsidRDefault="00000000" w:rsidRPr="00000000" w14:paraId="0000000C">
      <w:pPr>
        <w:numPr>
          <w:ilvl w:val="0"/>
          <w:numId w:val="2"/>
        </w:numPr>
        <w:spacing w:after="280" w:before="2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Problem Statement:</w:t>
      </w:r>
      <w:r w:rsidDel="00000000" w:rsidR="00000000" w:rsidRPr="00000000">
        <w:rPr>
          <w:rtl w:val="0"/>
        </w:rPr>
      </w:r>
    </w:p>
    <w:p w:rsidR="00000000" w:rsidDel="00000000" w:rsidP="00000000" w:rsidRDefault="00000000" w:rsidRPr="00000000" w14:paraId="0000000D">
      <w:pPr>
        <w:spacing w:after="280" w:before="28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Banks face strategic and technical uncertainty regarding implementation choices, cost distribution, and the extent of collaboration versus proprietary development.</w:t>
      </w:r>
    </w:p>
    <w:p w:rsidR="00000000" w:rsidDel="00000000" w:rsidP="00000000" w:rsidRDefault="00000000" w:rsidRPr="00000000" w14:paraId="0000000E">
      <w:pPr>
        <w:numPr>
          <w:ilvl w:val="0"/>
          <w:numId w:val="2"/>
        </w:numPr>
        <w:spacing w:after="280" w:before="2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Research Objectives &amp; Questions: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strategic implementation approaches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can banks adopt to integrate the Digital Euro effectively under the DESP framework?</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can collaboration, infrastructure sharing, or vendor partnerships contribute to greater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cost-efficiency and scalability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organizational, technological, and regulatory factors most strongly influence implementation success?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can banks position themselves strategically to balance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efficiency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control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innovation capacity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during Digital Euro adoption?</w:t>
      </w:r>
    </w:p>
    <w:p w:rsidR="00000000" w:rsidDel="00000000" w:rsidP="00000000" w:rsidRDefault="00000000" w:rsidRPr="00000000" w14:paraId="00000013">
      <w:pPr>
        <w:numPr>
          <w:ilvl w:val="0"/>
          <w:numId w:val="2"/>
        </w:numPr>
        <w:spacing w:after="280" w:before="2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Structure of the Thesis:</w:t>
      </w:r>
      <w:r w:rsidDel="00000000" w:rsidR="00000000" w:rsidRPr="00000000">
        <w:rPr>
          <w:rtl w:val="0"/>
        </w:rPr>
      </w:r>
    </w:p>
    <w:p w:rsidR="00000000" w:rsidDel="00000000" w:rsidP="00000000" w:rsidRDefault="00000000" w:rsidRPr="00000000" w14:paraId="00000014">
      <w:pPr>
        <w:spacing w:after="280" w:before="28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 overview of each chapter.</w:t>
      </w:r>
    </w:p>
    <w:p w:rsidR="00000000" w:rsidDel="00000000" w:rsidP="00000000" w:rsidRDefault="00000000" w:rsidRPr="00000000" w14:paraId="0000001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after="280" w:before="28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Theoretical Framework and Literature Review</w:t>
      </w:r>
    </w:p>
    <w:p w:rsidR="00000000" w:rsidDel="00000000" w:rsidP="00000000" w:rsidRDefault="00000000" w:rsidRPr="00000000" w14:paraId="00000017">
      <w:pPr>
        <w:spacing w:after="280" w:before="2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2.1 Institutional and Regulatory Context</w:t>
      </w:r>
      <w:r w:rsidDel="00000000" w:rsidR="00000000" w:rsidRPr="00000000">
        <w:rPr>
          <w:rtl w:val="0"/>
        </w:rPr>
      </w:r>
    </w:p>
    <w:p w:rsidR="00000000" w:rsidDel="00000000" w:rsidP="00000000" w:rsidRDefault="00000000" w:rsidRPr="00000000" w14:paraId="00000018">
      <w:pPr>
        <w:spacing w:after="280" w:before="2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Overview of ECB governance, DESP architecture, and Rulebook requirements for intermediaries.</w:t>
      </w:r>
    </w:p>
    <w:p w:rsidR="00000000" w:rsidDel="00000000" w:rsidP="00000000" w:rsidRDefault="00000000" w:rsidRPr="00000000" w14:paraId="00000019">
      <w:pPr>
        <w:spacing w:after="280" w:before="2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2.2 Payment Infrastructure and Collaboration Models</w:t>
      </w:r>
      <w:r w:rsidDel="00000000" w:rsidR="00000000" w:rsidRPr="00000000">
        <w:rPr>
          <w:rtl w:val="0"/>
        </w:rPr>
      </w:r>
    </w:p>
    <w:p w:rsidR="00000000" w:rsidDel="00000000" w:rsidP="00000000" w:rsidRDefault="00000000" w:rsidRPr="00000000" w14:paraId="0000001A">
      <w:pPr>
        <w:spacing w:after="280" w:before="2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of shared service structures (e.g. SEPA, EBA Clearing, TARGET Instant Payment, Bizum).</w:t>
      </w:r>
    </w:p>
    <w:p w:rsidR="00000000" w:rsidDel="00000000" w:rsidP="00000000" w:rsidRDefault="00000000" w:rsidRPr="00000000" w14:paraId="0000001B">
      <w:pPr>
        <w:spacing w:after="280" w:before="2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2.3 Cost and Efficiency in Digital Payment Implementations</w:t>
      </w:r>
      <w:r w:rsidDel="00000000" w:rsidR="00000000" w:rsidRPr="00000000">
        <w:rPr>
          <w:rtl w:val="0"/>
        </w:rPr>
      </w:r>
    </w:p>
    <w:p w:rsidR="00000000" w:rsidDel="00000000" w:rsidP="00000000" w:rsidRDefault="00000000" w:rsidRPr="00000000" w14:paraId="0000001C">
      <w:pPr>
        <w:spacing w:after="280" w:before="2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Discussion of ECB (2025) and PwC (2024) cost studies; lessons from PSD2 and instant-payment rollouts.</w:t>
      </w:r>
    </w:p>
    <w:p w:rsidR="00000000" w:rsidDel="00000000" w:rsidP="00000000" w:rsidRDefault="00000000" w:rsidRPr="00000000" w14:paraId="0000001D">
      <w:pPr>
        <w:spacing w:after="280" w:before="2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2.4 Research Gap:</w:t>
      </w:r>
      <w:r w:rsidDel="00000000" w:rsidR="00000000" w:rsidRPr="00000000">
        <w:rPr>
          <w:rtl w:val="0"/>
        </w:rPr>
      </w:r>
    </w:p>
    <w:p w:rsidR="00000000" w:rsidDel="00000000" w:rsidP="00000000" w:rsidRDefault="00000000" w:rsidRPr="00000000" w14:paraId="0000001E">
      <w:pPr>
        <w:spacing w:after="280" w:before="2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Existing studies estimate macro-level costs but rarely examine </w:t>
      </w:r>
      <w:r w:rsidDel="00000000" w:rsidR="00000000" w:rsidRPr="00000000">
        <w:rPr>
          <w:rFonts w:ascii="Times New Roman" w:cs="Times New Roman" w:eastAsia="Times New Roman" w:hAnsi="Times New Roman"/>
          <w:i w:val="1"/>
          <w:iCs w:val="1"/>
          <w:rtl w:val="0"/>
        </w:rPr>
        <w:t xml:space="preserve">bank-level implementation strategies</w:t>
      </w:r>
      <w:r w:rsidDel="00000000" w:rsidR="00000000" w:rsidRPr="00000000">
        <w:rPr>
          <w:rFonts w:ascii="Times New Roman" w:cs="Times New Roman" w:eastAsia="Times New Roman" w:hAnsi="Times New Roman"/>
          <w:rtl w:val="0"/>
        </w:rPr>
        <w:t xml:space="preserve"> or concrete </w:t>
      </w:r>
      <w:r w:rsidDel="00000000" w:rsidR="00000000" w:rsidRPr="00000000">
        <w:rPr>
          <w:rFonts w:ascii="Times New Roman" w:cs="Times New Roman" w:eastAsia="Times New Roman" w:hAnsi="Times New Roman"/>
          <w:i w:val="1"/>
          <w:iCs w:val="1"/>
          <w:rtl w:val="0"/>
        </w:rPr>
        <w:t xml:space="preserve">organizational setups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after="280" w:before="28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Methodology</w:t>
      </w:r>
    </w:p>
    <w:p w:rsidR="00000000" w:rsidDel="00000000" w:rsidP="00000000" w:rsidRDefault="00000000" w:rsidRPr="00000000" w14:paraId="00000021">
      <w:pPr>
        <w:spacing w:after="280" w:before="28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 Research Design</w:t>
      </w:r>
    </w:p>
    <w:p w:rsidR="00000000" w:rsidDel="00000000" w:rsidP="00000000" w:rsidRDefault="00000000" w:rsidRPr="00000000" w14:paraId="00000022">
      <w:pPr>
        <w:spacing w:after="280" w:before="2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Qualitative, exploratory design combining </w:t>
      </w:r>
      <w:r w:rsidDel="00000000" w:rsidR="00000000" w:rsidRPr="00000000">
        <w:rPr>
          <w:rFonts w:ascii="Times New Roman" w:cs="Times New Roman" w:eastAsia="Times New Roman" w:hAnsi="Times New Roman"/>
          <w:b w:val="1"/>
          <w:bCs w:val="1"/>
          <w:rtl w:val="0"/>
        </w:rPr>
        <w:t xml:space="preserve">expert interviews</w:t>
      </w:r>
      <w:r w:rsidDel="00000000" w:rsidR="00000000" w:rsidRPr="00000000">
        <w:rPr>
          <w:rFonts w:ascii="Times New Roman" w:cs="Times New Roman" w:eastAsia="Times New Roman" w:hAnsi="Times New Roman"/>
          <w:rtl w:val="0"/>
        </w:rPr>
        <w:t xml:space="preserve"> with </w:t>
      </w:r>
      <w:r w:rsidDel="00000000" w:rsidR="00000000" w:rsidRPr="00000000">
        <w:rPr>
          <w:rFonts w:ascii="Times New Roman" w:cs="Times New Roman" w:eastAsia="Times New Roman" w:hAnsi="Times New Roman"/>
          <w:b w:val="1"/>
          <w:bCs w:val="1"/>
          <w:rtl w:val="0"/>
        </w:rPr>
        <w:t xml:space="preserve">qualitative content analysis</w:t>
      </w:r>
      <w:r w:rsidDel="00000000" w:rsidR="00000000" w:rsidRPr="00000000">
        <w:rPr>
          <w:rFonts w:ascii="Times New Roman" w:cs="Times New Roman" w:eastAsia="Times New Roman" w:hAnsi="Times New Roman"/>
          <w:rtl w:val="0"/>
        </w:rPr>
        <w:t xml:space="preserve"> for triangulation.</w:t>
      </w:r>
    </w:p>
    <w:p w:rsidR="00000000" w:rsidDel="00000000" w:rsidP="00000000" w:rsidRDefault="00000000" w:rsidRPr="00000000" w14:paraId="00000023">
      <w:pPr>
        <w:spacing w:after="280" w:before="28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after="280" w:before="28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 Method 1 – Expert Interviews</w:t>
      </w:r>
    </w:p>
    <w:p w:rsidR="00000000" w:rsidDel="00000000" w:rsidP="00000000" w:rsidRDefault="00000000" w:rsidRPr="00000000" w14:paraId="00000025">
      <w:pPr>
        <w:numPr>
          <w:ilvl w:val="0"/>
          <w:numId w:val="3"/>
        </w:numPr>
        <w:spacing w:after="0" w:before="2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Identify and compare practical implementation approaches and collaboration strategies among banks and service providers.</w:t>
      </w:r>
    </w:p>
    <w:p w:rsidR="00000000" w:rsidDel="00000000" w:rsidP="00000000" w:rsidRDefault="00000000" w:rsidRPr="00000000" w14:paraId="00000026">
      <w:pPr>
        <w:numPr>
          <w:ilvl w:val="0"/>
          <w:numId w:val="3"/>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Target Groups:</w:t>
      </w:r>
      <w:r w:rsidDel="00000000" w:rsidR="00000000" w:rsidRPr="00000000">
        <w:rPr>
          <w:rtl w:val="0"/>
        </w:rPr>
      </w:r>
    </w:p>
    <w:p w:rsidR="00000000" w:rsidDel="00000000" w:rsidP="00000000" w:rsidRDefault="00000000" w:rsidRPr="00000000" w14:paraId="00000027">
      <w:pPr>
        <w:numPr>
          <w:ilvl w:val="1"/>
          <w:numId w:val="3"/>
        </w:numPr>
        <w:spacing w:after="0" w:before="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Banks:</w:t>
      </w:r>
      <w:r w:rsidDel="00000000" w:rsidR="00000000" w:rsidRPr="00000000">
        <w:rPr>
          <w:rFonts w:ascii="Times New Roman" w:cs="Times New Roman" w:eastAsia="Times New Roman" w:hAnsi="Times New Roman"/>
          <w:rtl w:val="0"/>
        </w:rPr>
        <w:t xml:space="preserve"> Large universal and cooperative banks (e.g. Commerzbank, BNP Paribas, DZ Bank, CaixaBank, Erste Group).</w:t>
      </w:r>
    </w:p>
    <w:p w:rsidR="00000000" w:rsidDel="00000000" w:rsidP="00000000" w:rsidRDefault="00000000" w:rsidRPr="00000000" w14:paraId="00000028">
      <w:pPr>
        <w:numPr>
          <w:ilvl w:val="1"/>
          <w:numId w:val="3"/>
        </w:numPr>
        <w:spacing w:after="0" w:before="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Infrastructure Providers:</w:t>
      </w:r>
      <w:r w:rsidDel="00000000" w:rsidR="00000000" w:rsidRPr="00000000">
        <w:rPr>
          <w:rFonts w:ascii="Times New Roman" w:cs="Times New Roman" w:eastAsia="Times New Roman" w:hAnsi="Times New Roman"/>
          <w:rtl w:val="0"/>
        </w:rPr>
        <w:t xml:space="preserve"> EBA Clearing, Worldline, Nexi, Giesecke + Devrient, Sopra Banking Software.</w:t>
      </w:r>
    </w:p>
    <w:p w:rsidR="00000000" w:rsidDel="00000000" w:rsidP="00000000" w:rsidRDefault="00000000" w:rsidRPr="00000000" w14:paraId="00000029">
      <w:pPr>
        <w:numPr>
          <w:ilvl w:val="1"/>
          <w:numId w:val="3"/>
        </w:numPr>
        <w:spacing w:after="0" w:before="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Consultancies / Institutions:</w:t>
      </w:r>
      <w:r w:rsidDel="00000000" w:rsidR="00000000" w:rsidRPr="00000000">
        <w:rPr>
          <w:rFonts w:ascii="Times New Roman" w:cs="Times New Roman" w:eastAsia="Times New Roman" w:hAnsi="Times New Roman"/>
          <w:rtl w:val="0"/>
        </w:rPr>
        <w:t xml:space="preserve"> Roland Berger, PwC, ECB Digital Euro Task Force, European Payments Council.</w:t>
      </w:r>
    </w:p>
    <w:p w:rsidR="00000000" w:rsidDel="00000000" w:rsidP="00000000" w:rsidRDefault="00000000" w:rsidRPr="00000000" w14:paraId="0000002A">
      <w:pPr>
        <w:numPr>
          <w:ilvl w:val="0"/>
          <w:numId w:val="3"/>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Interview Format:</w:t>
      </w:r>
      <w:r w:rsidDel="00000000" w:rsidR="00000000" w:rsidRPr="00000000">
        <w:rPr>
          <w:rFonts w:ascii="Times New Roman" w:cs="Times New Roman" w:eastAsia="Times New Roman" w:hAnsi="Times New Roman"/>
          <w:rtl w:val="0"/>
        </w:rPr>
        <w:t xml:space="preserve"> Semi-structured (10–12 interviews if possible, 30–60 min).</w:t>
      </w:r>
    </w:p>
    <w:p w:rsidR="00000000" w:rsidDel="00000000" w:rsidP="00000000" w:rsidRDefault="00000000" w:rsidRPr="00000000" w14:paraId="0000002B">
      <w:pPr>
        <w:numPr>
          <w:ilvl w:val="0"/>
          <w:numId w:val="3"/>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Analysis:</w:t>
      </w:r>
      <w:r w:rsidDel="00000000" w:rsidR="00000000" w:rsidRPr="00000000">
        <w:rPr>
          <w:rFonts w:ascii="Times New Roman" w:cs="Times New Roman" w:eastAsia="Times New Roman" w:hAnsi="Times New Roman"/>
          <w:rtl w:val="0"/>
        </w:rPr>
        <w:t xml:space="preserve"> Thematic coding (MAXQDA/Atlas.ti) following Mayring’s qualitative content analysis.</w:t>
      </w:r>
    </w:p>
    <w:p w:rsidR="00000000" w:rsidDel="00000000" w:rsidP="00000000" w:rsidRDefault="00000000" w:rsidRPr="00000000" w14:paraId="0000002C">
      <w:pPr>
        <w:numPr>
          <w:ilvl w:val="0"/>
          <w:numId w:val="3"/>
        </w:numPr>
        <w:spacing w:after="28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Outcome:</w:t>
      </w:r>
      <w:r w:rsidDel="00000000" w:rsidR="00000000" w:rsidRPr="00000000">
        <w:rPr>
          <w:rFonts w:ascii="Times New Roman" w:cs="Times New Roman" w:eastAsia="Times New Roman" w:hAnsi="Times New Roman"/>
          <w:rtl w:val="0"/>
        </w:rPr>
        <w:t xml:space="preserve"> Typology of implementation models (shared, outsourced, hybrid, in-house).</w:t>
      </w:r>
    </w:p>
    <w:p w:rsidR="00000000" w:rsidDel="00000000" w:rsidP="00000000" w:rsidRDefault="00000000" w:rsidRPr="00000000" w14:paraId="0000002D">
      <w:pPr>
        <w:spacing w:after="280" w:before="28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280" w:before="28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 Method 2 – Qualitative Content Analysis (Document Analysis)</w:t>
      </w:r>
    </w:p>
    <w:p w:rsidR="00000000" w:rsidDel="00000000" w:rsidP="00000000" w:rsidRDefault="00000000" w:rsidRPr="00000000" w14:paraId="0000002F">
      <w:pPr>
        <w:numPr>
          <w:ilvl w:val="0"/>
          <w:numId w:val="4"/>
        </w:numPr>
        <w:spacing w:after="0" w:before="2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Fonts w:ascii="Times New Roman" w:cs="Times New Roman" w:eastAsia="Times New Roman" w:hAnsi="Times New Roman"/>
          <w:rtl w:val="0"/>
        </w:rPr>
        <w:t xml:space="preserve"> Derive cost drivers, governance frameworks, and technical dependencies from secondary sources.</w:t>
      </w:r>
    </w:p>
    <w:p w:rsidR="00000000" w:rsidDel="00000000" w:rsidP="00000000" w:rsidRDefault="00000000" w:rsidRPr="00000000" w14:paraId="00000030">
      <w:pPr>
        <w:numPr>
          <w:ilvl w:val="0"/>
          <w:numId w:val="4"/>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Sources:</w:t>
      </w:r>
      <w:r w:rsidDel="00000000" w:rsidR="00000000" w:rsidRPr="00000000">
        <w:rPr>
          <w:rtl w:val="0"/>
        </w:rPr>
      </w:r>
    </w:p>
    <w:p w:rsidR="00000000" w:rsidDel="00000000" w:rsidP="00000000" w:rsidRDefault="00000000" w:rsidRPr="00000000" w14:paraId="00000031">
      <w:pPr>
        <w:numPr>
          <w:ilvl w:val="1"/>
          <w:numId w:val="4"/>
        </w:numPr>
        <w:spacing w:after="0" w:before="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ECB and EC cost assessment reports, DESP documentation.</w:t>
      </w:r>
    </w:p>
    <w:p w:rsidR="00000000" w:rsidDel="00000000" w:rsidP="00000000" w:rsidRDefault="00000000" w:rsidRPr="00000000" w14:paraId="00000032">
      <w:pPr>
        <w:numPr>
          <w:ilvl w:val="1"/>
          <w:numId w:val="4"/>
        </w:numPr>
        <w:spacing w:after="0" w:before="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Industry whitepapers from consultancies (Roland Berger, PwC, BCG, KPMG).</w:t>
      </w:r>
    </w:p>
    <w:p w:rsidR="00000000" w:rsidDel="00000000" w:rsidP="00000000" w:rsidRDefault="00000000" w:rsidRPr="00000000" w14:paraId="00000033">
      <w:pPr>
        <w:numPr>
          <w:ilvl w:val="1"/>
          <w:numId w:val="4"/>
        </w:numPr>
        <w:spacing w:after="0" w:before="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strategy statements by banks and payment associations.</w:t>
      </w:r>
    </w:p>
    <w:p w:rsidR="00000000" w:rsidDel="00000000" w:rsidP="00000000" w:rsidRDefault="00000000" w:rsidRPr="00000000" w14:paraId="00000034">
      <w:pPr>
        <w:numPr>
          <w:ilvl w:val="0"/>
          <w:numId w:val="4"/>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Procedure:</w:t>
      </w:r>
      <w:r w:rsidDel="00000000" w:rsidR="00000000" w:rsidRPr="00000000">
        <w:rPr>
          <w:rFonts w:ascii="Times New Roman" w:cs="Times New Roman" w:eastAsia="Times New Roman" w:hAnsi="Times New Roman"/>
          <w:rtl w:val="0"/>
        </w:rPr>
        <w:t xml:space="preserve"> Code texts for recurring themes (cost pooling, infrastructure sharing, API architecture, governance).</w:t>
      </w:r>
    </w:p>
    <w:p w:rsidR="00000000" w:rsidDel="00000000" w:rsidP="00000000" w:rsidRDefault="00000000" w:rsidRPr="00000000" w14:paraId="00000035">
      <w:pPr>
        <w:numPr>
          <w:ilvl w:val="0"/>
          <w:numId w:val="4"/>
        </w:numPr>
        <w:spacing w:after="28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Outcome:</w:t>
      </w:r>
      <w:r w:rsidDel="00000000" w:rsidR="00000000" w:rsidRPr="00000000">
        <w:rPr>
          <w:rFonts w:ascii="Times New Roman" w:cs="Times New Roman" w:eastAsia="Times New Roman" w:hAnsi="Times New Roman"/>
          <w:rtl w:val="0"/>
        </w:rPr>
        <w:t xml:space="preserve"> Comparative matrix of proposed implementation pathways and their financial/organizational impact.</w:t>
      </w:r>
    </w:p>
    <w:p w:rsidR="00000000" w:rsidDel="00000000" w:rsidP="00000000" w:rsidRDefault="00000000" w:rsidRPr="00000000" w14:paraId="00000036">
      <w:pPr>
        <w:spacing w:after="280" w:before="28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after="280" w:before="28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 Methodological Rationale</w:t>
      </w:r>
    </w:p>
    <w:p w:rsidR="00000000" w:rsidDel="00000000" w:rsidP="00000000" w:rsidRDefault="00000000" w:rsidRPr="00000000" w14:paraId="00000038">
      <w:pPr>
        <w:spacing w:after="280" w:before="2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combination of interviews (practical insights) and document analysis (institutional perspective) strengthens validity and offers both micro- and macro-level understanding.</w:t>
      </w:r>
    </w:p>
    <w:p w:rsidR="00000000" w:rsidDel="00000000" w:rsidP="00000000" w:rsidRDefault="00000000" w:rsidRPr="00000000" w14:paraId="0000003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after="280" w:before="28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Empirical Findings</w:t>
      </w:r>
    </w:p>
    <w:p w:rsidR="00000000" w:rsidDel="00000000" w:rsidP="00000000" w:rsidRDefault="00000000" w:rsidRPr="00000000" w14:paraId="0000003B">
      <w:pPr>
        <w:numPr>
          <w:ilvl w:val="0"/>
          <w:numId w:val="5"/>
        </w:numPr>
        <w:spacing w:after="280" w:before="2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4.1 Interview Results:</w:t>
      </w:r>
      <w:r w:rsidDel="00000000" w:rsidR="00000000" w:rsidRPr="00000000">
        <w:rPr>
          <w:rtl w:val="0"/>
        </w:rPr>
      </w:r>
    </w:p>
    <w:p w:rsidR="00000000" w:rsidDel="00000000" w:rsidP="00000000" w:rsidRDefault="00000000" w:rsidRPr="00000000" w14:paraId="0000003C">
      <w:pPr>
        <w:spacing w:after="280" w:before="28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preferred implementation routes, collaboration formats, and expected challenges (cost, governance, compliance).</w:t>
      </w:r>
    </w:p>
    <w:p w:rsidR="00000000" w:rsidDel="00000000" w:rsidP="00000000" w:rsidRDefault="00000000" w:rsidRPr="00000000" w14:paraId="0000003D">
      <w:pPr>
        <w:numPr>
          <w:ilvl w:val="0"/>
          <w:numId w:val="5"/>
        </w:numPr>
        <w:spacing w:after="280" w:before="2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4.2 Document Analysis Results:</w:t>
      </w:r>
      <w:r w:rsidDel="00000000" w:rsidR="00000000" w:rsidRPr="00000000">
        <w:rPr>
          <w:rtl w:val="0"/>
        </w:rPr>
      </w:r>
    </w:p>
    <w:p w:rsidR="00000000" w:rsidDel="00000000" w:rsidP="00000000" w:rsidRDefault="00000000" w:rsidRPr="00000000" w14:paraId="0000003E">
      <w:pPr>
        <w:spacing w:after="280" w:before="28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Summarize quantified cost expectations (€4–6 billion overall, 30–40 % savings through shared infrastructure) and policy positions.</w:t>
      </w:r>
    </w:p>
    <w:p w:rsidR="00000000" w:rsidDel="00000000" w:rsidP="00000000" w:rsidRDefault="00000000" w:rsidRPr="00000000" w14:paraId="0000003F">
      <w:pPr>
        <w:numPr>
          <w:ilvl w:val="0"/>
          <w:numId w:val="5"/>
        </w:numPr>
        <w:spacing w:after="280" w:before="2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4.3 Integrated Synthesis:</w:t>
      </w:r>
      <w:r w:rsidDel="00000000" w:rsidR="00000000" w:rsidRPr="00000000">
        <w:rPr>
          <w:rtl w:val="0"/>
        </w:rPr>
      </w:r>
    </w:p>
    <w:p w:rsidR="00000000" w:rsidDel="00000000" w:rsidP="00000000" w:rsidRDefault="00000000" w:rsidRPr="00000000" w14:paraId="00000040">
      <w:pPr>
        <w:spacing w:after="280" w:before="28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Derive three to four archetypes of implementation models:</w:t>
      </w:r>
    </w:p>
    <w:p w:rsidR="00000000" w:rsidDel="00000000" w:rsidP="00000000" w:rsidRDefault="00000000" w:rsidRPr="00000000" w14:paraId="00000041">
      <w:pPr>
        <w:numPr>
          <w:ilvl w:val="1"/>
          <w:numId w:val="5"/>
        </w:numPr>
        <w:spacing w:after="0" w:before="28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In-house Integration Model</w:t>
      </w:r>
      <w:r w:rsidDel="00000000" w:rsidR="00000000" w:rsidRPr="00000000">
        <w:rPr>
          <w:rtl w:val="0"/>
        </w:rPr>
      </w:r>
    </w:p>
    <w:p w:rsidR="00000000" w:rsidDel="00000000" w:rsidP="00000000" w:rsidRDefault="00000000" w:rsidRPr="00000000" w14:paraId="00000042">
      <w:pPr>
        <w:numPr>
          <w:ilvl w:val="1"/>
          <w:numId w:val="5"/>
        </w:numPr>
        <w:spacing w:after="0" w:before="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Shared Infrastructure Model</w:t>
      </w:r>
      <w:r w:rsidDel="00000000" w:rsidR="00000000" w:rsidRPr="00000000">
        <w:rPr>
          <w:rtl w:val="0"/>
        </w:rPr>
      </w:r>
    </w:p>
    <w:p w:rsidR="00000000" w:rsidDel="00000000" w:rsidP="00000000" w:rsidRDefault="00000000" w:rsidRPr="00000000" w14:paraId="00000043">
      <w:pPr>
        <w:numPr>
          <w:ilvl w:val="1"/>
          <w:numId w:val="5"/>
        </w:numPr>
        <w:spacing w:after="0" w:before="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Vendor/Outsourcing Model</w:t>
      </w:r>
      <w:r w:rsidDel="00000000" w:rsidR="00000000" w:rsidRPr="00000000">
        <w:rPr>
          <w:rtl w:val="0"/>
        </w:rPr>
      </w:r>
    </w:p>
    <w:p w:rsidR="00000000" w:rsidDel="00000000" w:rsidP="00000000" w:rsidRDefault="00000000" w:rsidRPr="00000000" w14:paraId="00000044">
      <w:pPr>
        <w:numPr>
          <w:ilvl w:val="1"/>
          <w:numId w:val="5"/>
        </w:numPr>
        <w:spacing w:after="280" w:before="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Hybrid Collaborative Model</w:t>
      </w:r>
      <w:r w:rsidDel="00000000" w:rsidR="00000000" w:rsidRPr="00000000">
        <w:rPr>
          <w:rtl w:val="0"/>
        </w:rPr>
      </w:r>
    </w:p>
    <w:p w:rsidR="00000000" w:rsidDel="00000000" w:rsidP="00000000" w:rsidRDefault="00000000" w:rsidRPr="00000000" w14:paraId="0000004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after="280" w:before="28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Discussion</w:t>
      </w:r>
    </w:p>
    <w:p w:rsidR="00000000" w:rsidDel="00000000" w:rsidP="00000000" w:rsidRDefault="00000000" w:rsidRPr="00000000" w14:paraId="00000047">
      <w:pPr>
        <w:numPr>
          <w:ilvl w:val="0"/>
          <w:numId w:val="6"/>
        </w:numPr>
        <w:spacing w:after="0" w:before="2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 findings relative to efficiency, scalability, and strategic flexibility.</w:t>
      </w:r>
    </w:p>
    <w:p w:rsidR="00000000" w:rsidDel="00000000" w:rsidP="00000000" w:rsidRDefault="00000000" w:rsidRPr="00000000" w14:paraId="00000048">
      <w:pPr>
        <w:numPr>
          <w:ilvl w:val="0"/>
          <w:numId w:val="6"/>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 trade-offs: control vs. cost savings, speed vs. interoperability.</w:t>
      </w:r>
    </w:p>
    <w:p w:rsidR="00000000" w:rsidDel="00000000" w:rsidP="00000000" w:rsidRDefault="00000000" w:rsidRPr="00000000" w14:paraId="00000049">
      <w:pPr>
        <w:numPr>
          <w:ilvl w:val="0"/>
          <w:numId w:val="6"/>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 long-term strategic roles for banks under each model.</w:t>
      </w:r>
    </w:p>
    <w:p w:rsidR="00000000" w:rsidDel="00000000" w:rsidP="00000000" w:rsidRDefault="00000000" w:rsidRPr="00000000" w14:paraId="0000004A">
      <w:pPr>
        <w:numPr>
          <w:ilvl w:val="0"/>
          <w:numId w:val="6"/>
        </w:numPr>
        <w:spacing w:after="28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 results to theories of platform governance and network economics.</w:t>
      </w:r>
    </w:p>
    <w:p w:rsidR="00000000" w:rsidDel="00000000" w:rsidP="00000000" w:rsidRDefault="00000000" w:rsidRPr="00000000" w14:paraId="0000004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after="280" w:before="28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Conclusion/Recommendation and Outlook</w:t>
      </w:r>
    </w:p>
    <w:p w:rsidR="00000000" w:rsidDel="00000000" w:rsidP="00000000" w:rsidRDefault="00000000" w:rsidRPr="00000000" w14:paraId="0000004D">
      <w:pPr>
        <w:numPr>
          <w:ilvl w:val="0"/>
          <w:numId w:val="7"/>
        </w:numPr>
        <w:spacing w:after="0" w:before="2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Summarize key insights and contributions.</w:t>
      </w:r>
    </w:p>
    <w:p w:rsidR="00000000" w:rsidDel="00000000" w:rsidP="00000000" w:rsidRDefault="00000000" w:rsidRPr="00000000" w14:paraId="0000004E">
      <w:pPr>
        <w:numPr>
          <w:ilvl w:val="0"/>
          <w:numId w:val="7"/>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recommendations for banks preparing DESP integration.</w:t>
      </w:r>
    </w:p>
    <w:p w:rsidR="00000000" w:rsidDel="00000000" w:rsidP="00000000" w:rsidRDefault="00000000" w:rsidRPr="00000000" w14:paraId="0000004F">
      <w:pPr>
        <w:numPr>
          <w:ilvl w:val="0"/>
          <w:numId w:val="7"/>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Outline next research steps post-DESP publication (e.g. pilot evaluation, cross-bank cooperation models).</w:t>
      </w:r>
    </w:p>
    <w:p w:rsidR="00000000" w:rsidDel="00000000" w:rsidP="00000000" w:rsidRDefault="00000000" w:rsidRPr="00000000" w14:paraId="00000050">
      <w:pPr>
        <w:numPr>
          <w:ilvl w:val="0"/>
          <w:numId w:val="7"/>
        </w:numPr>
        <w:spacing w:after="28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 policy implications for the ECB and national regulators.</w:t>
      </w:r>
    </w:p>
    <w:p w:rsidR="00000000" w:rsidDel="00000000" w:rsidP="00000000" w:rsidRDefault="00000000" w:rsidRPr="00000000" w14:paraId="0000005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after="280" w:before="280" w:line="276"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Expected Contribution</w:t>
      </w:r>
    </w:p>
    <w:p w:rsidR="00000000" w:rsidDel="00000000" w:rsidP="00000000" w:rsidRDefault="00000000" w:rsidRPr="00000000" w14:paraId="00000053">
      <w:pPr>
        <w:numPr>
          <w:ilvl w:val="0"/>
          <w:numId w:val="8"/>
        </w:numPr>
        <w:spacing w:after="0" w:before="2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a structured analysis of feasible </w:t>
      </w:r>
      <w:r w:rsidDel="00000000" w:rsidR="00000000" w:rsidRPr="00000000">
        <w:rPr>
          <w:rFonts w:ascii="Times New Roman" w:cs="Times New Roman" w:eastAsia="Times New Roman" w:hAnsi="Times New Roman"/>
          <w:b w:val="1"/>
          <w:bCs w:val="1"/>
          <w:rtl w:val="0"/>
        </w:rPr>
        <w:t xml:space="preserve">implementation models</w:t>
      </w:r>
      <w:r w:rsidDel="00000000" w:rsidR="00000000" w:rsidRPr="00000000">
        <w:rPr>
          <w:rFonts w:ascii="Times New Roman" w:cs="Times New Roman" w:eastAsia="Times New Roman" w:hAnsi="Times New Roman"/>
          <w:rtl w:val="0"/>
        </w:rPr>
        <w:t xml:space="preserve"> for the Digital Euro.</w:t>
      </w:r>
    </w:p>
    <w:p w:rsidR="00000000" w:rsidDel="00000000" w:rsidP="00000000" w:rsidRDefault="00000000" w:rsidRPr="00000000" w14:paraId="00000054">
      <w:pPr>
        <w:numPr>
          <w:ilvl w:val="0"/>
          <w:numId w:val="8"/>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Quantifies and contextualizes </w:t>
      </w:r>
      <w:r w:rsidDel="00000000" w:rsidR="00000000" w:rsidRPr="00000000">
        <w:rPr>
          <w:rFonts w:ascii="Times New Roman" w:cs="Times New Roman" w:eastAsia="Times New Roman" w:hAnsi="Times New Roman"/>
          <w:b w:val="1"/>
          <w:bCs w:val="1"/>
          <w:rtl w:val="0"/>
        </w:rPr>
        <w:t xml:space="preserve">cost and collaboration implications</w:t>
      </w:r>
      <w:r w:rsidDel="00000000" w:rsidR="00000000" w:rsidRPr="00000000">
        <w:rPr>
          <w:rFonts w:ascii="Times New Roman" w:cs="Times New Roman" w:eastAsia="Times New Roman" w:hAnsi="Times New Roman"/>
          <w:rtl w:val="0"/>
        </w:rPr>
        <w:t xml:space="preserve"> for banks.</w:t>
      </w:r>
    </w:p>
    <w:p w:rsidR="00000000" w:rsidDel="00000000" w:rsidP="00000000" w:rsidRDefault="00000000" w:rsidRPr="00000000" w14:paraId="00000055">
      <w:pPr>
        <w:numPr>
          <w:ilvl w:val="0"/>
          <w:numId w:val="8"/>
        </w:numPr>
        <w:spacing w:after="28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Offers a practical reference for institutions, consultants, and policymakers designing operational roll-out frameworks.</w:t>
      </w:r>
    </w:p>
    <w:p w:rsidR="00000000" w:rsidDel="00000000" w:rsidP="00000000" w:rsidRDefault="00000000" w:rsidRPr="00000000" w14:paraId="00000056">
      <w:pPr>
        <w:spacing w:line="276" w:lineRule="auto"/>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lvl>
    <w:lvl w:ilvl="1">
      <w:start w:val="1"/>
      <w:numFmt w:val="decimal"/>
      <w:lvlText w:val="%2."/>
      <w:lvlJc w:val="left"/>
      <w:pPr>
        <w:ind w:left="2160" w:hanging="360"/>
      </w:pPr>
      <w:rPr/>
    </w:lvl>
    <w:lvl w:ilvl="2">
      <w:start w:val="1"/>
      <w:numFmt w:val="decimal"/>
      <w:lvlText w:val="%3."/>
      <w:lvlJc w:val="left"/>
      <w:pPr>
        <w:ind w:left="2880" w:hanging="360"/>
      </w:pPr>
      <w:rPr/>
    </w:lvl>
    <w:lvl w:ilvl="3">
      <w:start w:val="1"/>
      <w:numFmt w:val="decimal"/>
      <w:lvlText w:val="%4."/>
      <w:lvlJc w:val="left"/>
      <w:pPr>
        <w:ind w:left="3600" w:hanging="360"/>
      </w:pPr>
      <w:rPr/>
    </w:lvl>
    <w:lvl w:ilvl="4">
      <w:start w:val="1"/>
      <w:numFmt w:val="decimal"/>
      <w:lvlText w:val="%5."/>
      <w:lvlJc w:val="left"/>
      <w:pPr>
        <w:ind w:left="4320" w:hanging="360"/>
      </w:pPr>
      <w:rPr/>
    </w:lvl>
    <w:lvl w:ilvl="5">
      <w:start w:val="1"/>
      <w:numFmt w:val="decimal"/>
      <w:lvlText w:val="%6."/>
      <w:lvlJc w:val="left"/>
      <w:pPr>
        <w:ind w:left="5040" w:hanging="360"/>
      </w:pPr>
      <w:rPr/>
    </w:lvl>
    <w:lvl w:ilvl="6">
      <w:start w:val="1"/>
      <w:numFmt w:val="decimal"/>
      <w:lvlText w:val="%7."/>
      <w:lvlJc w:val="left"/>
      <w:pPr>
        <w:ind w:left="5760" w:hanging="360"/>
      </w:pPr>
      <w:rPr/>
    </w:lvl>
    <w:lvl w:ilvl="7">
      <w:start w:val="1"/>
      <w:numFmt w:val="decimal"/>
      <w:lvlText w:val="%8."/>
      <w:lvlJc w:val="left"/>
      <w:pPr>
        <w:ind w:left="6480" w:hanging="360"/>
      </w:pPr>
      <w:rPr/>
    </w:lvl>
    <w:lvl w:ilvl="8">
      <w:start w:val="1"/>
      <w:numFmt w:val="decimal"/>
      <w:lvlText w:val="%9."/>
      <w:lvlJc w:val="left"/>
      <w:pPr>
        <w:ind w:left="720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D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4F1D02"/>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4F1D02"/>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F1D02"/>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InhaltsbersichtHeading" w:customStyle="1">
    <w:name w:val="Inhaltsübersicht_Heading"/>
    <w:basedOn w:val="Normal"/>
    <w:next w:val="Normal"/>
    <w:qFormat w:val="1"/>
    <w:rsid w:val="00C5433D"/>
    <w:pPr>
      <w:spacing w:after="160" w:line="259" w:lineRule="auto"/>
    </w:pPr>
    <w:rPr>
      <w:rFonts w:ascii="Times New Roman" w:cs="Times New Roman" w:eastAsia="Times New Roman" w:hAnsi="Times New Roman"/>
      <w:b w:val="1"/>
      <w:color w:val="000000"/>
      <w:sz w:val="28"/>
      <w:lang w:eastAsia="en-GB" w:val="de-DE"/>
    </w:rPr>
  </w:style>
  <w:style w:type="paragraph" w:styleId="Inhalt1" w:customStyle="1">
    <w:name w:val="Inhalt_Ü1"/>
    <w:basedOn w:val="ListParagraph"/>
    <w:qFormat w:val="1"/>
    <w:rsid w:val="00C5433D"/>
    <w:pPr>
      <w:numPr>
        <w:numId w:val="1"/>
      </w:numPr>
      <w:spacing w:line="360" w:lineRule="auto"/>
      <w:jc w:val="both"/>
    </w:pPr>
    <w:rPr>
      <w:rFonts w:ascii="Times New Roman" w:cs="Times New Roman" w:hAnsi="Times New Roman"/>
      <w:b w:val="1"/>
      <w:bCs w:val="1"/>
      <w:lang w:val="de-DE"/>
    </w:rPr>
  </w:style>
  <w:style w:type="paragraph" w:styleId="ListParagraph">
    <w:name w:val="List Paragraph"/>
    <w:basedOn w:val="Normal"/>
    <w:uiPriority w:val="34"/>
    <w:qFormat w:val="1"/>
    <w:rsid w:val="00C5433D"/>
    <w:pPr>
      <w:ind w:left="720"/>
      <w:contextualSpacing w:val="1"/>
    </w:pPr>
  </w:style>
  <w:style w:type="character" w:styleId="Heading1Char" w:customStyle="1">
    <w:name w:val="Heading 1 Char"/>
    <w:basedOn w:val="DefaultParagraphFont"/>
    <w:link w:val="Heading1"/>
    <w:uiPriority w:val="9"/>
    <w:rsid w:val="004F1D02"/>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4F1D02"/>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rsid w:val="004F1D02"/>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rsid w:val="004F1D02"/>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4F1D02"/>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4F1D0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4F1D0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4F1D0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4F1D02"/>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4F1D02"/>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4F1D0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4F1D02"/>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4F1D02"/>
    <w:rPr>
      <w:i w:val="1"/>
      <w:iCs w:val="1"/>
      <w:color w:val="404040" w:themeColor="text1" w:themeTint="0000BF"/>
    </w:rPr>
  </w:style>
  <w:style w:type="character" w:styleId="IntenseEmphasis">
    <w:name w:val="Intense Emphasis"/>
    <w:basedOn w:val="DefaultParagraphFont"/>
    <w:uiPriority w:val="21"/>
    <w:qFormat w:val="1"/>
    <w:rsid w:val="004F1D02"/>
    <w:rPr>
      <w:i w:val="1"/>
      <w:iCs w:val="1"/>
      <w:color w:val="2f5496" w:themeColor="accent1" w:themeShade="0000BF"/>
    </w:rPr>
  </w:style>
  <w:style w:type="paragraph" w:styleId="IntenseQuote">
    <w:name w:val="Intense Quote"/>
    <w:basedOn w:val="Normal"/>
    <w:next w:val="Normal"/>
    <w:link w:val="IntenseQuoteChar"/>
    <w:uiPriority w:val="30"/>
    <w:qFormat w:val="1"/>
    <w:rsid w:val="004F1D02"/>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4F1D02"/>
    <w:rPr>
      <w:i w:val="1"/>
      <w:iCs w:val="1"/>
      <w:color w:val="2f5496" w:themeColor="accent1" w:themeShade="0000BF"/>
    </w:rPr>
  </w:style>
  <w:style w:type="character" w:styleId="IntenseReference">
    <w:name w:val="Intense Reference"/>
    <w:basedOn w:val="DefaultParagraphFont"/>
    <w:uiPriority w:val="32"/>
    <w:qFormat w:val="1"/>
    <w:rsid w:val="004F1D02"/>
    <w:rPr>
      <w:b w:val="1"/>
      <w:bCs w:val="1"/>
      <w:smallCaps w:val="1"/>
      <w:color w:val="2f5496" w:themeColor="accent1" w:themeShade="0000BF"/>
      <w:spacing w:val="5"/>
    </w:rPr>
  </w:style>
  <w:style w:type="paragraph" w:styleId="p1" w:customStyle="1">
    <w:name w:val="p1"/>
    <w:basedOn w:val="Normal"/>
    <w:rsid w:val="004F1D02"/>
    <w:pPr>
      <w:spacing w:after="100" w:afterAutospacing="1" w:before="100" w:beforeAutospacing="1"/>
    </w:pPr>
    <w:rPr>
      <w:rFonts w:ascii="Times New Roman" w:cs="Times New Roman" w:eastAsia="Times New Roman" w:hAnsi="Times New Roman"/>
      <w:kern w:val="0"/>
      <w:lang w:eastAsia="en-GB"/>
    </w:rPr>
  </w:style>
  <w:style w:type="character" w:styleId="s1" w:customStyle="1">
    <w:name w:val="s1"/>
    <w:basedOn w:val="DefaultParagraphFont"/>
    <w:rsid w:val="004F1D02"/>
  </w:style>
  <w:style w:type="paragraph" w:styleId="p2" w:customStyle="1">
    <w:name w:val="p2"/>
    <w:basedOn w:val="Normal"/>
    <w:rsid w:val="004F1D02"/>
    <w:pPr>
      <w:spacing w:after="100" w:afterAutospacing="1" w:before="100" w:beforeAutospacing="1"/>
    </w:pPr>
    <w:rPr>
      <w:rFonts w:ascii="Times New Roman" w:cs="Times New Roman" w:eastAsia="Times New Roman" w:hAnsi="Times New Roman"/>
      <w:kern w:val="0"/>
      <w:lang w:eastAsia="en-GB"/>
    </w:rPr>
  </w:style>
  <w:style w:type="paragraph" w:styleId="p3" w:customStyle="1">
    <w:name w:val="p3"/>
    <w:basedOn w:val="Normal"/>
    <w:rsid w:val="004F1D02"/>
    <w:pPr>
      <w:spacing w:after="100" w:afterAutospacing="1" w:before="100" w:beforeAutospacing="1"/>
    </w:pPr>
    <w:rPr>
      <w:rFonts w:ascii="Times New Roman" w:cs="Times New Roman" w:eastAsia="Times New Roman" w:hAnsi="Times New Roman"/>
      <w:kern w:val="0"/>
      <w:lang w:eastAsia="en-GB"/>
    </w:rPr>
  </w:style>
  <w:style w:type="paragraph" w:styleId="p4" w:customStyle="1">
    <w:name w:val="p4"/>
    <w:basedOn w:val="Normal"/>
    <w:rsid w:val="004F1D02"/>
    <w:pPr>
      <w:spacing w:after="100" w:afterAutospacing="1" w:before="100" w:beforeAutospacing="1"/>
    </w:pPr>
    <w:rPr>
      <w:rFonts w:ascii="Times New Roman" w:cs="Times New Roman" w:eastAsia="Times New Roman" w:hAnsi="Times New Roman"/>
      <w:kern w:val="0"/>
      <w:lang w:eastAsia="en-GB"/>
    </w:rPr>
  </w:style>
  <w:style w:type="character" w:styleId="s2" w:customStyle="1">
    <w:name w:val="s2"/>
    <w:basedOn w:val="DefaultParagraphFont"/>
    <w:rsid w:val="004F1D02"/>
  </w:style>
  <w:style w:type="character" w:styleId="Hyperlink">
    <w:name w:val="Hyperlink"/>
    <w:basedOn w:val="DefaultParagraphFont"/>
    <w:uiPriority w:val="99"/>
    <w:unhideWhenUsed w:val="1"/>
    <w:rsid w:val="00CD474F"/>
    <w:rPr>
      <w:color w:val="0563c1" w:themeColor="hyperlink"/>
      <w:u w:val="single"/>
    </w:rPr>
  </w:style>
  <w:style w:type="character" w:styleId="UnresolvedMention">
    <w:name w:val="Unresolved Mention"/>
    <w:basedOn w:val="DefaultParagraphFont"/>
    <w:uiPriority w:val="99"/>
    <w:semiHidden w:val="1"/>
    <w:unhideWhenUsed w:val="1"/>
    <w:rsid w:val="00CD474F"/>
    <w:rPr>
      <w:color w:val="605e5c"/>
      <w:shd w:color="auto" w:fill="e1dfdd" w:val="clear"/>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rC3i/tatwhzNOy4G2CrKwPgXKQ==">CgMxLjA4AHIhMTF2OU42bUZXQVV6Y2o3Nl93a3NZQlBxNGdIRUVzRWp6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2025-11-06T15:40:00Z</dcterms:created>
  <dc:creator>Beyschlag Georg</dc:creator>
</cp:coreProperties>
</file>