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Northwind Traders (Thailand) - คู่มือและการจัดการระวาง</w:t>
      </w:r>
    </w:p>
    <w:p>
      <w:r>
        <w:t>เอกสารนี้จัดทำขึ้นในรูปข้อตกลงระดับบริหาร เพื่อกำหนดเกณฑ์การเชื่อมโยงข้อมูลโลจิสติกส์เข้าสู่คลังข้อมูลกลาง</w:t>
      </w:r>
    </w:p>
    <w:p>
      <w:pPr>
        <w:pStyle w:val="Heading1"/>
      </w:pPr>
      <w:r>
        <w:t>1. การจับคู่รหัสบริษัทขนส่งภายในประเทศ (Shipper ID)</w:t>
      </w:r>
    </w:p>
    <w:p>
      <w:r>
        <w:t>ในระเบียบจัดเก็บข้อมูลดิบ (Bronze Layer) ให้ยึดรหัส Mapping ตามที่ระบุในสัญญานี้เท่านั้น:</w:t>
      </w:r>
    </w:p>
    <w:p>
      <w:r>
        <w:t>• SHIP_ID: 1 -&gt; ไปรษณีย์ไทย (Thailand Post)</w:t>
      </w:r>
    </w:p>
    <w:p>
      <w:r>
        <w:t>• SHIP_ID: 2 -&gt; Kerry Express Thailand</w:t>
      </w:r>
    </w:p>
    <w:p>
      <w:r>
        <w:t>• SHIP_ID: 3 -&gt; Flash Express</w:t>
      </w:r>
    </w:p>
    <w:p>
      <w:pPr>
        <w:pStyle w:val="Heading1"/>
      </w:pPr>
      <w:r>
        <w:t>2. ประกาศเพิ่มเติมเกี่ยวกับค่าธรรมเนียมและภาษี (Tax &amp; Freight)</w:t>
      </w:r>
    </w:p>
    <w:p>
      <w:r>
        <w:t>เนื่องจากข้อมูลค่าระวาง (Freight) ในระบบสาขาต่างจังหวัดยังไม่ได้รวมภาษีมูลค่าเพิ่ม เมื่อระบบทรานส์ฟอร์มข้อมูลสู่ระดับ Gold Layer (Fact Table) เพื่อทำรายงานส่งผู้บริหารฝ่ายบัญชี ให้คำนวณปรับมูลค่าโดยทำการบวกเพิ่มอัตราภาษี 7% (คูณด้วย 1.07) เสมอ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