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widowControl/>
        <w:spacing w:line="264" w:lineRule="auto" w:after="80"/>
      </w:pPr>
      <w:bookmarkStart w:id="9" w:name="_1c5eefc94ea6315eacb40faa6286fa55841c1e9"/>
      <w:r>
        <w:rPr>
          <w:rFonts w:ascii="Times New Roman" w:hAnsi="Times New Roman" w:cs="Times New Roman" w:eastAsia="Times New Roman"/>
          <w:color w:val="000000"/>
          <w:sz w:val="28"/>
        </w:rPr>
        <w:t xml:space="preserve">Supplementary material</w:t>
      </w:r>
      <w:bookmarkEnd w:id="9"/>
    </w:p>
    <w:p>
      <w:pPr>
        <w:pStyle w:val="FirstParagraph"/>
        <w:widowControl/>
        <w:spacing w:line="264" w:lineRule="auto" w:after="80"/>
      </w:pPr>
      <w:r>
        <w:rPr>
          <w:rFonts w:ascii="Times New Roman" w:hAnsi="Times New Roman" w:cs="Times New Roman" w:eastAsia="Times New Roman"/>
          <w:color w:val="000000"/>
          <w:sz w:val="24"/>
        </w:rPr>
        <w:t xml:space="preserve">Scale Trade-offs in Within-Sample Self-Normalization for Cross-Study Generalization in Public cfDNA Cohorts</w:t>
      </w:r>
    </w:p>
    <w:p>
      <w:pPr>
        <w:keepNext/>
        <w:pageBreakBefore w:val="0"/>
        <w:spacing w:line="240" w:lineRule="auto" w:after="80"/>
      </w:pPr>
      <w:r>
        <w:drawing>
          <wp:inline>
            <wp:extent cx="5943600" cy="5943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S5_Score_Comparability_and_Calibr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Lines/>
        <w:widowControl/>
        <w:spacing w:line="252" w:lineRule="auto" w:after="80"/>
      </w:pPr>
      <w:r>
        <w:rPr>
          <w:rFonts w:ascii="Times New Roman" w:hAnsi="Times New Roman" w:cs="Times New Roman" w:eastAsia="Times New Roman"/>
          <w:b/>
          <w:bCs/>
          <w:color w:val="000000"/>
          <w:sz w:val="20"/>
        </w:rPr>
        <w:t xml:space="preserve">Supplementary Figure S5. Secondary score comparability and source calibration.</w:t>
      </w:r>
      <w:r>
        <w:rPr>
          <w:rFonts w:ascii="Times New Roman" w:hAnsi="Times New Roman" w:cs="Times New Roman" w:eastAsia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20"/>
        </w:rPr>
        <w:t xml:space="preserve">(a) Within-study and cross-study pair contributions to pooled Combined LOCO AUROC. (b) Mixed-source OOF versus source-study-held-out thresholds fitted before testing Snyder. Pooled discrimination is a cross-model score diagnostic; the primary performance evidence is direction-specific.</w:t>
      </w:r>
    </w:p>
    <w:p>
      <w:pPr>
        <w:keepNext/>
        <w:pageBreakBefore/>
        <w:spacing w:line="240" w:lineRule="auto" w:after="80"/>
      </w:pPr>
      <w:r>
        <w:drawing>
          <wp:inline>
            <wp:extent cx="5943600" cy="30324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S6_Secondary_Classifier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  <w:keepLines/>
        <w:widowControl/>
        <w:spacing w:line="252" w:lineRule="auto" w:after="80"/>
      </w:pPr>
      <w:r>
        <w:rPr>
          <w:rFonts w:ascii="Times New Roman" w:hAnsi="Times New Roman" w:cs="Times New Roman" w:eastAsia="Times New Roman"/>
          <w:b/>
          <w:bCs/>
          <w:color w:val="000000"/>
          <w:sz w:val="20"/>
        </w:rPr>
        <w:t xml:space="preserve">Supplementary Figure S6. Secondary classifier comparisons.</w:t>
      </w:r>
      <w:r>
        <w:rPr>
          <w:rFonts w:ascii="Times New Roman" w:hAnsi="Times New Roman" w:cs="Times New Roman" w:eastAsia="Times New Roman"/>
          <w:color w:val="000000"/>
          <w:sz w:val="20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20"/>
        </w:rPr>
        <w:t xml:space="preserve">Bilateral mean target AUROC by representation and fixed classifier. Gray cells denote unidentifiable EB-TargetMap/DANN configurations. Local uses its Local_LSN branch in the primary one-source design. Full random and study-held-out metrics are in Supplementary Table S6.</w:t>
      </w:r>
    </w:p>
    <w:p>
      <w:pPr>
        <w:pStyle w:val="Heading2"/>
        <w:widowControl/>
        <w:spacing w:line="264" w:lineRule="auto" w:after="80"/>
      </w:pPr>
      <w:bookmarkStart w:id="10" w:name="_3f09ea963474de4d92b1901a6d1a16415066d3e"/>
      <w:r>
        <w:rPr>
          <w:rFonts w:ascii="Times New Roman" w:hAnsi="Times New Roman" w:cs="Times New Roman" w:eastAsia="Times New Roman"/>
          <w:color w:val="000000"/>
          <w:sz w:val="24"/>
        </w:rPr>
        <w:t xml:space="preserve">Statistical table guide</w:t>
      </w:r>
      <w:bookmarkEnd w:id="10"/>
    </w:p>
    <w:p>
      <w:pPr>
        <w:pStyle w:val="FirstParagraph"/>
        <w:keepNext/>
        <w:widowControl/>
        <w:spacing w:line="264" w:lineRule="auto" w:after="80"/>
      </w:pPr>
      <w:r>
        <w:rPr>
          <w:rFonts w:ascii="Times New Roman" w:hAnsi="Times New Roman" w:cs="Times New Roman" w:eastAsia="Times New Roman"/>
          <w:b/>
          <w:bCs/>
          <w:color w:val="000000"/>
          <w:sz w:val="24"/>
        </w:rPr>
        <w:t xml:space="preserve">Supplementary Table S1: Primary_BH_Hypothesis_Family.csv.</w:t>
      </w:r>
      <w:r>
        <w:rPr>
          <w:rFonts w:ascii="Times New Roman" w:hAnsi="Times New Roman" w:cs="Times New Roman" w:eastAsia="Times New Roman"/>
          <w:color w:val="000000"/>
          <w:sz w:val="24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24"/>
        </w:rPr>
        <w:t xml:space="preserve">All 38 primary hypotheses, models, target studies, DeLong p and BH q values. The complete family remains the historical prespecified family.</w:t>
      </w:r>
    </w:p>
    <w:p>
      <w:pPr>
        <w:pStyle w:val="BodyText"/>
        <w:keepNext/>
        <w:widowControl/>
        <w:spacing w:line="264" w:lineRule="auto" w:after="80"/>
      </w:pPr>
      <w:r>
        <w:rPr>
          <w:rFonts w:ascii="Times New Roman" w:hAnsi="Times New Roman" w:cs="Times New Roman" w:eastAsia="Times New Roman"/>
          <w:b/>
          <w:bCs/>
          <w:color w:val="000000"/>
          <w:sz w:val="24"/>
        </w:rPr>
        <w:t xml:space="preserve">Supplementary Table S9: Threshold_Calibration_Comparison.csv.</w:t>
      </w:r>
      <w:r>
        <w:rPr>
          <w:rFonts w:ascii="Times New Roman" w:hAnsi="Times New Roman" w:cs="Times New Roman" w:eastAsia="Times New Roman"/>
          <w:color w:val="000000"/>
          <w:sz w:val="24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24"/>
        </w:rPr>
        <w:t xml:space="preserve">Mixed-source OOF and source-study-held-out calibration, source threshold intervals and propagated operating points. Missing one-source EB-TargetMap cells are explicit.</w:t>
      </w:r>
    </w:p>
    <w:p>
      <w:pPr>
        <w:pStyle w:val="BodyText"/>
        <w:keepNext/>
        <w:widowControl/>
        <w:spacing w:line="264" w:lineRule="auto" w:after="80"/>
      </w:pPr>
      <w:r>
        <w:rPr>
          <w:rFonts w:ascii="Times New Roman" w:hAnsi="Times New Roman" w:cs="Times New Roman" w:eastAsia="Times New Roman"/>
          <w:b/>
          <w:bCs/>
          <w:color w:val="000000"/>
          <w:sz w:val="24"/>
        </w:rPr>
        <w:t xml:space="preserve">Supplementary Table S3: Primary_Hybrid_Global_Delta.csv.</w:t>
      </w:r>
      <w:r>
        <w:rPr>
          <w:rFonts w:ascii="Times New Roman" w:hAnsi="Times New Roman" w:cs="Times New Roman" w:eastAsia="Times New Roman"/>
          <w:color w:val="000000"/>
          <w:sz w:val="24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24"/>
        </w:rPr>
        <w:t xml:space="preserve">Paired Hybrid−Global ΔAUROC and 1000 diagnosis-stratified patient-bootstrap intervals.</w:t>
      </w:r>
    </w:p>
    <w:p>
      <w:pPr>
        <w:pStyle w:val="BodyText"/>
        <w:keepNext/>
        <w:widowControl/>
        <w:spacing w:line="264" w:lineRule="auto" w:after="80"/>
      </w:pPr>
      <w:r>
        <w:rPr>
          <w:rFonts w:ascii="Times New Roman" w:hAnsi="Times New Roman" w:cs="Times New Roman" w:eastAsia="Times New Roman"/>
          <w:b/>
          <w:bCs/>
          <w:color w:val="000000"/>
          <w:sz w:val="24"/>
        </w:rPr>
        <w:t xml:space="preserve">Supplementary Table S4: Depth_CancerType_Sensitivity.csv.</w:t>
      </w:r>
      <w:r>
        <w:rPr>
          <w:rFonts w:ascii="Times New Roman" w:hAnsi="Times New Roman" w:cs="Times New Roman" w:eastAsia="Times New Roman"/>
          <w:color w:val="000000"/>
          <w:sz w:val="24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24"/>
        </w:rPr>
        <w:t xml:space="preserve">Post-hoc exploratory sensitivity analyses of the shared-depth interval and GI-versus-HCC restriction, using the same public cohorts with altered target size/composition; not independent external validation or confirmatory evidence.</w:t>
      </w:r>
    </w:p>
    <w:p>
      <w:pPr>
        <w:pStyle w:val="BodyText"/>
        <w:keepNext/>
        <w:widowControl/>
        <w:spacing w:line="264" w:lineRule="auto" w:after="80"/>
      </w:pPr>
      <w:r>
        <w:rPr>
          <w:rFonts w:ascii="Times New Roman" w:hAnsi="Times New Roman" w:cs="Times New Roman" w:eastAsia="Times New Roman"/>
          <w:b/>
          <w:bCs/>
          <w:color w:val="000000"/>
          <w:sz w:val="24"/>
        </w:rPr>
        <w:t xml:space="preserve">Supplementary Table S5: Chromosome_Block_Associations.csv.</w:t>
      </w:r>
      <w:r>
        <w:rPr>
          <w:rFonts w:ascii="Times New Roman" w:hAnsi="Times New Roman" w:cs="Times New Roman" w:eastAsia="Times New Roman"/>
          <w:color w:val="000000"/>
          <w:sz w:val="24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24"/>
        </w:rPr>
        <w:t xml:space="preserve">Nine genomic block tests with full block bootstrap intervals and block-wild BH correction. PERMDISP_Dispersion.csv gives the four separate dispersion tests.</w:t>
      </w:r>
    </w:p>
    <w:p>
      <w:pPr>
        <w:pStyle w:val="BodyText"/>
        <w:keepNext/>
        <w:widowControl/>
        <w:spacing w:line="264" w:lineRule="auto" w:after="80"/>
      </w:pPr>
      <w:r>
        <w:rPr>
          <w:rFonts w:ascii="Times New Roman" w:hAnsi="Times New Roman" w:cs="Times New Roman" w:eastAsia="Times New Roman"/>
          <w:b/>
          <w:bCs/>
          <w:color w:val="000000"/>
          <w:sz w:val="24"/>
        </w:rPr>
        <w:t xml:space="preserve">Supplementary Table S6: Table3_Benchmark_Metrics_Full_Revision.csv.</w:t>
      </w:r>
      <w:r>
        <w:rPr>
          <w:rFonts w:ascii="Times New Roman" w:hAnsi="Times New Roman" w:cs="Times New Roman" w:eastAsia="Times New Roman"/>
          <w:color w:val="000000"/>
          <w:sz w:val="24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24"/>
        </w:rPr>
        <w:t xml:space="preserve">Complete fixed-classifier random and study-held-out metrics, with current method names and explicit unidentifiable cells.</w:t>
      </w:r>
    </w:p>
    <w:p>
      <w:pPr>
        <w:pStyle w:val="BodyText"/>
        <w:keepNext/>
        <w:widowControl/>
        <w:spacing w:line="264" w:lineRule="auto" w:after="80"/>
      </w:pPr>
      <w:r>
        <w:rPr>
          <w:rFonts w:ascii="Times New Roman" w:hAnsi="Times New Roman" w:cs="Times New Roman" w:eastAsia="Times New Roman"/>
          <w:b/>
          <w:bCs/>
          <w:color w:val="000000"/>
          <w:sz w:val="24"/>
        </w:rPr>
        <w:t xml:space="preserve">Supplementary Table S7: Anchor_Distribution_Summary.csv.</w:t>
      </w:r>
      <w:r>
        <w:rPr>
          <w:rFonts w:ascii="Times New Roman" w:hAnsi="Times New Roman" w:cs="Times New Roman" w:eastAsia="Times New Roman"/>
          <w:color w:val="000000"/>
          <w:sz w:val="24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24"/>
        </w:rPr>
        <w:t xml:space="preserve">Median, Q1, Q3, IQR, full range and threshold-crossing rates. Anchor_All_Predictions.csv gives all repeated observations and Anchor_Real_Batch_Members.csv supplies patient identities for reproducibility.</w:t>
      </w:r>
    </w:p>
    <w:p>
      <w:pPr>
        <w:pStyle w:val="BodyText"/>
        <w:keepNext/>
        <w:widowControl/>
        <w:spacing w:line="264" w:lineRule="auto" w:after="80"/>
      </w:pPr>
      <w:r>
        <w:rPr>
          <w:rFonts w:ascii="Times New Roman" w:hAnsi="Times New Roman" w:cs="Times New Roman" w:eastAsia="Times New Roman"/>
          <w:b/>
          <w:bCs/>
          <w:color w:val="000000"/>
          <w:sz w:val="24"/>
        </w:rPr>
        <w:t xml:space="preserve">Supplementary Table S8: Table2_Study_Depth_Fragments_Composition.csv.</w:t>
      </w:r>
      <w:r>
        <w:rPr>
          <w:rFonts w:ascii="Times New Roman" w:hAnsi="Times New Roman" w:cs="Times New Roman" w:eastAsia="Times New Roman"/>
          <w:color w:val="000000"/>
          <w:sz w:val="24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24"/>
        </w:rPr>
        <w:t xml:space="preserve">Exact depth/fragment ranges and cancer/stage categories for all sources. Source stage codes 0 and X remain as supplied.</w:t>
      </w:r>
    </w:p>
    <w:p>
      <w:pPr>
        <w:pStyle w:val="BodyText"/>
        <w:keepNext/>
        <w:widowControl/>
        <w:spacing w:line="264" w:lineRule="auto" w:after="80"/>
      </w:pPr>
      <w:r>
        <w:rPr>
          <w:rFonts w:ascii="Times New Roman" w:hAnsi="Times New Roman" w:cs="Times New Roman" w:eastAsia="Times New Roman"/>
          <w:b/>
          <w:bCs/>
          <w:color w:val="000000"/>
          <w:sz w:val="24"/>
        </w:rPr>
        <w:t xml:space="preserve">Supplementary Table S2. Software versions.</w:t>
      </w:r>
    </w:p>
    <w:tbl>
      <w:tblPr>
        <w:tblStyle w:val="Table"/>
        <w:tblW w:type="auto" w:w="0"/>
        <w:jc w:val="center"/>
        <w:tblLayout w:type="fixed"/>
        <w:tblLook w:firstRow="1" w:lastRow="0" w:firstColumn="0" w:lastColumn="0" w:noHBand="0" w:noVBand="0" w:val="0020"/>
        <w:tblLayout w:type="fixed"/>
        <w:tblBorders>
          <w:top w:val="single" w:sz="8" w:color="000000"/>
          <w:left w:val="nil" w:sz="8" w:color="000000"/>
          <w:bottom w:val="single" w:sz="8" w:color="000000"/>
          <w:right w:val="nil" w:sz="8" w:color="000000"/>
          <w:insideH w:val="nil" w:sz="8" w:color="000000"/>
          <w:insideV w:val="nil" w:sz="8" w:color="000000"/>
        </w:tblBorders>
        <w:tblCellMar>
          <w:top w:w="35" w:type="dxa"/>
          <w:bottom w:w="35" w:type="dxa"/>
          <w:left w:w="42" w:type="dxa"/>
          <w:right w:w="42" w:type="dxa"/>
        </w:tblCellMar>
      </w:tblPr>
      <w:tblGrid>
        <w:gridCol w:w="5173"/>
        <w:gridCol w:w="4187"/>
      </w:tblGrid>
      <w:tr>
        <w:trPr>
          <w:tblHeader w:val="on"/>
          <w:cantSplit/>
          <w:tblHeader/>
        </w:trPr>
        <w:tc>
          <w:tcPr>
            <w:tcW w:type="dxa" w:w="5173"/>
            <w:vAlign w:val="center"/>
            <w:tcBorders>
              <w:bottom w:val="single" w:sz="6" w:color="000000"/>
            </w:tcBorders>
          </w:tcPr>
          <w:p>
            <w:pPr>
              <w:pStyle w:val="Compact"/>
              <w:keepNext/>
              <w:spacing w:line="240" w:lineRule="auto" w:after="40" w:befor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 xml:space="preserve">package</w:t>
            </w:r>
          </w:p>
        </w:tc>
        <w:tc>
          <w:tcPr>
            <w:tcW w:type="dxa" w:w="4187"/>
            <w:vAlign w:val="center"/>
            <w:tcBorders>
              <w:bottom w:val="single" w:sz="6" w:color="000000"/>
            </w:tcBorders>
          </w:tcPr>
          <w:p>
            <w:pPr>
              <w:pStyle w:val="Compact"/>
              <w:keepNext/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 xml:space="preserve">version</w:t>
            </w:r>
          </w:p>
        </w:tc>
      </w:tr>
      <w:tr>
        <w:trPr>
          <w:cantSplit/>
        </w:trPr>
        <w:tc>
          <w:tcPr>
            <w:tcW w:type="dxa" w:w="5173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numpy</w:t>
            </w:r>
          </w:p>
        </w:tc>
        <w:tc>
          <w:tcPr>
            <w:tcW w:type="dxa" w:w="4187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2.2.6</w:t>
            </w:r>
          </w:p>
        </w:tc>
      </w:tr>
      <w:tr>
        <w:trPr>
          <w:cantSplit/>
        </w:trPr>
        <w:tc>
          <w:tcPr>
            <w:tcW w:type="dxa" w:w="5173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pandas</w:t>
            </w:r>
          </w:p>
        </w:tc>
        <w:tc>
          <w:tcPr>
            <w:tcW w:type="dxa" w:w="4187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2.3.3</w:t>
            </w:r>
          </w:p>
        </w:tc>
      </w:tr>
      <w:tr>
        <w:trPr>
          <w:cantSplit/>
        </w:trPr>
        <w:tc>
          <w:tcPr>
            <w:tcW w:type="dxa" w:w="5173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pyarrow</w:t>
            </w:r>
          </w:p>
        </w:tc>
        <w:tc>
          <w:tcPr>
            <w:tcW w:type="dxa" w:w="4187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24.0.0</w:t>
            </w:r>
          </w:p>
        </w:tc>
      </w:tr>
      <w:tr>
        <w:trPr>
          <w:cantSplit/>
        </w:trPr>
        <w:tc>
          <w:tcPr>
            <w:tcW w:type="dxa" w:w="5173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scipy</w:t>
            </w:r>
          </w:p>
        </w:tc>
        <w:tc>
          <w:tcPr>
            <w:tcW w:type="dxa" w:w="4187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1.15.3</w:t>
            </w:r>
          </w:p>
        </w:tc>
      </w:tr>
      <w:tr>
        <w:trPr>
          <w:cantSplit/>
        </w:trPr>
        <w:tc>
          <w:tcPr>
            <w:tcW w:type="dxa" w:w="5173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scikit-learn</w:t>
            </w:r>
          </w:p>
        </w:tc>
        <w:tc>
          <w:tcPr>
            <w:tcW w:type="dxa" w:w="4187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1.7.2</w:t>
            </w:r>
          </w:p>
        </w:tc>
      </w:tr>
      <w:tr>
        <w:trPr>
          <w:cantSplit/>
        </w:trPr>
        <w:tc>
          <w:tcPr>
            <w:tcW w:type="dxa" w:w="5173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statsmodels</w:t>
            </w:r>
          </w:p>
        </w:tc>
        <w:tc>
          <w:tcPr>
            <w:tcW w:type="dxa" w:w="4187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0.15.0</w:t>
            </w:r>
          </w:p>
        </w:tc>
      </w:tr>
      <w:tr>
        <w:trPr>
          <w:cantSplit/>
        </w:trPr>
        <w:tc>
          <w:tcPr>
            <w:tcW w:type="dxa" w:w="5173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torch</w:t>
            </w:r>
          </w:p>
        </w:tc>
        <w:tc>
          <w:tcPr>
            <w:tcW w:type="dxa" w:w="4187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2.5.1+cu121</w:t>
            </w:r>
          </w:p>
        </w:tc>
      </w:tr>
      <w:tr>
        <w:trPr>
          <w:cantSplit/>
        </w:trPr>
        <w:tc>
          <w:tcPr>
            <w:tcW w:type="dxa" w:w="5173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xgboost</w:t>
            </w:r>
          </w:p>
        </w:tc>
        <w:tc>
          <w:tcPr>
            <w:tcW w:type="dxa" w:w="4187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2.1.4</w:t>
            </w:r>
          </w:p>
        </w:tc>
      </w:tr>
      <w:tr>
        <w:trPr>
          <w:cantSplit/>
        </w:trPr>
        <w:tc>
          <w:tcPr>
            <w:tcW w:type="dxa" w:w="5173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lightgbm</w:t>
            </w:r>
          </w:p>
        </w:tc>
        <w:tc>
          <w:tcPr>
            <w:tcW w:type="dxa" w:w="4187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4.6.0</w:t>
            </w:r>
          </w:p>
        </w:tc>
      </w:tr>
      <w:tr>
        <w:trPr>
          <w:cantSplit/>
        </w:trPr>
        <w:tc>
          <w:tcPr>
            <w:tcW w:type="dxa" w:w="5173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umap-learn</w:t>
            </w:r>
          </w:p>
        </w:tc>
        <w:tc>
          <w:tcPr>
            <w:tcW w:type="dxa" w:w="4187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0.5.12</w:t>
            </w:r>
          </w:p>
        </w:tc>
      </w:tr>
      <w:tr>
        <w:trPr>
          <w:cantSplit/>
        </w:trPr>
        <w:tc>
          <w:tcPr>
            <w:tcW w:type="dxa" w:w="5173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matplotlib</w:t>
            </w:r>
          </w:p>
        </w:tc>
        <w:tc>
          <w:tcPr>
            <w:tcW w:type="dxa" w:w="4187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3.10.9</w:t>
            </w:r>
          </w:p>
        </w:tc>
      </w:tr>
      <w:tr>
        <w:trPr>
          <w:cantSplit/>
        </w:trPr>
        <w:tc>
          <w:tcPr>
            <w:tcW w:type="dxa" w:w="5173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seaborn</w:t>
            </w:r>
          </w:p>
        </w:tc>
        <w:tc>
          <w:tcPr>
            <w:tcW w:type="dxa" w:w="4187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0.13.2</w:t>
            </w:r>
          </w:p>
        </w:tc>
      </w:tr>
      <w:tr>
        <w:trPr>
          <w:cantSplit/>
        </w:trPr>
        <w:tc>
          <w:tcPr>
            <w:tcW w:type="dxa" w:w="5173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requests</w:t>
            </w:r>
          </w:p>
        </w:tc>
        <w:tc>
          <w:tcPr>
            <w:tcW w:type="dxa" w:w="4187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2.34.2</w:t>
            </w:r>
          </w:p>
        </w:tc>
      </w:tr>
      <w:tr>
        <w:trPr>
          <w:cantSplit/>
        </w:trPr>
        <w:tc>
          <w:tcPr>
            <w:tcW w:type="dxa" w:w="5173"/>
            <w:vAlign w:val="center"/>
          </w:tcPr>
          <w:p>
            <w:pPr>
              <w:pStyle w:val="Compact"/>
              <w:keepNext w:val="0"/>
              <w:spacing w:line="240" w:lineRule="auto" w:after="40" w:befor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Python</w:t>
            </w:r>
          </w:p>
        </w:tc>
        <w:tc>
          <w:tcPr>
            <w:tcW w:type="dxa" w:w="4187"/>
            <w:vAlign w:val="center"/>
          </w:tcPr>
          <w:p>
            <w:pPr>
              <w:pStyle w:val="Compact"/>
              <w:keepNext w:val="0"/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3.10.10</w:t>
            </w:r>
          </w:p>
        </w:tc>
      </w:tr>
    </w:tbl>
    <w:p>
      <w:pPr>
        <w:pStyle w:val="FirstParagraph"/>
        <w:keepNext/>
        <w:widowControl/>
        <w:spacing w:line="264" w:lineRule="auto" w:after="80"/>
      </w:pPr>
      <w:r>
        <w:rPr>
          <w:rFonts w:ascii="Times New Roman" w:hAnsi="Times New Roman" w:cs="Times New Roman" w:eastAsia="Times New Roman"/>
          <w:b/>
          <w:bCs/>
          <w:color w:val="000000"/>
          <w:sz w:val="24"/>
        </w:rPr>
        <w:t xml:space="preserve">Supplementary Table S9. Source threshold calibration (primary).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Layout w:type="fixed"/>
        <w:tblBorders>
          <w:top w:val="single" w:sz="8" w:color="000000"/>
          <w:left w:val="nil" w:sz="8" w:color="000000"/>
          <w:bottom w:val="single" w:sz="8" w:color="000000"/>
          <w:right w:val="nil" w:sz="8" w:color="000000"/>
          <w:insideH w:val="nil" w:sz="8" w:color="000000"/>
          <w:insideV w:val="nil" w:sz="8" w:color="000000"/>
        </w:tblBorders>
        <w:tblCellMar>
          <w:top w:w="35" w:type="dxa"/>
          <w:bottom w:w="35" w:type="dxa"/>
          <w:left w:w="42" w:type="dxa"/>
          <w:right w:w="42" w:type="dxa"/>
        </w:tblCellMar>
      </w:tblPr>
      <w:tblGrid>
        <w:gridCol w:w="2209"/>
        <w:gridCol w:w="1788"/>
        <w:gridCol w:w="1788"/>
        <w:gridCol w:w="1788"/>
        <w:gridCol w:w="1788"/>
      </w:tblGrid>
      <w:tr>
        <w:trPr>
          <w:tblHeader w:val="on"/>
          <w:cantSplit/>
          <w:tblHeader/>
        </w:trPr>
        <w:tc>
          <w:tcPr>
            <w:tcW w:type="dxa" w:w="2209"/>
            <w:vAlign w:val="center"/>
            <w:tcBorders>
              <w:bottom w:val="single" w:sz="6" w:color="000000"/>
            </w:tcBorders>
          </w:tcPr>
          <w:p>
            <w:pPr>
              <w:pStyle w:val="Compact"/>
              <w:keepNext/>
              <w:spacing w:line="240" w:lineRule="auto" w:after="40" w:befor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 xml:space="preserve">Target</w:t>
            </w:r>
          </w:p>
        </w:tc>
        <w:tc>
          <w:tcPr>
            <w:tcW w:type="dxa" w:w="1788"/>
            <w:vAlign w:val="center"/>
            <w:tcBorders>
              <w:bottom w:val="single" w:sz="6" w:color="000000"/>
            </w:tcBorders>
          </w:tcPr>
          <w:p>
            <w:pPr>
              <w:pStyle w:val="Compact"/>
              <w:keepNext/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 xml:space="preserve">Method</w:t>
            </w:r>
          </w:p>
        </w:tc>
        <w:tc>
          <w:tcPr>
            <w:tcW w:type="dxa" w:w="1788"/>
            <w:vAlign w:val="center"/>
            <w:tcBorders>
              <w:bottom w:val="single" w:sz="6" w:color="000000"/>
            </w:tcBorders>
          </w:tcPr>
          <w:p>
            <w:pPr>
              <w:pStyle w:val="Compact"/>
              <w:keepNext/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 xml:space="preserve">Source threshold [95% CI]</w:t>
            </w:r>
          </w:p>
        </w:tc>
        <w:tc>
          <w:tcPr>
            <w:tcW w:type="dxa" w:w="1788"/>
            <w:vAlign w:val="center"/>
            <w:tcBorders>
              <w:bottom w:val="single" w:sz="6" w:color="000000"/>
            </w:tcBorders>
          </w:tcPr>
          <w:p>
            <w:pPr>
              <w:pStyle w:val="Compact"/>
              <w:keepNext/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 xml:space="preserve">Target specificity</w:t>
            </w:r>
          </w:p>
        </w:tc>
        <w:tc>
          <w:tcPr>
            <w:tcW w:type="dxa" w:w="1788"/>
            <w:vAlign w:val="center"/>
            <w:tcBorders>
              <w:bottom w:val="single" w:sz="6" w:color="000000"/>
            </w:tcBorders>
          </w:tcPr>
          <w:p>
            <w:pPr>
              <w:pStyle w:val="Compact"/>
              <w:keepNext/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18"/>
              </w:rPr>
              <w:t xml:space="preserve">Propagated specificity [95% CI]</w:t>
            </w:r>
          </w:p>
        </w:tc>
      </w:tr>
      <w:tr>
        <w:trPr>
          <w:cantSplit/>
        </w:trPr>
        <w:tc>
          <w:tcPr>
            <w:tcW w:type="dxa" w:w="2209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Cristiano</w:t>
            </w:r>
          </w:p>
        </w:tc>
        <w:tc>
          <w:tcPr>
            <w:tcW w:type="dxa" w:w="1788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Global</w:t>
            </w:r>
          </w:p>
        </w:tc>
        <w:tc>
          <w:tcPr>
            <w:tcW w:type="dxa" w:w="1788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0.629 [0.407, 0.744]</w:t>
            </w:r>
          </w:p>
        </w:tc>
        <w:tc>
          <w:tcPr>
            <w:tcW w:type="dxa" w:w="1788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0.660</w:t>
            </w:r>
          </w:p>
        </w:tc>
        <w:tc>
          <w:tcPr>
            <w:tcW w:type="dxa" w:w="1788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[0.512, 0.737]</w:t>
            </w:r>
          </w:p>
        </w:tc>
      </w:tr>
      <w:tr>
        <w:trPr>
          <w:cantSplit/>
        </w:trPr>
        <w:tc>
          <w:tcPr>
            <w:tcW w:type="dxa" w:w="2209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Cristiano</w:t>
            </w:r>
          </w:p>
        </w:tc>
        <w:tc>
          <w:tcPr>
            <w:tcW w:type="dxa" w:w="1788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Hybrid</w:t>
            </w:r>
          </w:p>
        </w:tc>
        <w:tc>
          <w:tcPr>
            <w:tcW w:type="dxa" w:w="1788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0.559 [0.334, 0.617]</w:t>
            </w:r>
          </w:p>
        </w:tc>
        <w:tc>
          <w:tcPr>
            <w:tcW w:type="dxa" w:w="1788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0.632</w:t>
            </w:r>
          </w:p>
        </w:tc>
        <w:tc>
          <w:tcPr>
            <w:tcW w:type="dxa" w:w="1788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[0.517, 0.675]</w:t>
            </w:r>
          </w:p>
        </w:tc>
      </w:tr>
      <w:tr>
        <w:trPr>
          <w:cantSplit/>
        </w:trPr>
        <w:tc>
          <w:tcPr>
            <w:tcW w:type="dxa" w:w="2209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Cristiano</w:t>
            </w:r>
          </w:p>
        </w:tc>
        <w:tc>
          <w:tcPr>
            <w:tcW w:type="dxa" w:w="1788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Local LSN</w:t>
            </w:r>
          </w:p>
        </w:tc>
        <w:tc>
          <w:tcPr>
            <w:tcW w:type="dxa" w:w="1788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0.671 [0.517, 0.805]</w:t>
            </w:r>
          </w:p>
        </w:tc>
        <w:tc>
          <w:tcPr>
            <w:tcW w:type="dxa" w:w="1788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0.512</w:t>
            </w:r>
          </w:p>
        </w:tc>
        <w:tc>
          <w:tcPr>
            <w:tcW w:type="dxa" w:w="1788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[0.445, 0.632]</w:t>
            </w:r>
          </w:p>
        </w:tc>
      </w:tr>
      <w:tr>
        <w:trPr>
          <w:cantSplit/>
        </w:trPr>
        <w:tc>
          <w:tcPr>
            <w:tcW w:type="dxa" w:w="2209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Cristiano</w:t>
            </w:r>
          </w:p>
        </w:tc>
        <w:tc>
          <w:tcPr>
            <w:tcW w:type="dxa" w:w="1788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Raw</w:t>
            </w:r>
          </w:p>
        </w:tc>
        <w:tc>
          <w:tcPr>
            <w:tcW w:type="dxa" w:w="1788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0.695 [0.679, 0.709]</w:t>
            </w:r>
          </w:p>
        </w:tc>
        <w:tc>
          <w:tcPr>
            <w:tcW w:type="dxa" w:w="1788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0.450</w:t>
            </w:r>
          </w:p>
        </w:tc>
        <w:tc>
          <w:tcPr>
            <w:tcW w:type="dxa" w:w="1788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[0.105, 0.770]</w:t>
            </w:r>
          </w:p>
        </w:tc>
      </w:tr>
      <w:tr>
        <w:trPr>
          <w:cantSplit/>
        </w:trPr>
        <w:tc>
          <w:tcPr>
            <w:tcW w:type="dxa" w:w="2209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Jiang</w:t>
            </w:r>
          </w:p>
        </w:tc>
        <w:tc>
          <w:tcPr>
            <w:tcW w:type="dxa" w:w="1788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Global</w:t>
            </w:r>
          </w:p>
        </w:tc>
        <w:tc>
          <w:tcPr>
            <w:tcW w:type="dxa" w:w="1788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0.729 [0.576, 0.881]</w:t>
            </w:r>
          </w:p>
        </w:tc>
        <w:tc>
          <w:tcPr>
            <w:tcW w:type="dxa" w:w="1788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0.406</w:t>
            </w:r>
          </w:p>
        </w:tc>
        <w:tc>
          <w:tcPr>
            <w:tcW w:type="dxa" w:w="1788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[0.281, 0.594]</w:t>
            </w:r>
          </w:p>
        </w:tc>
      </w:tr>
      <w:tr>
        <w:trPr>
          <w:cantSplit/>
        </w:trPr>
        <w:tc>
          <w:tcPr>
            <w:tcW w:type="dxa" w:w="2209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Jiang</w:t>
            </w:r>
          </w:p>
        </w:tc>
        <w:tc>
          <w:tcPr>
            <w:tcW w:type="dxa" w:w="1788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Hybrid</w:t>
            </w:r>
          </w:p>
        </w:tc>
        <w:tc>
          <w:tcPr>
            <w:tcW w:type="dxa" w:w="1788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0.764 [0.624, 0.883]</w:t>
            </w:r>
          </w:p>
        </w:tc>
        <w:tc>
          <w:tcPr>
            <w:tcW w:type="dxa" w:w="1788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0.531</w:t>
            </w:r>
          </w:p>
        </w:tc>
        <w:tc>
          <w:tcPr>
            <w:tcW w:type="dxa" w:w="1788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[0.406, 0.719]</w:t>
            </w:r>
          </w:p>
        </w:tc>
      </w:tr>
      <w:tr>
        <w:trPr>
          <w:cantSplit/>
        </w:trPr>
        <w:tc>
          <w:tcPr>
            <w:tcW w:type="dxa" w:w="2209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Jiang</w:t>
            </w:r>
          </w:p>
        </w:tc>
        <w:tc>
          <w:tcPr>
            <w:tcW w:type="dxa" w:w="1788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Local LSN</w:t>
            </w:r>
          </w:p>
        </w:tc>
        <w:tc>
          <w:tcPr>
            <w:tcW w:type="dxa" w:w="1788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0.866 [0.820, 0.915]</w:t>
            </w:r>
          </w:p>
        </w:tc>
        <w:tc>
          <w:tcPr>
            <w:tcW w:type="dxa" w:w="1788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0.812</w:t>
            </w:r>
          </w:p>
        </w:tc>
        <w:tc>
          <w:tcPr>
            <w:tcW w:type="dxa" w:w="1788"/>
            <w:vAlign w:val="center"/>
          </w:tcPr>
          <w:p>
            <w:pPr>
              <w:pStyle w:val="Compact"/>
              <w:keepNext/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[0.750, 0.812]</w:t>
            </w:r>
          </w:p>
        </w:tc>
      </w:tr>
      <w:tr>
        <w:trPr>
          <w:cantSplit/>
        </w:trPr>
        <w:tc>
          <w:tcPr>
            <w:tcW w:type="dxa" w:w="2209"/>
            <w:vAlign w:val="center"/>
          </w:tcPr>
          <w:p>
            <w:pPr>
              <w:pStyle w:val="Compact"/>
              <w:keepNext w:val="0"/>
              <w:spacing w:line="240" w:lineRule="auto" w:after="40" w:befor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Jiang</w:t>
            </w:r>
          </w:p>
        </w:tc>
        <w:tc>
          <w:tcPr>
            <w:tcW w:type="dxa" w:w="1788"/>
            <w:vAlign w:val="center"/>
          </w:tcPr>
          <w:p>
            <w:pPr>
              <w:pStyle w:val="Compact"/>
              <w:keepNext w:val="0"/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>Raw</w:t>
            </w:r>
          </w:p>
        </w:tc>
        <w:tc>
          <w:tcPr>
            <w:tcW w:type="dxa" w:w="1788"/>
            <w:vAlign w:val="center"/>
          </w:tcPr>
          <w:p>
            <w:pPr>
              <w:pStyle w:val="Compact"/>
              <w:keepNext w:val="0"/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0.537 [0.506, 0.570]</w:t>
            </w:r>
          </w:p>
        </w:tc>
        <w:tc>
          <w:tcPr>
            <w:tcW w:type="dxa" w:w="1788"/>
            <w:vAlign w:val="center"/>
          </w:tcPr>
          <w:p>
            <w:pPr>
              <w:pStyle w:val="Compact"/>
              <w:keepNext w:val="0"/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1.000</w:t>
            </w:r>
          </w:p>
        </w:tc>
        <w:tc>
          <w:tcPr>
            <w:tcW w:type="dxa" w:w="1788"/>
            <w:vAlign w:val="center"/>
          </w:tcPr>
          <w:p>
            <w:pPr>
              <w:pStyle w:val="Compact"/>
              <w:keepNext w:val="0"/>
              <w:spacing w:line="240" w:lineRule="auto" w:after="40" w:befor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color w:val="000000"/>
                <w:sz w:val="18"/>
              </w:rPr>
              <w:t xml:space="preserve">[1.000, 1.000]</w:t>
            </w:r>
          </w:p>
        </w:tc>
      </w:tr>
    </w:tbl>
    <w:sectPr>
      <w:footerReference w:type="default" r:id="rId9"/>
      <w:footnotePr>
        <w:numRestart w:val="eachSect"/>
      </w:footnotePr>
      <w:pgSz w:w="12240" w:h="15840"/>
      <w:pgMar w:top="1440" w:bottom="1440" w:left="1440" w:right="1440" w:header="648" w:footer="64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uppressLineNumbers/>
    </w:pPr>
    <w:fldSimple w:instr="PAGE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m:mathPr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276" w:lineRule="auto" w:after="140"/>
    </w:pPr>
    <w:rPr>
      <w:rFonts w:ascii="Times New Roman" w:hAnsi="Times New Roman"/>
      <w:color w:val="000000"/>
      <w:sz w:val="24"/>
    </w:rPr>
  </w:style>
  <w:style w:type="paragraph" w:styleId="BodyText">
    <w:name w:val="Body Text"/>
    <w:basedOn w:val="Normal"/>
    <w:link w:val="BodyTextChar"/>
    <w:qFormat/>
    <w:pPr>
      <w:spacing w:before="180" w:after="140" w:line="276" w:lineRule="auto"/>
    </w:pPr>
    <w:rPr>
      <w:rFonts w:ascii="Times New Roman" w:hAnsi="Times New Roman"/>
      <w:color w:val="000000"/>
      <w:sz w:val="24"/>
    </w:rPr>
  </w:style>
  <w:style w:type="paragraph" w:customStyle="1" w:styleId="FirstParagraph">
    <w:name w:val="First Paragraph"/>
    <w:basedOn w:val="BodyText"/>
    <w:next w:val="BodyText"/>
    <w:qFormat/>
    <w:pPr>
      <w:spacing w:line="276" w:lineRule="auto" w:after="140"/>
    </w:pPr>
    <w:rPr>
      <w:rFonts w:ascii="Times New Roman" w:hAnsi="Times New Roman"/>
      <w:color w:val="000000"/>
      <w:sz w:val="24"/>
    </w:rPr>
  </w:style>
  <w:style w:type="paragraph" w:customStyle="1" w:styleId="Compact">
    <w:name w:val="Compact"/>
    <w:basedOn w:val="BodyText"/>
    <w:qFormat/>
    <w:pPr>
      <w:spacing w:before="36" w:after="140" w:line="276" w:lineRule="auto"/>
    </w:pPr>
    <w:rPr>
      <w:rFonts w:ascii="Times New Roman" w:hAnsi="Times New Roman"/>
      <w:color w:val="000000"/>
      <w:sz w:val="24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100" w:line="276" w:lineRule="auto" w:before="180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 w:ascii="Times New Roman" w:hAnsi="Times New Roman"/>
      <w:color w:val="000000"/>
      <w:sz w:val="24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line="276" w:lineRule="auto" w:after="140"/>
    </w:pPr>
    <w:rPr>
      <w:rFonts w:eastAsiaTheme="majorEastAsia" w:cstheme="majorBidi" w:ascii="Times New Roman" w:hAnsi="Times New Roman"/>
      <w:color w:val="000000"/>
      <w:spacing w:val="15"/>
      <w:sz w:val="24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 w:ascii="Times New Roman" w:hAnsi="Times New Roman"/>
      <w:color w:val="000000"/>
      <w:spacing w:val="15"/>
      <w:sz w:val="24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spacing w:line="276" w:lineRule="auto" w:after="140"/>
    </w:pPr>
    <w:rPr>
      <w:rFonts w:ascii="Times New Roman" w:hAnsi="Times New Roman"/>
      <w:color w:val="000000"/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  <w:spacing w:line="276" w:lineRule="auto" w:after="140"/>
    </w:pPr>
    <w:rPr>
      <w:rFonts w:ascii="Times New Roman" w:hAnsi="Times New Roman"/>
      <w:color w:val="000000"/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140" w:line="276" w:lineRule="auto"/>
      <w:jc w:val="center"/>
    </w:pPr>
    <w:rPr>
      <w:rFonts w:ascii="Times New Roman" w:hAnsi="Times New Roman"/>
      <w:b/>
      <w:color w:val="000000"/>
      <w:sz w:val="24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140" w:line="276" w:lineRule="auto"/>
    </w:pPr>
    <w:rPr>
      <w:rFonts w:ascii="Times New Roman" w:hAnsi="Times New Roman"/>
      <w:color w:val="000000"/>
      <w:sz w:val="24"/>
      <w:szCs w:val="20"/>
    </w:rPr>
  </w:style>
  <w:style w:type="paragraph" w:styleId="Bibliography">
    <w:name w:val="Bibliography"/>
    <w:basedOn w:val="Normal"/>
    <w:next w:val="Bibliography"/>
    <w:qFormat/>
    <w:pPr>
      <w:spacing w:line="276" w:lineRule="auto" w:after="140"/>
    </w:pPr>
    <w:rPr>
      <w:rFonts w:ascii="Times New Roman" w:hAnsi="Times New Roman"/>
      <w:color w:val="000000"/>
      <w:sz w:val="24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180" w:after="100" w:line="276" w:lineRule="auto"/>
      <w:outlineLvl w:val="0"/>
    </w:pPr>
    <w:rPr>
      <w:rFonts w:asciiTheme="majorHAnsi" w:eastAsiaTheme="majorEastAsia" w:hAnsiTheme="majorHAnsi" w:cstheme="majorBidi" w:ascii="Times New Roman" w:hAnsi="Times New Roman"/>
      <w:b/>
      <w:color w:val="000000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80" w:after="100" w:line="276" w:lineRule="auto"/>
      <w:outlineLvl w:val="1"/>
    </w:pPr>
    <w:rPr>
      <w:rFonts w:asciiTheme="majorHAnsi" w:eastAsiaTheme="majorEastAsia" w:hAnsiTheme="majorHAnsi" w:cstheme="majorBidi" w:ascii="Times New Roman" w:hAnsi="Times New Roman"/>
      <w:b/>
      <w:color w:val="000000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80" w:after="100" w:line="276" w:lineRule="auto"/>
      <w:outlineLvl w:val="2"/>
    </w:pPr>
    <w:rPr>
      <w:rFonts w:eastAsiaTheme="majorEastAsia" w:cstheme="majorBidi" w:ascii="Times New Roman" w:hAnsi="Times New Roman"/>
      <w:b/>
      <w:color w:val="0000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140" w:line="276" w:lineRule="auto"/>
      <w:outlineLvl w:val="3"/>
    </w:pPr>
    <w:rPr>
      <w:rFonts w:eastAsiaTheme="majorEastAsia" w:cstheme="majorBidi" w:ascii="Times New Roman" w:hAnsi="Times New Roman"/>
      <w:i/>
      <w:iCs/>
      <w:color w:val="000000"/>
      <w:sz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140" w:line="276" w:lineRule="auto"/>
      <w:outlineLvl w:val="4"/>
    </w:pPr>
    <w:rPr>
      <w:rFonts w:eastAsiaTheme="majorEastAsia" w:cstheme="majorBidi" w:ascii="Times New Roman" w:hAnsi="Times New Roman"/>
      <w:color w:val="000000"/>
      <w:sz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140" w:line="276" w:lineRule="auto"/>
      <w:outlineLvl w:val="5"/>
    </w:pPr>
    <w:rPr>
      <w:rFonts w:eastAsiaTheme="majorEastAsia" w:cstheme="majorBidi" w:ascii="Times New Roman" w:hAnsi="Times New Roman"/>
      <w:i/>
      <w:iCs/>
      <w:color w:val="000000"/>
      <w:sz w:val="24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140" w:line="276" w:lineRule="auto"/>
      <w:outlineLvl w:val="6"/>
    </w:pPr>
    <w:rPr>
      <w:rFonts w:eastAsiaTheme="majorEastAsia" w:cstheme="majorBidi" w:ascii="Times New Roman" w:hAnsi="Times New Roman"/>
      <w:color w:val="000000"/>
      <w:sz w:val="24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140" w:line="276" w:lineRule="auto"/>
      <w:outlineLvl w:val="7"/>
    </w:pPr>
    <w:rPr>
      <w:rFonts w:eastAsiaTheme="majorEastAsia" w:cstheme="majorBidi" w:ascii="Times New Roman" w:hAnsi="Times New Roman"/>
      <w:i/>
      <w:iCs/>
      <w:color w:val="000000"/>
      <w:sz w:val="24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140" w:line="276" w:lineRule="auto"/>
      <w:outlineLvl w:val="8"/>
    </w:pPr>
    <w:rPr>
      <w:rFonts w:eastAsiaTheme="majorEastAsia" w:cstheme="majorBidi" w:ascii="Times New Roman" w:hAnsi="Times New Roman"/>
      <w:color w:val="000000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 w:ascii="Times New Roman" w:hAnsi="Times New Roman"/>
      <w:color w:val="000000"/>
      <w:sz w:val="2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 w:ascii="Times New Roman" w:hAnsi="Times New Roman"/>
      <w:color w:val="000000"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 w:ascii="Times New Roman" w:hAnsi="Times New Roman"/>
      <w:color w:val="000000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 w:ascii="Times New Roman" w:hAnsi="Times New Roman"/>
      <w:i/>
      <w:iCs/>
      <w:color w:val="000000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 w:ascii="Times New Roman" w:hAnsi="Times New Roman"/>
      <w:color w:val="000000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 w:ascii="Times New Roman" w:hAnsi="Times New Roman"/>
      <w:i/>
      <w:iCs/>
      <w:color w:val="000000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 w:ascii="Times New Roman" w:hAnsi="Times New Roman"/>
      <w:color w:val="000000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 w:ascii="Times New Roman" w:hAnsi="Times New Roman"/>
      <w:i/>
      <w:iCs/>
      <w:color w:val="000000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 w:ascii="Times New Roman" w:hAnsi="Times New Roman"/>
      <w:color w:val="000000"/>
      <w:sz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40" w:line="276" w:lineRule="auto"/>
      <w:ind w:firstLine="0" w:left="480" w:right="480"/>
    </w:pPr>
    <w:rPr>
      <w:rFonts w:ascii="Times New Roman" w:hAnsi="Times New Roman"/>
      <w:color w:val="000000"/>
      <w:sz w:val="24"/>
    </w:rPr>
  </w:style>
  <w:style w:type="paragraph" w:styleId="FootnoteText">
    <w:name w:val="Footnote Text"/>
    <w:basedOn w:val="Normal"/>
    <w:next w:val="FootnoteText"/>
    <w:uiPriority w:val="9"/>
    <w:unhideWhenUsed/>
    <w:qFormat/>
    <w:pPr>
      <w:spacing w:line="276" w:lineRule="auto" w:after="140"/>
    </w:pPr>
    <w:rPr>
      <w:rFonts w:ascii="Times New Roman" w:hAnsi="Times New Roman"/>
      <w:color w:val="000000"/>
      <w:sz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40" w:line="276" w:lineRule="auto"/>
      <w:ind w:firstLine="0" w:left="480" w:right="480"/>
    </w:pPr>
    <w:rPr>
      <w:rFonts w:ascii="Times New Roman" w:hAnsi="Times New Roman"/>
      <w:color w:val="000000"/>
      <w:sz w:val="24"/>
    </w:rPr>
  </w:style>
  <w:style w:type="character" w:default="1" w:styleId="DefaultParagraphFont">
    <w:name w:val="Default Paragraph Font"/>
    <w:semiHidden/>
    <w:unhideWhenUsed/>
    <w:rPr>
      <w:rFonts w:ascii="Times New Roman" w:hAnsi="Times New Roman"/>
      <w:color w:val="000000"/>
      <w:sz w:val="24"/>
    </w:rPr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140" w:line="276" w:lineRule="auto"/>
    </w:pPr>
    <w:rPr>
      <w:rFonts w:ascii="Times New Roman" w:hAnsi="Times New Roman"/>
      <w:b/>
      <w:color w:val="000000"/>
      <w:sz w:val="24"/>
    </w:rPr>
  </w:style>
  <w:style w:type="paragraph" w:customStyle="1" w:styleId="Definition">
    <w:name w:val="Definition"/>
    <w:basedOn w:val="Normal"/>
    <w:pPr>
      <w:spacing w:line="276" w:lineRule="auto" w:after="140"/>
    </w:pPr>
    <w:rPr>
      <w:rFonts w:ascii="Times New Roman" w:hAnsi="Times New Roman"/>
      <w:color w:val="000000"/>
      <w:sz w:val="24"/>
    </w:rPr>
  </w:style>
  <w:style w:type="paragraph" w:styleId="Caption">
    <w:name w:val="Caption"/>
    <w:basedOn w:val="Normal"/>
    <w:link w:val="BodyTextChar"/>
    <w:pPr>
      <w:spacing w:before="0" w:after="140" w:line="276" w:lineRule="auto"/>
    </w:pPr>
    <w:rPr>
      <w:rFonts w:ascii="Times New Roman" w:hAnsi="Times New Roman"/>
      <w:i/>
      <w:color w:val="000000"/>
      <w:sz w:val="24"/>
    </w:rPr>
  </w:style>
  <w:style w:type="paragraph" w:customStyle="1" w:styleId="TableCaption">
    <w:name w:val="Table Caption"/>
    <w:basedOn w:val="Caption"/>
    <w:pPr>
      <w:keepNext/>
      <w:spacing w:line="276" w:lineRule="auto" w:after="140"/>
    </w:pPr>
    <w:rPr>
      <w:rFonts w:ascii="Times New Roman" w:hAnsi="Times New Roman"/>
      <w:color w:val="000000"/>
      <w:sz w:val="24"/>
    </w:rPr>
  </w:style>
  <w:style w:type="paragraph" w:customStyle="1" w:styleId="ImageCaption">
    <w:name w:val="Image Caption"/>
    <w:basedOn w:val="Caption"/>
    <w:pPr>
      <w:spacing w:line="276" w:lineRule="auto" w:after="140"/>
    </w:pPr>
    <w:rPr>
      <w:rFonts w:ascii="Times New Roman" w:hAnsi="Times New Roman"/>
      <w:color w:val="000000"/>
      <w:sz w:val="24"/>
    </w:rPr>
  </w:style>
  <w:style w:type="paragraph" w:customStyle="1" w:styleId="Figure">
    <w:name w:val="Figure"/>
    <w:basedOn w:val="Normal"/>
    <w:pPr>
      <w:spacing w:line="276" w:lineRule="auto" w:after="140"/>
    </w:pPr>
    <w:rPr>
      <w:rFonts w:ascii="Times New Roman" w:hAnsi="Times New Roman"/>
      <w:color w:val="000000"/>
      <w:sz w:val="24"/>
    </w:rPr>
  </w:style>
  <w:style w:type="paragraph" w:customStyle="1" w:styleId="CaptionedFigure">
    <w:name w:val="Captioned Figure"/>
    <w:basedOn w:val="Figure"/>
    <w:pPr>
      <w:keepNext/>
      <w:spacing w:line="276" w:lineRule="auto" w:after="140"/>
    </w:pPr>
    <w:rPr>
      <w:rFonts w:ascii="Times New Roman" w:hAnsi="Times New Roman"/>
      <w:color w:val="000000"/>
      <w:sz w:val="24"/>
    </w:rPr>
  </w:style>
  <w:style w:type="character" w:customStyle="1" w:styleId="BodyTextChar">
    <w:name w:val="Body Text Char"/>
    <w:basedOn w:val="DefaultParagraphFont"/>
    <w:link w:val="BodyText"/>
    <w:rPr>
      <w:rFonts w:ascii="Times New Roman" w:hAnsi="Times New Roman"/>
      <w:color w:val="000000"/>
      <w:sz w:val="24"/>
    </w:rPr>
  </w:style>
  <w:style w:type="character" w:customStyle="1" w:styleId="VerbatimChar">
    <w:name w:val="Verbatim Char"/>
    <w:basedOn w:val="BodyTextChar"/>
    <w:rPr>
      <w:rFonts w:ascii="Times New Roman" w:hAnsi="Times New Roman"/>
      <w:color w:val="000000"/>
      <w:sz w:val="24"/>
    </w:rPr>
  </w:style>
  <w:style w:type="character" w:customStyle="1" w:styleId="SectionNumber">
    <w:name w:val="Section Number"/>
    <w:basedOn w:val="BodyTextChar"/>
    <w:rPr>
      <w:rFonts w:ascii="Times New Roman" w:hAnsi="Times New Roman"/>
      <w:color w:val="000000"/>
      <w:sz w:val="24"/>
    </w:rPr>
  </w:style>
  <w:style w:type="character" w:styleId="FootnoteReference">
    <w:name w:val="Footnote Reference"/>
    <w:basedOn w:val="BodyTextChar"/>
    <w:rPr>
      <w:rFonts w:ascii="Times New Roman" w:hAnsi="Times New Roman"/>
      <w:color w:val="000000"/>
      <w:sz w:val="24"/>
      <w:vertAlign w:val="superscript"/>
    </w:rPr>
  </w:style>
  <w:style w:type="character" w:styleId="Hyperlink">
    <w:name w:val="Hyperlink"/>
    <w:basedOn w:val="BodyTextChar"/>
    <w:rPr>
      <w:rFonts w:ascii="Times New Roman" w:hAnsi="Times New Roman"/>
      <w:color w:val="000000"/>
      <w:sz w:val="24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76" w:lineRule="auto" w:after="140"/>
      <w:outlineLvl w:val="9"/>
    </w:pPr>
    <w:rPr>
      <w:rFonts w:asciiTheme="majorHAnsi" w:eastAsiaTheme="majorEastAsia" w:hAnsiTheme="majorHAnsi" w:cstheme="majorBidi" w:ascii="Times New Roman" w:hAnsi="Times New Roman"/>
      <w:b w:val="0"/>
      <w:bCs w:val="0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  <w:spacing w:line="276" w:lineRule="auto" w:after="140"/>
    </w:pPr>
    <w:rPr>
      <w:rFonts w:ascii="Times New Roman" w:hAnsi="Times New Roman"/>
      <w:color w:val="000000"/>
      <w:sz w:val="24"/>
    </w:rPr>
  </w:style>
  <w:style w:type="character" w:customStyle="1" w:styleId="KeywordTok">
    <w:name w:val="KeywordTok"/>
    <w:basedOn w:val="VerbatimChar"/>
    <w:rPr>
      <w:rFonts w:ascii="Times New Roman" w:hAnsi="Times New Roman"/>
      <w:b/>
      <w:color w:val="000000"/>
      <w:sz w:val="24"/>
    </w:rPr>
  </w:style>
  <w:style w:type="character" w:customStyle="1" w:styleId="DataTypeTok">
    <w:name w:val="DataTypeTok"/>
    <w:basedOn w:val="VerbatimChar"/>
    <w:rPr>
      <w:rFonts w:ascii="Times New Roman" w:hAnsi="Times New Roman"/>
      <w:color w:val="000000"/>
      <w:sz w:val="24"/>
    </w:rPr>
  </w:style>
  <w:style w:type="character" w:customStyle="1" w:styleId="DecValTok">
    <w:name w:val="DecValTok"/>
    <w:basedOn w:val="VerbatimChar"/>
    <w:rPr>
      <w:rFonts w:ascii="Times New Roman" w:hAnsi="Times New Roman"/>
      <w:color w:val="000000"/>
      <w:sz w:val="24"/>
    </w:rPr>
  </w:style>
  <w:style w:type="character" w:customStyle="1" w:styleId="BaseNTok">
    <w:name w:val="BaseNTok"/>
    <w:basedOn w:val="VerbatimChar"/>
    <w:rPr>
      <w:rFonts w:ascii="Times New Roman" w:hAnsi="Times New Roman"/>
      <w:color w:val="000000"/>
      <w:sz w:val="24"/>
    </w:rPr>
  </w:style>
  <w:style w:type="character" w:customStyle="1" w:styleId="FloatTok">
    <w:name w:val="FloatTok"/>
    <w:basedOn w:val="VerbatimChar"/>
    <w:rPr>
      <w:rFonts w:ascii="Times New Roman" w:hAnsi="Times New Roman"/>
      <w:color w:val="000000"/>
      <w:sz w:val="24"/>
    </w:rPr>
  </w:style>
  <w:style w:type="character" w:customStyle="1" w:styleId="ConstantTok">
    <w:name w:val="ConstantTok"/>
    <w:basedOn w:val="VerbatimChar"/>
    <w:rPr>
      <w:rFonts w:ascii="Times New Roman" w:hAnsi="Times New Roman"/>
      <w:color w:val="000000"/>
      <w:sz w:val="24"/>
    </w:rPr>
  </w:style>
  <w:style w:type="character" w:customStyle="1" w:styleId="CharTok">
    <w:name w:val="CharTok"/>
    <w:basedOn w:val="VerbatimChar"/>
    <w:rPr>
      <w:rFonts w:ascii="Times New Roman" w:hAnsi="Times New Roman"/>
      <w:color w:val="000000"/>
      <w:sz w:val="24"/>
    </w:rPr>
  </w:style>
  <w:style w:type="character" w:customStyle="1" w:styleId="SpecialCharTok">
    <w:name w:val="SpecialCharTok"/>
    <w:basedOn w:val="VerbatimChar"/>
    <w:rPr>
      <w:rFonts w:ascii="Times New Roman" w:hAnsi="Times New Roman"/>
      <w:color w:val="000000"/>
      <w:sz w:val="24"/>
    </w:rPr>
  </w:style>
  <w:style w:type="character" w:customStyle="1" w:styleId="StringTok">
    <w:name w:val="StringTok"/>
    <w:basedOn w:val="VerbatimChar"/>
    <w:rPr>
      <w:rFonts w:ascii="Times New Roman" w:hAnsi="Times New Roman"/>
      <w:color w:val="000000"/>
      <w:sz w:val="24"/>
    </w:rPr>
  </w:style>
  <w:style w:type="character" w:customStyle="1" w:styleId="VerbatimStringTok">
    <w:name w:val="VerbatimStringTok"/>
    <w:basedOn w:val="VerbatimChar"/>
    <w:rPr>
      <w:rFonts w:ascii="Times New Roman" w:hAnsi="Times New Roman"/>
      <w:color w:val="000000"/>
      <w:sz w:val="24"/>
    </w:rPr>
  </w:style>
  <w:style w:type="character" w:customStyle="1" w:styleId="SpecialStringTok">
    <w:name w:val="SpecialStringTok"/>
    <w:basedOn w:val="VerbatimChar"/>
    <w:rPr>
      <w:rFonts w:ascii="Times New Roman" w:hAnsi="Times New Roman"/>
      <w:color w:val="000000"/>
      <w:sz w:val="24"/>
    </w:rPr>
  </w:style>
  <w:style w:type="character" w:customStyle="1" w:styleId="ImportTok">
    <w:name w:val="ImportTok"/>
    <w:basedOn w:val="VerbatimChar"/>
    <w:rPr>
      <w:rFonts w:ascii="Times New Roman" w:hAnsi="Times New Roman"/>
      <w:b/>
      <w:color w:val="000000"/>
      <w:sz w:val="24"/>
    </w:rPr>
  </w:style>
  <w:style w:type="character" w:customStyle="1" w:styleId="CommentTok">
    <w:name w:val="CommentTok"/>
    <w:basedOn w:val="VerbatimChar"/>
    <w:rPr>
      <w:rFonts w:ascii="Times New Roman" w:hAnsi="Times New Roman"/>
      <w:i/>
      <w:color w:val="000000"/>
      <w:sz w:val="24"/>
    </w:rPr>
  </w:style>
  <w:style w:type="character" w:customStyle="1" w:styleId="DocumentationTok">
    <w:name w:val="DocumentationTok"/>
    <w:basedOn w:val="VerbatimChar"/>
    <w:rPr>
      <w:rFonts w:ascii="Times New Roman" w:hAnsi="Times New Roman"/>
      <w:i/>
      <w:color w:val="000000"/>
      <w:sz w:val="24"/>
    </w:rPr>
  </w:style>
  <w:style w:type="character" w:customStyle="1" w:styleId="AnnotationTok">
    <w:name w:val="AnnotationTok"/>
    <w:basedOn w:val="VerbatimChar"/>
    <w:rPr>
      <w:rFonts w:ascii="Times New Roman" w:hAnsi="Times New Roman"/>
      <w:b/>
      <w:i/>
      <w:color w:val="000000"/>
      <w:sz w:val="24"/>
    </w:rPr>
  </w:style>
  <w:style w:type="character" w:customStyle="1" w:styleId="CommentVarTok">
    <w:name w:val="CommentVarTok"/>
    <w:basedOn w:val="VerbatimChar"/>
    <w:rPr>
      <w:rFonts w:ascii="Times New Roman" w:hAnsi="Times New Roman"/>
      <w:b/>
      <w:i/>
      <w:color w:val="000000"/>
      <w:sz w:val="24"/>
    </w:rPr>
  </w:style>
  <w:style w:type="character" w:customStyle="1" w:styleId="OtherTok">
    <w:name w:val="OtherTok"/>
    <w:basedOn w:val="VerbatimChar"/>
    <w:rPr>
      <w:rFonts w:ascii="Times New Roman" w:hAnsi="Times New Roman"/>
      <w:color w:val="000000"/>
      <w:sz w:val="24"/>
    </w:rPr>
  </w:style>
  <w:style w:type="character" w:customStyle="1" w:styleId="FunctionTok">
    <w:name w:val="FunctionTok"/>
    <w:basedOn w:val="VerbatimChar"/>
    <w:rPr>
      <w:rFonts w:ascii="Times New Roman" w:hAnsi="Times New Roman"/>
      <w:color w:val="000000"/>
      <w:sz w:val="24"/>
    </w:rPr>
  </w:style>
  <w:style w:type="character" w:customStyle="1" w:styleId="VariableTok">
    <w:name w:val="VariableTok"/>
    <w:basedOn w:val="VerbatimChar"/>
    <w:rPr>
      <w:rFonts w:ascii="Times New Roman" w:hAnsi="Times New Roman"/>
      <w:color w:val="000000"/>
      <w:sz w:val="24"/>
    </w:rPr>
  </w:style>
  <w:style w:type="character" w:customStyle="1" w:styleId="ControlFlowTok">
    <w:name w:val="ControlFlowTok"/>
    <w:basedOn w:val="VerbatimChar"/>
    <w:rPr>
      <w:rFonts w:ascii="Times New Roman" w:hAnsi="Times New Roman"/>
      <w:b/>
      <w:color w:val="000000"/>
      <w:sz w:val="24"/>
    </w:rPr>
  </w:style>
  <w:style w:type="character" w:customStyle="1" w:styleId="OperatorTok">
    <w:name w:val="OperatorTok"/>
    <w:basedOn w:val="VerbatimChar"/>
    <w:rPr>
      <w:rFonts w:ascii="Times New Roman" w:hAnsi="Times New Roman"/>
      <w:color w:val="000000"/>
      <w:sz w:val="24"/>
    </w:rPr>
  </w:style>
  <w:style w:type="character" w:customStyle="1" w:styleId="BuiltInTok">
    <w:name w:val="BuiltInTok"/>
    <w:basedOn w:val="VerbatimChar"/>
    <w:rPr>
      <w:rFonts w:ascii="Times New Roman" w:hAnsi="Times New Roman"/>
      <w:color w:val="000000"/>
      <w:sz w:val="24"/>
    </w:rPr>
  </w:style>
  <w:style w:type="character" w:customStyle="1" w:styleId="ExtensionTok">
    <w:name w:val="ExtensionTok"/>
    <w:basedOn w:val="VerbatimChar"/>
    <w:rPr>
      <w:rFonts w:ascii="Times New Roman" w:hAnsi="Times New Roman"/>
      <w:color w:val="000000"/>
      <w:sz w:val="24"/>
    </w:rPr>
  </w:style>
  <w:style w:type="character" w:customStyle="1" w:styleId="PreprocessorTok">
    <w:name w:val="PreprocessorTok"/>
    <w:basedOn w:val="VerbatimChar"/>
    <w:rPr>
      <w:rFonts w:ascii="Times New Roman" w:hAnsi="Times New Roman"/>
      <w:color w:val="000000"/>
      <w:sz w:val="24"/>
    </w:rPr>
  </w:style>
  <w:style w:type="character" w:customStyle="1" w:styleId="AttributeTok">
    <w:name w:val="AttributeTok"/>
    <w:basedOn w:val="VerbatimChar"/>
    <w:rPr>
      <w:rFonts w:ascii="Times New Roman" w:hAnsi="Times New Roman"/>
      <w:color w:val="000000"/>
      <w:sz w:val="24"/>
    </w:rPr>
  </w:style>
  <w:style w:type="character" w:customStyle="1" w:styleId="RegionMarkerTok">
    <w:name w:val="RegionMarkerTok"/>
    <w:basedOn w:val="VerbatimChar"/>
    <w:rPr>
      <w:rFonts w:ascii="Times New Roman" w:hAnsi="Times New Roman"/>
      <w:color w:val="000000"/>
      <w:sz w:val="24"/>
    </w:rPr>
  </w:style>
  <w:style w:type="character" w:customStyle="1" w:styleId="InformationTok">
    <w:name w:val="InformationTok"/>
    <w:basedOn w:val="VerbatimChar"/>
    <w:rPr>
      <w:rFonts w:ascii="Times New Roman" w:hAnsi="Times New Roman"/>
      <w:b/>
      <w:i/>
      <w:color w:val="000000"/>
      <w:sz w:val="24"/>
    </w:rPr>
  </w:style>
  <w:style w:type="character" w:customStyle="1" w:styleId="WarningTok">
    <w:name w:val="WarningTok"/>
    <w:basedOn w:val="VerbatimChar"/>
    <w:rPr>
      <w:rFonts w:ascii="Times New Roman" w:hAnsi="Times New Roman"/>
      <w:b/>
      <w:i/>
      <w:color w:val="000000"/>
      <w:sz w:val="24"/>
    </w:rPr>
  </w:style>
  <w:style w:type="character" w:customStyle="1" w:styleId="AlertTok">
    <w:name w:val="AlertTok"/>
    <w:basedOn w:val="VerbatimChar"/>
    <w:rPr>
      <w:rFonts w:ascii="Times New Roman" w:hAnsi="Times New Roman"/>
      <w:b/>
      <w:color w:val="000000"/>
      <w:sz w:val="24"/>
    </w:rPr>
  </w:style>
  <w:style w:type="character" w:customStyle="1" w:styleId="ErrorTok">
    <w:name w:val="ErrorTok"/>
    <w:basedOn w:val="VerbatimChar"/>
    <w:rPr>
      <w:rFonts w:ascii="Times New Roman" w:hAnsi="Times New Roman"/>
      <w:b/>
      <w:color w:val="000000"/>
      <w:sz w:val="24"/>
    </w:rPr>
  </w:style>
  <w:style w:type="character" w:customStyle="1" w:styleId="NormalTok">
    <w:name w:val="NormalTok"/>
    <w:basedOn w:val="VerbatimChar"/>
    <w:rPr>
      <w:rFonts w:ascii="Times New Roman" w:hAnsi="Times New Roman"/>
      <w:color w:val="000000"/>
      <w:sz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Scale trade-offs in within-sample self-normalization</dc:title>
  <dc:creator>Zhenxuan Ma</dc:creator>
  <cp:keywords/>
  <dcterms:created xsi:type="dcterms:W3CDTF">2026-10-26T15:53:31Z</dcterms:created>
  <dcterms:modified xsi:type="dcterms:W3CDTF">2026-10-26T15:53:31Z</dcterms:modified>
  <cp:lastModifiedBy>Zhenxuan Ma</cp:lastModifiedBy>
  <dc:description/>
  <dc:subject>Supplementary first figure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