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line="264" w:lineRule="auto" w:after="80"/>
      </w:pPr>
      <w:bookmarkStart w:id="9" w:name="_1c5eefc94ea6315eacb40faa6286fa55841c1e9"/>
      <w:r>
        <w:rPr>
          <w:rFonts w:ascii="Times New Roman" w:hAnsi="Times New Roman" w:cs="Times New Roman" w:eastAsia="Times New Roman"/>
          <w:color w:val="000000"/>
          <w:sz w:val="28"/>
        </w:rPr>
        <w:t xml:space="preserve">Supplementary material</w:t>
      </w:r>
      <w:bookmarkEnd w:id="9"/>
    </w:p>
    <w:p>
      <w:pPr>
        <w:pStyle w:val="FirstParagraph"/>
        <w:widowControl/>
        <w:spacing w:line="264" w:lineRule="auto" w:after="80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Scale Trade-offs in Within-Sample Self-Normalization for Cross-Study Generalization in Public cfDNA Cohorts</w:t>
      </w:r>
    </w:p>
    <w:p>
      <w:pPr>
        <w:keepNext/>
        <w:pageBreakBefore w:val="0"/>
        <w:spacing w:line="240" w:lineRule="auto" w:after="80"/>
      </w:pPr>
      <w:r>
        <w:drawing>
          <wp:inline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5_Score_Comparability_and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widowControl/>
        <w:spacing w:line="252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0"/>
        </w:rPr>
        <w:t xml:space="preserve">Supplementary Figure S5. Secondary score comparability and source calibration.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(a) Within-study and cross-study pair contributions to pooled Combined LOCO AUROC. (b) Mixed-source OOF versus source-study-held-out thresholds fitted before testing Snyder. Pooled discrimination is a cross-model score diagnostic; the primary performance evidence is direction-specific.</w:t>
      </w:r>
    </w:p>
    <w:p>
      <w:pPr>
        <w:keepNext/>
        <w:pageBreakBefore/>
        <w:spacing w:line="240" w:lineRule="auto" w:after="80"/>
      </w:pPr>
      <w:r>
        <w:drawing>
          <wp:inline>
            <wp:extent cx="5943600" cy="3032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6_Secondary_Classif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widowControl/>
        <w:spacing w:line="252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0"/>
        </w:rPr>
        <w:t xml:space="preserve">Supplementary Figure S6. Secondary classifier comparisons.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0"/>
        </w:rPr>
        <w:t xml:space="preserve">Bilateral mean target AUROC by representation and fixed classifier. Gray cells denote unidentifiable EB-TargetMap/DANN configurations. Local uses its Local_LSN branch in the primary one-source design. Full random and study-held-out metrics are in Supplementary Table S6.</w:t>
      </w:r>
    </w:p>
    <w:p>
      <w:pPr>
        <w:pStyle w:val="Heading2"/>
        <w:widowControl/>
        <w:spacing w:line="264" w:lineRule="auto" w:after="80"/>
      </w:pPr>
      <w:bookmarkStart w:id="10" w:name="_3f09ea963474de4d92b1901a6d1a16415066d3e"/>
      <w:r>
        <w:rPr>
          <w:rFonts w:ascii="Times New Roman" w:hAnsi="Times New Roman" w:cs="Times New Roman" w:eastAsia="Times New Roman"/>
          <w:color w:val="000000"/>
          <w:sz w:val="24"/>
        </w:rPr>
        <w:t xml:space="preserve">Statistical table guide</w:t>
      </w:r>
      <w:bookmarkEnd w:id="10"/>
    </w:p>
    <w:p>
      <w:pPr>
        <w:pStyle w:val="FirstParagraph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S1: Primary_BH_Hypothesis_Family.csv.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All 38 primary hypotheses, models, target studies, DeLong p and BH q values. The complete family remains the historical prespecified family.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S9: Threshold_Calibration_Comparison.csv.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Mixed-source OOF and source-study-held-out calibration, source threshold intervals and propagated operating points. Missing one-source EB-TargetMap cells are explicit.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S3: Primary_Hybrid_Global_Delta.csv.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Paired Hybrid−Global ΔAUROC and 1000 diagnosis-stratified patient-bootstrap intervals.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S4: Depth_CancerType_Sensitivity.csv.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Post-hoc exploratory sensitivity analyses of the shared-depth interval and GI-versus-HCC restriction, using the same public cohorts with altered target size/composition; not independent external validation or confirmatory evidence.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S5: Chromosome_Block_Associations.csv.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Nine genomic block tests with full block bootstrap intervals and block-wild BH correction. PERMDISP_Dispersion.csv gives the four separate dispersion tests.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S6: Table3_Benchmark_Metrics_Full_Revision.csv.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Complete fixed-classifier random and study-held-out metrics, with current method names and explicit unidentifiable cells.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S7: Anchor_Distribution_Summary.csv.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Median, Q1, Q3, IQR, full range and threshold-crossing rates. Anchor_All_Predictions.csv gives all repeated observations and Anchor_Real_Batch_Members.csv supplies patient identities for reproducibility.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S8: Table2_Study_Depth_Fragments_Composition.csv.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</w:rPr>
        <w:t xml:space="preserve">Exact depth/fragment ranges and cancer/stage categories for all sources. Source stage codes 0 and X remain as supplied.</w:t>
      </w:r>
    </w:p>
    <w:p>
      <w:pPr>
        <w:pStyle w:val="BodyText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S2. Software versions.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35" w:type="dxa"/>
          <w:bottom w:w="35" w:type="dxa"/>
          <w:left w:w="42" w:type="dxa"/>
          <w:right w:w="42" w:type="dxa"/>
        </w:tblCellMar>
      </w:tblPr>
      <w:tblGrid>
        <w:gridCol w:w="5173"/>
        <w:gridCol w:w="4187"/>
      </w:tblGrid>
      <w:tr>
        <w:trPr>
          <w:tblHeader w:val="on"/>
          <w:cantSplit/>
          <w:tblHeader/>
        </w:trPr>
        <w:tc>
          <w:tcPr>
            <w:tcW w:type="dxa" w:w="5173"/>
            <w:vAlign w:val="center"/>
            <w:tcBorders>
              <w:bottom w:val="single" w:sz="6" w:color="000000"/>
            </w:tcBorders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package</w:t>
            </w:r>
          </w:p>
        </w:tc>
        <w:tc>
          <w:tcPr>
            <w:tcW w:type="dxa" w:w="4187"/>
            <w:vAlign w:val="center"/>
            <w:tcBorders>
              <w:bottom w:val="single" w:sz="6" w:color="000000"/>
            </w:tcBorders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numpy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2.2.6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pandas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2.3.3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pyarrow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24.0.0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scipy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1.15.3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scikit-learn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1.7.2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statsmodels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0.15.0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torch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2.5.1+cu121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xgboost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2.1.4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lightgbm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4.6.0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umap-learn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0.5.12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matplotlib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3.10.9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seaborn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0.13.2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requests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2.34.2</w:t>
            </w:r>
          </w:p>
        </w:tc>
      </w:tr>
      <w:tr>
        <w:trPr>
          <w:cantSplit/>
        </w:trPr>
        <w:tc>
          <w:tcPr>
            <w:tcW w:type="dxa" w:w="5173"/>
            <w:vAlign w:val="center"/>
          </w:tcPr>
          <w:p>
            <w:pPr>
              <w:pStyle w:val="Compact"/>
              <w:keepNext w:val="0"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Python</w:t>
            </w:r>
          </w:p>
        </w:tc>
        <w:tc>
          <w:tcPr>
            <w:tcW w:type="dxa" w:w="4187"/>
            <w:vAlign w:val="center"/>
          </w:tcPr>
          <w:p>
            <w:pPr>
              <w:pStyle w:val="Compact"/>
              <w:keepNext w:val="0"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3.10.10</w:t>
            </w:r>
          </w:p>
        </w:tc>
      </w:tr>
    </w:tbl>
    <w:p>
      <w:pPr>
        <w:pStyle w:val="FirstParagraph"/>
        <w:keepNext/>
        <w:widowControl/>
        <w:spacing w:line="264" w:lineRule="auto" w:after="8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</w:rPr>
        <w:t xml:space="preserve">Supplementary Table S9. Source threshold calibration (primary).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Layout w:type="fixed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35" w:type="dxa"/>
          <w:bottom w:w="35" w:type="dxa"/>
          <w:left w:w="42" w:type="dxa"/>
          <w:right w:w="42" w:type="dxa"/>
        </w:tblCellMar>
      </w:tblPr>
      <w:tblGrid>
        <w:gridCol w:w="2209"/>
        <w:gridCol w:w="1788"/>
        <w:gridCol w:w="1788"/>
        <w:gridCol w:w="1788"/>
        <w:gridCol w:w="1788"/>
      </w:tblGrid>
      <w:tr>
        <w:trPr>
          <w:tblHeader w:val="on"/>
          <w:cantSplit/>
          <w:tblHeader/>
        </w:trPr>
        <w:tc>
          <w:tcPr>
            <w:tcW w:type="dxa" w:w="2209"/>
            <w:vAlign w:val="center"/>
            <w:tcBorders>
              <w:bottom w:val="single" w:sz="6" w:color="000000"/>
            </w:tcBorders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Target</w:t>
            </w:r>
          </w:p>
        </w:tc>
        <w:tc>
          <w:tcPr>
            <w:tcW w:type="dxa" w:w="1788"/>
            <w:vAlign w:val="center"/>
            <w:tcBorders>
              <w:bottom w:val="single" w:sz="6" w:color="000000"/>
            </w:tcBorders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Method</w:t>
            </w:r>
          </w:p>
        </w:tc>
        <w:tc>
          <w:tcPr>
            <w:tcW w:type="dxa" w:w="1788"/>
            <w:vAlign w:val="center"/>
            <w:tcBorders>
              <w:bottom w:val="single" w:sz="6" w:color="000000"/>
            </w:tcBorders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Source threshold [95% CI]</w:t>
            </w:r>
          </w:p>
        </w:tc>
        <w:tc>
          <w:tcPr>
            <w:tcW w:type="dxa" w:w="1788"/>
            <w:vAlign w:val="center"/>
            <w:tcBorders>
              <w:bottom w:val="single" w:sz="6" w:color="000000"/>
            </w:tcBorders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Target specificity</w:t>
            </w:r>
          </w:p>
        </w:tc>
        <w:tc>
          <w:tcPr>
            <w:tcW w:type="dxa" w:w="1788"/>
            <w:vAlign w:val="center"/>
            <w:tcBorders>
              <w:bottom w:val="single" w:sz="6" w:color="000000"/>
            </w:tcBorders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8"/>
              </w:rPr>
              <w:t xml:space="preserve">Propagated specificity [95% CI]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Cristiano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Global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0.629 [0.407, 0.744]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0.660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[0.512, 0.737]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Cristiano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0.559 [0.334, 0.617]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0.632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[0.517, 0.675]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Cristiano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Local LSN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0.671 [0.517, 0.805]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0.512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[0.445, 0.632]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Cristiano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Raw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0.695 [0.679, 0.709]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0.450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[0.105, 0.770]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Jiang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Global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0.729 [0.576, 0.881]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0.406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[0.281, 0.594]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Jiang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0.764 [0.624, 0.883]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0.531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[0.406, 0.719]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Jiang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Local LSN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0.866 [0.820, 0.915]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0.812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[0.750, 0.812]</w:t>
            </w:r>
          </w:p>
        </w:tc>
      </w:tr>
      <w:tr>
        <w:trPr>
          <w:cantSplit/>
        </w:trPr>
        <w:tc>
          <w:tcPr>
            <w:tcW w:type="dxa" w:w="2209"/>
            <w:vAlign w:val="center"/>
          </w:tcPr>
          <w:p>
            <w:pPr>
              <w:pStyle w:val="Compact"/>
              <w:keepNext w:val="0"/>
              <w:spacing w:line="240" w:lineRule="auto" w:after="40" w:befor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Jiang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 w:val="0"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>Raw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 w:val="0"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0.537 [0.506, 0.570]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 w:val="0"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1.000</w:t>
            </w:r>
          </w:p>
        </w:tc>
        <w:tc>
          <w:tcPr>
            <w:tcW w:type="dxa" w:w="1788"/>
            <w:vAlign w:val="center"/>
          </w:tcPr>
          <w:p>
            <w:pPr>
              <w:pStyle w:val="Compact"/>
              <w:keepNext w:val="0"/>
              <w:spacing w:line="240" w:lineRule="auto" w:after="4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8"/>
              </w:rPr>
              <w:t xml:space="preserve">[1.000, 1.000]</w:t>
            </w:r>
          </w:p>
        </w:tc>
      </w:tr>
    </w:tbl>
    <w:sectPr>
      <w:footerReference w:type="default" r:id="rId9"/>
      <w:footnotePr>
        <w:numRestart w:val="eachSect"/>
      </w:footnotePr>
      <w:pgSz w:w="12240" w:h="15840"/>
      <w:pgMar w:top="1440" w:bottom="1440" w:left="1440" w:right="1440" w:header="648" w:footer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m:math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40" w:line="276" w:lineRule="auto"/>
    </w:pPr>
    <w:rPr>
      <w:rFonts w:ascii="Times New Roman" w:hAnsi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140" w:line="276" w:lineRule="auto"/>
    </w:pPr>
    <w:rPr>
      <w:rFonts w:ascii="Times New Roman" w:hAnsi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00" w:line="276" w:lineRule="auto" w:before="18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 w:after="140"/>
    </w:pPr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140" w:line="276" w:lineRule="auto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40" w:line="276" w:lineRule="auto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3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4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5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6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40" w:line="276" w:lineRule="auto"/>
      <w:outlineLvl w:val="7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40" w:line="276" w:lineRule="auto"/>
      <w:outlineLvl w:val="8"/>
    </w:pPr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color w:val="000000"/>
      <w:sz w:val="24"/>
    </w:rPr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40" w:line="276" w:lineRule="auto"/>
    </w:pPr>
    <w:rPr>
      <w:rFonts w:ascii="Times New Roman" w:hAnsi="Times New Roman"/>
      <w:b/>
      <w:color w:val="000000"/>
      <w:sz w:val="24"/>
    </w:rPr>
  </w:style>
  <w:style w:type="paragraph" w:customStyle="1" w:styleId="Definition">
    <w:name w:val="Definition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40" w:line="276" w:lineRule="auto"/>
    </w:pPr>
    <w:rPr>
      <w:rFonts w:ascii="Times New Roman" w:hAnsi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ImageCaption">
    <w:name w:val="Image Caption"/>
    <w:basedOn w:val="Caption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Figure">
    <w:name w:val="Figure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 w:after="140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 trade-offs in within-sample self-normalization</dc:title>
  <dc:creator>Zhenxuan Ma</dc:creator>
  <cp:keywords/>
  <dcterms:created xsi:type="dcterms:W3CDTF">2026-10-26T15:58:31Z</dcterms:created>
  <dcterms:modified xsi:type="dcterms:W3CDTF">2026-10-26T15:58:31Z</dcterms:modified>
  <cp:lastModifiedBy>Zhenxuan Ma</cp:lastModifiedBy>
  <dc:description/>
  <dc:subject>Supplementary first figure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