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  <w:spacing w:line="276" w:lineRule="auto"/>
      </w:pPr>
      <w:bookmarkStart w:id="9" w:name="_6dc131bbf602f990f3541162c64617ac9267d7f"/>
      <w:r>
        <w:rPr>
          <w:rFonts w:ascii="Times New Roman" w:hAnsi="Times New Roman" w:cs="Times New Roman" w:eastAsia="Times New Roman"/>
          <w:color w:val="000000"/>
          <w:sz w:val="28"/>
        </w:rPr>
        <w:t xml:space="preserve">Cover letter</w:t>
      </w:r>
      <w:bookmarkEnd w:id="9"/>
    </w:p>
    <w:p>
      <w:pPr>
        <w:pStyle w:val="FirstParagraph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Dear Editor-in-Chief,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Please consider my manuscript, “Scale Trade-offs in Within-Sample Self-Normalization for Cross-Study Generalization in Public cfDNA Cohorts”, for Computers in Biology and Medicine.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This study distinguishes three properties that are often combined in public cfDNA evaluation: the genomic reference scale of normalization, dependence on companion patients, and transfer of a source-locked operating threshold. The primary evidence is a bidirectional study-held-out comparison of 548 participants; all analyses use an existing 585-participant public cohort.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Paired Hybrid−Global AUROC differences were -0.024 in Cristiano and +0.018 in Jiang. The manuscript therefore presents a target-dependent scale trade-off. A mathematical invariance argument, repeated real-patient anchors, source-study-held-out calibration and chromosome-block inference establish distinct tests of preprocessing and operating-point transport. At fixed case fraction 0.50, the evaluated EB-TargetMap rule changed anchor decisions in 0.140 and 0.126 of repeated evaluations, whereas the sample-wise rules satisfy companion independence by construction.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The accompanying reproducible code includes automated leakage and invariance tests. No new human recruitment or specimen collection was performed. Study source is treated as a proxy for technical and population differences.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The work is original and is not under consideration at another journal. A previous version was submitted to bioRxiv as BIORXIV/2026/761726 Version 1 and is awaiting screening; this local revision has not been uploaded. I request the traditional subscription publishing model. I take responsibility for reviewing the manuscript and for its content at submission.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Sincerely,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Zhenxuan Ma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School of Clinical Medicine, Hubei University of Medicine, Shiyan 442000, Hubei, China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mzxmc08@gmail.com</w:t>
      </w:r>
    </w:p>
    <w:sectPr>
      <w:footerReference w:type="default" r:id="rId9"/>
      <w:footnotePr>
        <w:numRestart w:val="eachSect"/>
      </w:footnotePr>
      <w:pgSz w:w="12240" w:h="15840"/>
      <w:pgMar w:top="1440" w:bottom="1440" w:left="1440" w:right="1440" w:header="648" w:footer="64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m:mathPr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40" w:line="276" w:lineRule="auto"/>
    </w:pPr>
    <w:rPr>
      <w:rFonts w:ascii="Times New Roman" w:hAnsi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140" w:line="276" w:lineRule="auto"/>
    </w:pPr>
    <w:rPr>
      <w:rFonts w:ascii="Times New Roman" w:hAnsi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00" w:line="276" w:lineRule="auto" w:before="18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/>
      <w:color w:val="000000"/>
      <w:sz w:val="2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276" w:lineRule="auto" w:after="140"/>
    </w:pPr>
    <w:rPr>
      <w:rFonts w:eastAsiaTheme="majorEastAsia" w:cstheme="majorBidi" w:ascii="Times New Roman" w:hAnsi="Times New Roman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/>
      <w:color w:val="000000"/>
      <w:spacing w:val="15"/>
      <w:sz w:val="24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276" w:lineRule="auto" w:after="140"/>
    </w:pPr>
    <w:rPr>
      <w:rFonts w:ascii="Times New Roman" w:hAnsi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276" w:lineRule="auto" w:after="140"/>
    </w:pPr>
    <w:rPr>
      <w:rFonts w:ascii="Times New Roman" w:hAnsi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140" w:line="276" w:lineRule="auto"/>
      <w:jc w:val="center"/>
    </w:pPr>
    <w:rPr>
      <w:rFonts w:ascii="Times New Roman" w:hAnsi="Times New Roman"/>
      <w:b/>
      <w:color w:val="000000"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140" w:line="276" w:lineRule="auto"/>
    </w:pPr>
    <w:rPr>
      <w:rFonts w:ascii="Times New Roman" w:hAnsi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100" w:line="276" w:lineRule="auto"/>
      <w:outlineLvl w:val="2"/>
    </w:pPr>
    <w:rPr>
      <w:rFonts w:eastAsiaTheme="majorEastAsia" w:cstheme="majorBidi" w:ascii="Times New Roman" w:hAnsi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140" w:line="276" w:lineRule="auto"/>
      <w:outlineLvl w:val="3"/>
    </w:pPr>
    <w:rPr>
      <w:rFonts w:eastAsiaTheme="majorEastAsia" w:cstheme="majorBidi" w:ascii="Times New Roman" w:hAnsi="Times New Roman"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140" w:line="276" w:lineRule="auto"/>
      <w:outlineLvl w:val="4"/>
    </w:pPr>
    <w:rPr>
      <w:rFonts w:eastAsiaTheme="majorEastAsia" w:cstheme="majorBidi" w:ascii="Times New Roman" w:hAnsi="Times New Roman"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140" w:line="276" w:lineRule="auto"/>
      <w:outlineLvl w:val="5"/>
    </w:pPr>
    <w:rPr>
      <w:rFonts w:eastAsiaTheme="majorEastAsia" w:cstheme="majorBidi" w:ascii="Times New Roman" w:hAnsi="Times New Roman"/>
      <w:i/>
      <w:iCs/>
      <w:color w:val="000000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140" w:line="276" w:lineRule="auto"/>
      <w:outlineLvl w:val="6"/>
    </w:pPr>
    <w:rPr>
      <w:rFonts w:eastAsiaTheme="majorEastAsia" w:cstheme="majorBidi" w:ascii="Times New Roman" w:hAnsi="Times New Roman"/>
      <w:color w:val="000000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40" w:line="276" w:lineRule="auto"/>
      <w:outlineLvl w:val="7"/>
    </w:pPr>
    <w:rPr>
      <w:rFonts w:eastAsiaTheme="majorEastAsia" w:cstheme="majorBidi" w:ascii="Times New Roman" w:hAnsi="Times New Roman"/>
      <w:i/>
      <w:iCs/>
      <w:color w:val="000000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40" w:line="276" w:lineRule="auto"/>
      <w:outlineLvl w:val="8"/>
    </w:pPr>
    <w:rPr>
      <w:rFonts w:eastAsiaTheme="majorEastAsia" w:cstheme="majorBidi" w:ascii="Times New Roman" w:hAnsi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/>
      <w:color w:val="00000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/>
      <w:color w:val="00000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40" w:line="276" w:lineRule="auto"/>
      <w:ind w:firstLine="0" w:left="480" w:right="480"/>
    </w:pPr>
    <w:rPr>
      <w:rFonts w:ascii="Times New Roman" w:hAnsi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40" w:line="276" w:lineRule="auto"/>
      <w:ind w:firstLine="0" w:left="480" w:right="480"/>
    </w:pPr>
    <w:rPr>
      <w:rFonts w:ascii="Times New Roman" w:hAnsi="Times New Roman"/>
      <w:color w:val="000000"/>
      <w:sz w:val="24"/>
    </w:rPr>
  </w:style>
  <w:style w:type="character" w:default="1" w:styleId="DefaultParagraphFont">
    <w:name w:val="Default Paragraph Font"/>
    <w:semiHidden/>
    <w:unhideWhenUsed/>
    <w:rPr>
      <w:rFonts w:ascii="Times New Roman" w:hAnsi="Times New Roman"/>
      <w:color w:val="000000"/>
      <w:sz w:val="24"/>
    </w:rPr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140" w:line="276" w:lineRule="auto"/>
    </w:pPr>
    <w:rPr>
      <w:rFonts w:ascii="Times New Roman" w:hAnsi="Times New Roman"/>
      <w:b/>
      <w:color w:val="000000"/>
      <w:sz w:val="24"/>
    </w:rPr>
  </w:style>
  <w:style w:type="paragraph" w:customStyle="1" w:styleId="Definition">
    <w:name w:val="Definition"/>
    <w:basedOn w:val="Normal"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Caption">
    <w:name w:val="Caption"/>
    <w:basedOn w:val="Normal"/>
    <w:link w:val="BodyTextChar"/>
    <w:pPr>
      <w:spacing w:before="0" w:after="140" w:line="276" w:lineRule="auto"/>
    </w:pPr>
    <w:rPr>
      <w:rFonts w:ascii="Times New Roman" w:hAnsi="Times New Roman"/>
      <w:i/>
      <w:color w:val="000000"/>
      <w:sz w:val="24"/>
    </w:rPr>
  </w:style>
  <w:style w:type="paragraph" w:customStyle="1" w:styleId="TableCaption">
    <w:name w:val="Table Caption"/>
    <w:basedOn w:val="Caption"/>
    <w:pPr>
      <w:keepNext/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ImageCaption">
    <w:name w:val="Image Caption"/>
    <w:basedOn w:val="Caption"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Figure">
    <w:name w:val="Figure"/>
    <w:basedOn w:val="Normal"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CaptionedFigure">
    <w:name w:val="Captioned Figure"/>
    <w:basedOn w:val="Figure"/>
    <w:pPr>
      <w:keepNext/>
      <w:spacing w:line="276" w:lineRule="auto" w:after="140"/>
    </w:pPr>
    <w:rPr>
      <w:rFonts w:ascii="Times New Roman" w:hAnsi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  <w:color w:val="000000"/>
      <w:sz w:val="24"/>
    </w:rPr>
  </w:style>
  <w:style w:type="character" w:customStyle="1" w:styleId="VerbatimChar">
    <w:name w:val="Verbatim Char"/>
    <w:basedOn w:val="BodyTextChar"/>
    <w:rPr>
      <w:rFonts w:ascii="Times New Roman" w:hAnsi="Times New Roman"/>
      <w:color w:val="000000"/>
      <w:sz w:val="24"/>
    </w:rPr>
  </w:style>
  <w:style w:type="character" w:customStyle="1" w:styleId="SectionNumber">
    <w:name w:val="Section Number"/>
    <w:basedOn w:val="BodyTextChar"/>
    <w:rPr>
      <w:rFonts w:ascii="Times New Roman" w:hAnsi="Times New Roman"/>
      <w:color w:val="000000"/>
      <w:sz w:val="24"/>
    </w:rPr>
  </w:style>
  <w:style w:type="character" w:styleId="FootnoteReference">
    <w:name w:val="Footnote Reference"/>
    <w:basedOn w:val="BodyTextChar"/>
    <w:rPr>
      <w:rFonts w:ascii="Times New Roman" w:hAnsi="Times New Roman"/>
      <w:color w:val="000000"/>
      <w:sz w:val="24"/>
      <w:vertAlign w:val="superscript"/>
    </w:rPr>
  </w:style>
  <w:style w:type="character" w:styleId="Hyperlink">
    <w:name w:val="Hyperlink"/>
    <w:basedOn w:val="BodyTextChar"/>
    <w:rPr>
      <w:rFonts w:ascii="Times New Roman" w:hAnsi="Times New Roman"/>
      <w:color w:val="000000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76" w:lineRule="auto" w:after="140"/>
      <w:outlineLvl w:val="9"/>
    </w:pPr>
    <w:rPr>
      <w:rFonts w:asciiTheme="majorHAnsi" w:eastAsiaTheme="majorEastAsia" w:hAnsiTheme="majorHAnsi" w:cstheme="majorBidi" w:ascii="Times New Roman" w:hAnsi="Times New Roman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pacing w:line="276" w:lineRule="auto" w:after="140"/>
    </w:pPr>
    <w:rPr>
      <w:rFonts w:ascii="Times New Roman" w:hAnsi="Times New Roman"/>
      <w:color w:val="000000"/>
      <w:sz w:val="24"/>
    </w:rPr>
  </w:style>
  <w:style w:type="character" w:customStyle="1" w:styleId="KeywordTok">
    <w:name w:val="Keyword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DataTypeTok">
    <w:name w:val="DataTypeTok"/>
    <w:basedOn w:val="VerbatimChar"/>
    <w:rPr>
      <w:rFonts w:ascii="Times New Roman" w:hAnsi="Times New Roman"/>
      <w:color w:val="000000"/>
      <w:sz w:val="24"/>
    </w:rPr>
  </w:style>
  <w:style w:type="character" w:customStyle="1" w:styleId="DecValTok">
    <w:name w:val="DecValTok"/>
    <w:basedOn w:val="VerbatimChar"/>
    <w:rPr>
      <w:rFonts w:ascii="Times New Roman" w:hAnsi="Times New Roman"/>
      <w:color w:val="000000"/>
      <w:sz w:val="24"/>
    </w:rPr>
  </w:style>
  <w:style w:type="character" w:customStyle="1" w:styleId="BaseNTok">
    <w:name w:val="BaseNTok"/>
    <w:basedOn w:val="VerbatimChar"/>
    <w:rPr>
      <w:rFonts w:ascii="Times New Roman" w:hAnsi="Times New Roman"/>
      <w:color w:val="000000"/>
      <w:sz w:val="24"/>
    </w:rPr>
  </w:style>
  <w:style w:type="character" w:customStyle="1" w:styleId="FloatTok">
    <w:name w:val="FloatTok"/>
    <w:basedOn w:val="VerbatimChar"/>
    <w:rPr>
      <w:rFonts w:ascii="Times New Roman" w:hAnsi="Times New Roman"/>
      <w:color w:val="000000"/>
      <w:sz w:val="24"/>
    </w:rPr>
  </w:style>
  <w:style w:type="character" w:customStyle="1" w:styleId="ConstantTok">
    <w:name w:val="ConstantTok"/>
    <w:basedOn w:val="VerbatimChar"/>
    <w:rPr>
      <w:rFonts w:ascii="Times New Roman" w:hAnsi="Times New Roman"/>
      <w:color w:val="000000"/>
      <w:sz w:val="24"/>
    </w:rPr>
  </w:style>
  <w:style w:type="character" w:customStyle="1" w:styleId="CharTok">
    <w:name w:val="CharTok"/>
    <w:basedOn w:val="VerbatimChar"/>
    <w:rPr>
      <w:rFonts w:ascii="Times New Roman" w:hAnsi="Times New Roman"/>
      <w:color w:val="000000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000000"/>
      <w:sz w:val="24"/>
    </w:rPr>
  </w:style>
  <w:style w:type="character" w:customStyle="1" w:styleId="StringTok">
    <w:name w:val="StringTok"/>
    <w:basedOn w:val="VerbatimChar"/>
    <w:rPr>
      <w:rFonts w:ascii="Times New Roman" w:hAnsi="Times New Roman"/>
      <w:color w:val="000000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000000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000000"/>
      <w:sz w:val="24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000000"/>
      <w:sz w:val="24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000000"/>
      <w:sz w:val="24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OtherTok">
    <w:name w:val="OtherTok"/>
    <w:basedOn w:val="VerbatimChar"/>
    <w:rPr>
      <w:rFonts w:ascii="Times New Roman" w:hAnsi="Times New Roman"/>
      <w:color w:val="000000"/>
      <w:sz w:val="24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00000"/>
      <w:sz w:val="24"/>
    </w:rPr>
  </w:style>
  <w:style w:type="character" w:customStyle="1" w:styleId="VariableTok">
    <w:name w:val="VariableTok"/>
    <w:basedOn w:val="VerbatimChar"/>
    <w:rPr>
      <w:rFonts w:ascii="Times New Roman" w:hAnsi="Times New Roman"/>
      <w:color w:val="000000"/>
      <w:sz w:val="24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OperatorTok">
    <w:name w:val="OperatorTok"/>
    <w:basedOn w:val="VerbatimChar"/>
    <w:rPr>
      <w:rFonts w:ascii="Times New Roman" w:hAnsi="Times New Roman"/>
      <w:color w:val="000000"/>
      <w:sz w:val="24"/>
    </w:rPr>
  </w:style>
  <w:style w:type="character" w:customStyle="1" w:styleId="BuiltInTok">
    <w:name w:val="BuiltInTok"/>
    <w:basedOn w:val="VerbatimChar"/>
    <w:rPr>
      <w:rFonts w:ascii="Times New Roman" w:hAnsi="Times New Roman"/>
      <w:color w:val="000000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/>
      <w:color w:val="000000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000000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000000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/>
      <w:color w:val="000000"/>
      <w:sz w:val="24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NormalTok">
    <w:name w:val="NormalTok"/>
    <w:basedOn w:val="VerbatimChar"/>
    <w:rPr>
      <w:rFonts w:ascii="Times New Roman" w:hAnsi="Times New Roman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Scale trade-offs in within-sample self-normalization</dc:title>
  <dc:creator>Zhenxuan Ma</dc:creator>
  <cp:keywords/>
  <dcterms:created xsi:type="dcterms:W3CDTF">2026-10-26T15:58:32Z</dcterms:created>
  <dcterms:modified xsi:type="dcterms:W3CDTF">2026-10-26T15:58:32Z</dcterms:modified>
  <cp:lastModifiedBy>Zhenxuan Ma</cp:lastModifiedBy>
  <dc:description/>
  <dc:subject>Cross-study cfDNA normalization scale audit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