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jc w:val="center"/>
      </w:pPr>
      <w:r>
        <w:rPr>
          <w:b/>
          <w:bCs/>
          <w:sz w:val="36"/>
          <w:szCs w:val="36"/>
        </w:rPr>
        <w:t>Appendix</w:t>
      </w:r>
    </w:p>
    <w:p>
      <w:pPr>
        <w:spacing w:after="120" w:line="360" w:lineRule="auto"/>
        <w:ind w:firstLine="440"/>
      </w:pPr>
      <w:r>
        <w:rPr>
          <w:rFonts w:hint="eastAsia"/>
        </w:rPr>
        <w:t>This appendix provides a detailed analysis of the pyramid case, demonstrating the collaborative workflow among semantic constraint analysis, code generation, and physical feedback within the proposed framework. Through this case study, we illustrate how natural language task instructions are progressively transformed into executable robot action sequences, and how simulation feedback drives iterative refinement of the plan</w:t>
      </w:r>
      <w:r>
        <w:t>.</w:t>
      </w:r>
    </w:p>
    <w:p>
      <w:pPr>
        <w:pStyle w:val="2"/>
      </w:pPr>
      <w:r>
        <w:t xml:space="preserve"> Case Study</w:t>
      </w:r>
    </w:p>
    <w:p>
      <w:pPr>
        <w:spacing w:after="120" w:line="360" w:lineRule="auto"/>
        <w:ind w:firstLine="440"/>
      </w:pPr>
      <w:r>
        <w:t>To further illustrate the collaborative relationship among semantic constraint analysis, code generation, and physical feedback within the proposed framework, this section analyzes a complete planning process using the pyramid task in the Arrange-Blocks environment as an example. This case encompasses initial semantic analysis, code generation, simulation execution, failure feedback, diagnostic reconstruction, and other stages, providing an intuitive demonstration of the hierarchical constraint planning closed loop proposed in this paper.</w:t>
      </w:r>
    </w:p>
    <w:p>
      <w:pPr>
        <w:pStyle w:val="3"/>
      </w:pPr>
      <w:r>
        <w:t>1 Initial Task and Environment State</w:t>
      </w:r>
    </w:p>
    <w:p>
      <w:pPr>
        <w:spacing w:after="120" w:line="360" w:lineRule="auto"/>
        <w:ind w:firstLine="440"/>
      </w:pPr>
      <w:r>
        <w:rPr>
          <w:b/>
          <w:bCs/>
        </w:rPr>
        <w:t xml:space="preserve">Task instruction: </w:t>
      </w:r>
      <w:r>
        <w:t>“Stack a pyramid out of any three blocks.”</w:t>
      </w:r>
    </w:p>
    <w:p>
      <w:pPr>
        <w:spacing w:after="120" w:line="360" w:lineRule="auto"/>
        <w:ind w:firstLine="440"/>
      </w:pPr>
      <w:r>
        <w:t xml:space="preserve">The current environment contains six blocks available for stacking, namely </w:t>
      </w:r>
      <m:oMath>
        <m:sSub>
          <m:sSubPr>
            <m:ctrlPr>
              <w:rPr>
                <w:rFonts w:ascii="Cambria Math" w:hAnsi="Cambria Math"/>
                <w:sz w:val="20"/>
                <w:szCs w:val="20"/>
                <w:lang w:eastAsia="en-US"/>
              </w:rPr>
            </m:ctrlPr>
          </m:sSubPr>
          <m:e>
            <m:r>
              <m:rPr/>
              <w:rPr>
                <w:rFonts w:ascii="Cambria Math" w:hAnsi="Cambria Math"/>
                <w:sz w:val="20"/>
                <w:szCs w:val="20"/>
                <w:lang w:eastAsia="en-US"/>
              </w:rPr>
              <m:t>o</m:t>
            </m:r>
            <m:ctrlPr>
              <w:rPr>
                <w:rFonts w:ascii="Cambria Math" w:hAnsi="Cambria Math"/>
                <w:sz w:val="20"/>
                <w:szCs w:val="20"/>
                <w:lang w:eastAsia="en-US"/>
              </w:rPr>
            </m:ctrlPr>
          </m:e>
          <m:sub>
            <m:r>
              <m:rPr>
                <m:sty m:val="p"/>
              </m:rPr>
              <w:rPr>
                <w:rFonts w:ascii="Cambria Math" w:hAnsi="Cambria Math"/>
                <w:sz w:val="20"/>
                <w:szCs w:val="20"/>
                <w:lang w:eastAsia="en-US"/>
              </w:rPr>
              <m:t>3</m:t>
            </m:r>
            <m:ctrlPr>
              <w:rPr>
                <w:rFonts w:ascii="Cambria Math" w:hAnsi="Cambria Math"/>
                <w:sz w:val="20"/>
                <w:szCs w:val="20"/>
                <w:lang w:eastAsia="en-US"/>
              </w:rPr>
            </m:ctrlPr>
          </m:sub>
        </m:sSub>
      </m:oMath>
      <w:r>
        <w:t xml:space="preserve">, </w:t>
      </w:r>
      <m:oMath>
        <m:sSub>
          <m:sSubPr>
            <m:ctrlPr>
              <w:rPr>
                <w:rFonts w:ascii="Cambria Math" w:hAnsi="Cambria Math"/>
                <w:sz w:val="20"/>
                <w:szCs w:val="20"/>
                <w:lang w:eastAsia="en-US"/>
              </w:rPr>
            </m:ctrlPr>
          </m:sSubPr>
          <m:e>
            <m:r>
              <m:rPr/>
              <w:rPr>
                <w:rFonts w:ascii="Cambria Math" w:hAnsi="Cambria Math"/>
                <w:sz w:val="20"/>
                <w:szCs w:val="20"/>
                <w:lang w:eastAsia="en-US"/>
              </w:rPr>
              <m:t>o</m:t>
            </m:r>
            <m:ctrlPr>
              <w:rPr>
                <w:rFonts w:ascii="Cambria Math" w:hAnsi="Cambria Math"/>
                <w:sz w:val="20"/>
                <w:szCs w:val="20"/>
                <w:lang w:eastAsia="en-US"/>
              </w:rPr>
            </m:ctrlPr>
          </m:e>
          <m:sub>
            <m:r>
              <m:rPr>
                <m:sty m:val="p"/>
              </m:rPr>
              <w:rPr>
                <w:rFonts w:ascii="Cambria Math" w:hAnsi="Cambria Math"/>
                <w:sz w:val="20"/>
                <w:szCs w:val="20"/>
                <w:lang w:eastAsia="en-US"/>
              </w:rPr>
              <m:t>4</m:t>
            </m:r>
            <m:ctrlPr>
              <w:rPr>
                <w:rFonts w:ascii="Cambria Math" w:hAnsi="Cambria Math"/>
                <w:sz w:val="20"/>
                <w:szCs w:val="20"/>
                <w:lang w:eastAsia="en-US"/>
              </w:rPr>
            </m:ctrlPr>
          </m:sub>
        </m:sSub>
      </m:oMath>
      <w:r>
        <w:t xml:space="preserve">, </w:t>
      </w:r>
      <m:oMath>
        <m:sSub>
          <m:sSubPr>
            <m:ctrlPr>
              <w:rPr>
                <w:rFonts w:ascii="Cambria Math" w:hAnsi="Cambria Math"/>
                <w:sz w:val="20"/>
                <w:szCs w:val="20"/>
                <w:lang w:eastAsia="en-US"/>
              </w:rPr>
            </m:ctrlPr>
          </m:sSubPr>
          <m:e>
            <m:r>
              <m:rPr/>
              <w:rPr>
                <w:rFonts w:ascii="Cambria Math" w:hAnsi="Cambria Math"/>
                <w:sz w:val="20"/>
                <w:szCs w:val="20"/>
                <w:lang w:eastAsia="en-US"/>
              </w:rPr>
              <m:t>o</m:t>
            </m:r>
            <m:ctrlPr>
              <w:rPr>
                <w:rFonts w:ascii="Cambria Math" w:hAnsi="Cambria Math"/>
                <w:sz w:val="20"/>
                <w:szCs w:val="20"/>
                <w:lang w:eastAsia="en-US"/>
              </w:rPr>
            </m:ctrlPr>
          </m:e>
          <m:sub>
            <m:r>
              <m:rPr>
                <m:sty m:val="p"/>
              </m:rPr>
              <w:rPr>
                <w:rFonts w:ascii="Cambria Math" w:hAnsi="Cambria Math"/>
                <w:sz w:val="20"/>
                <w:szCs w:val="20"/>
                <w:lang w:eastAsia="en-US"/>
              </w:rPr>
              <m:t>5</m:t>
            </m:r>
            <m:ctrlPr>
              <w:rPr>
                <w:rFonts w:ascii="Cambria Math" w:hAnsi="Cambria Math"/>
                <w:sz w:val="20"/>
                <w:szCs w:val="20"/>
                <w:lang w:eastAsia="en-US"/>
              </w:rPr>
            </m:ctrlPr>
          </m:sub>
        </m:sSub>
      </m:oMath>
      <w:r>
        <w:t xml:space="preserve">, </w:t>
      </w:r>
      <m:oMath>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6</m:t>
            </m:r>
            <m:ctrlPr>
              <w:rPr>
                <w:rFonts w:ascii="Cambria Math" w:hAnsi="Cambria Math"/>
              </w:rPr>
            </m:ctrlPr>
          </m:sub>
        </m:sSub>
      </m:oMath>
      <w:r>
        <w:t xml:space="preserve">, </w:t>
      </w:r>
      <m:oMath>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7</m:t>
            </m:r>
            <m:ctrlPr>
              <w:rPr>
                <w:rFonts w:ascii="Cambria Math" w:hAnsi="Cambria Math"/>
              </w:rPr>
            </m:ctrlPr>
          </m:sub>
        </m:sSub>
      </m:oMath>
      <w:r>
        <w:t xml:space="preserve">, </w:t>
      </w:r>
      <m:oMath>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8</m:t>
            </m:r>
            <m:ctrlPr>
              <w:rPr>
                <w:rFonts w:ascii="Cambria Math" w:hAnsi="Cambria Math"/>
              </w:rPr>
            </m:ctrlPr>
          </m:sub>
        </m:sSub>
      </m:oMath>
      <w:r>
        <w:t xml:space="preserve">, along with several bowls serving as distractors. The block side length in the experimental environment is BLOCK_SIZE = 0.04m. The semantic constraint agent first filters out blocks eligible for participation based on object category, ignoring non-target objects such as bowls. Experimental records show that the six blocks in the initial environment are: yellow </w:t>
      </w:r>
      <m:oMath>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3</m:t>
            </m:r>
            <m:ctrlPr>
              <w:rPr>
                <w:rFonts w:ascii="Cambria Math" w:hAnsi="Cambria Math"/>
              </w:rPr>
            </m:ctrlPr>
          </m:sub>
        </m:sSub>
      </m:oMath>
      <w:r>
        <w:t xml:space="preserve">, green </w:t>
      </w:r>
      <m:oMath>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4</m:t>
            </m:r>
            <m:ctrlPr>
              <w:rPr>
                <w:rFonts w:ascii="Cambria Math" w:hAnsi="Cambria Math"/>
              </w:rPr>
            </m:ctrlPr>
          </m:sub>
        </m:sSub>
      </m:oMath>
      <w:r>
        <w:t xml:space="preserve">, blue </w:t>
      </w:r>
      <m:oMath>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5</m:t>
            </m:r>
            <m:ctrlPr>
              <w:rPr>
                <w:rFonts w:ascii="Cambria Math" w:hAnsi="Cambria Math"/>
              </w:rPr>
            </m:ctrlPr>
          </m:sub>
        </m:sSub>
      </m:oMath>
      <w:r>
        <w:t xml:space="preserve">, red </w:t>
      </w:r>
      <m:oMath>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6</m:t>
            </m:r>
            <m:ctrlPr>
              <w:rPr>
                <w:rFonts w:ascii="Cambria Math" w:hAnsi="Cambria Math"/>
              </w:rPr>
            </m:ctrlPr>
          </m:sub>
        </m:sSub>
      </m:oMath>
      <w:r>
        <w:t xml:space="preserve">, green </w:t>
      </w:r>
      <m:oMath>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7</m:t>
            </m:r>
            <m:ctrlPr>
              <w:rPr>
                <w:rFonts w:ascii="Cambria Math" w:hAnsi="Cambria Math"/>
              </w:rPr>
            </m:ctrlPr>
          </m:sub>
        </m:sSub>
      </m:oMath>
      <w:r>
        <w:t xml:space="preserve">, and blue </w:t>
      </w:r>
      <m:oMath>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8</m:t>
            </m:r>
            <m:ctrlPr>
              <w:rPr>
                <w:rFonts w:ascii="Cambria Math" w:hAnsi="Cambria Math"/>
              </w:rPr>
            </m:ctrlPr>
          </m:sub>
        </m:sSub>
      </m:oMath>
      <w:r>
        <w:t>.</w:t>
      </w:r>
    </w:p>
    <w:p>
      <w:pPr>
        <w:spacing w:after="120" w:line="360" w:lineRule="auto"/>
        <w:ind w:firstLine="440"/>
      </w:pPr>
      <w:r>
        <w:t>Unlike approaches that directly generate actions based on absolute coordinates, the semantic constraint agent first provides a structural interpretation of the task concept “pyramid.” Since all blocks in the current experimental environment have identical dimensions, the task is interpreted as a two-layer structure: the bottom layer consists of two blocks, and the top layer consists of one block positioned centrally, subject to both horizontal support relations and vertical stacking constraints.</w:t>
      </w:r>
    </w:p>
    <w:p>
      <w:pPr>
        <w:spacing w:after="120" w:line="360" w:lineRule="auto"/>
        <w:ind w:firstLine="440"/>
      </w:pPr>
      <w:r>
        <w:t>Therefore, the task is first transformed into the following high-level constraints:</w:t>
      </w:r>
    </w:p>
    <w:p>
      <w:pPr>
        <w:pStyle w:val="16"/>
        <w:numPr>
          <w:ilvl w:val="0"/>
          <w:numId w:val="1"/>
        </w:numPr>
        <w:spacing w:after="60" w:line="340" w:lineRule="auto"/>
      </w:pPr>
      <w:r>
        <w:t>Select three blocks to participate in the task;</w:t>
      </w:r>
    </w:p>
    <w:p>
      <w:pPr>
        <w:pStyle w:val="16"/>
        <w:numPr>
          <w:ilvl w:val="0"/>
          <w:numId w:val="1"/>
        </w:numPr>
        <w:spacing w:after="60" w:line="340" w:lineRule="auto"/>
      </w:pPr>
      <w:r>
        <w:t>Two blocks form the bottom layer support;</w:t>
      </w:r>
    </w:p>
    <w:p>
      <w:pPr>
        <w:pStyle w:val="16"/>
        <w:numPr>
          <w:ilvl w:val="0"/>
          <w:numId w:val="1"/>
        </w:numPr>
        <w:spacing w:after="60" w:line="340" w:lineRule="auto"/>
      </w:pPr>
      <w:r>
        <w:t>The third block is positioned at the center between the two bottom blocks;</w:t>
      </w:r>
    </w:p>
    <w:p>
      <w:pPr>
        <w:pStyle w:val="16"/>
        <w:numPr>
          <w:ilvl w:val="0"/>
          <w:numId w:val="1"/>
        </w:numPr>
        <w:spacing w:after="60" w:line="340" w:lineRule="auto"/>
      </w:pPr>
      <w:r>
        <w:t>The height of the top block should increase by one BLOCK_SIZE relative to the bottom blocks;</w:t>
      </w:r>
    </w:p>
    <w:p>
      <w:pPr>
        <w:pStyle w:val="16"/>
        <w:numPr>
          <w:ilvl w:val="0"/>
          <w:numId w:val="1"/>
        </w:numPr>
        <w:spacing w:after="60" w:line="340" w:lineRule="auto"/>
      </w:pPr>
      <w:r>
        <w:t>The horizontal distance between the two bottom blocks must be sufficiently small to allow the top block to receive support from both.</w:t>
      </w:r>
    </w:p>
    <w:p>
      <w:pPr>
        <w:spacing w:after="120" w:line="360" w:lineRule="auto"/>
        <w:ind w:firstLine="440"/>
      </w:pPr>
      <w:r>
        <w:t>It is important to emphasize that the semantic constraint agent is not directly responsible for searching for the final absolute three-dimensional coordinates. Instead, it first determines the structural relationship of “two bottom blocks + one top block.” This approach is consistent with the decoupling of semantic and geometric layers described in Section 3 of this paper.</w:t>
      </w:r>
    </w:p>
    <w:p>
      <w:pPr>
        <w:pStyle w:val="3"/>
      </w:pPr>
      <w:r>
        <w:t>2 From Task Semantics to Initial Semantic Constraints</w:t>
      </w:r>
    </w:p>
    <w:p>
      <w:pPr>
        <w:spacing w:after="120" w:line="360" w:lineRule="auto"/>
        <w:ind w:firstLine="440"/>
      </w:pPr>
      <w:r>
        <w:t>During the initial analysis phase, the semantic constraint agent further examines the spatial state of the current blocks. Experimental records indicate that no existing combination of blocks in the initial environment directly satisfies the pyramid support relationship; therefore, one block needs to be moved first to construct the bottom structure.</w:t>
      </w:r>
    </w:p>
    <w:p>
      <w:pPr>
        <w:spacing w:after="120" w:line="360" w:lineRule="auto"/>
        <w:ind w:firstLine="440"/>
      </w:pPr>
      <w:r>
        <w:t xml:space="preserve">Ultimately, </w:t>
      </w:r>
      <w:r>
        <w:rPr>
          <w:rFonts w:ascii="Times New Roman" w:hAnsi="Times New Roman" w:eastAsia="Times New Roman"/>
        </w:rPr>
        <w:t>o</w:t>
      </w:r>
      <w:r>
        <w:rPr>
          <w:rFonts w:ascii="Times New Roman" w:hAnsi="Times New Roman" w:eastAsia="Times New Roman"/>
          <w:vertAlign w:val="subscript"/>
        </w:rPr>
        <w:t>5</w:t>
      </w:r>
      <w:r>
        <w:rPr>
          <w:rFonts w:ascii="Times New Roman" w:hAnsi="Times New Roman" w:eastAsia="Times New Roman"/>
        </w:rPr>
        <w:t xml:space="preserve"> is selected as the reference bottom block, o</w:t>
      </w:r>
      <w:r>
        <w:rPr>
          <w:rFonts w:ascii="Times New Roman" w:hAnsi="Times New Roman" w:eastAsia="Times New Roman"/>
          <w:vertAlign w:val="subscript"/>
        </w:rPr>
        <w:t>3</w:t>
      </w:r>
      <w:r>
        <w:rPr>
          <w:rFonts w:ascii="Times New Roman" w:hAnsi="Times New Roman" w:eastAsia="Times New Roman"/>
        </w:rPr>
        <w:t xml:space="preserve"> is chosen as the second bottom block requiring movement, and o</w:t>
      </w:r>
      <w:r>
        <w:rPr>
          <w:rFonts w:ascii="Times New Roman" w:hAnsi="Times New Roman" w:eastAsia="Times New Roman"/>
          <w:vertAlign w:val="subscript"/>
        </w:rPr>
        <w:t>6</w:t>
      </w:r>
      <w:r>
        <w:rPr>
          <w:rFonts w:ascii="Times New Roman" w:hAnsi="Times New Roman" w:eastAsia="Times New Roman"/>
        </w:rPr>
        <w:t xml:space="preserve"> is selected as the top block. This yields the initial object set:</w:t>
      </w:r>
    </w:p>
    <w:p>
      <w:pPr>
        <w:spacing w:before="160" w:after="160"/>
        <w:jc w:val="center"/>
      </w:pPr>
      <w:r>
        <w:rPr>
          <w:rFonts w:ascii="Times New Roman" w:hAnsi="Times New Roman" w:eastAsia="Times New Roman"/>
        </w:rPr>
        <w:t>O = {o</w:t>
      </w:r>
      <w:r>
        <w:rPr>
          <w:rFonts w:ascii="Times New Roman" w:hAnsi="Times New Roman" w:eastAsia="Times New Roman"/>
          <w:vertAlign w:val="subscript"/>
        </w:rPr>
        <w:t>5</w:t>
      </w:r>
      <w:r>
        <w:rPr>
          <w:rFonts w:ascii="Times New Roman" w:hAnsi="Times New Roman" w:eastAsia="Times New Roman"/>
        </w:rPr>
        <w:t>, o</w:t>
      </w:r>
      <w:r>
        <w:rPr>
          <w:rFonts w:ascii="Times New Roman" w:hAnsi="Times New Roman" w:eastAsia="Times New Roman"/>
          <w:vertAlign w:val="subscript"/>
        </w:rPr>
        <w:t>3</w:t>
      </w:r>
      <w:r>
        <w:rPr>
          <w:rFonts w:ascii="Times New Roman" w:hAnsi="Times New Roman" w:eastAsia="Times New Roman"/>
        </w:rPr>
        <w:t>, o</w:t>
      </w:r>
      <w:r>
        <w:rPr>
          <w:rFonts w:ascii="Times New Roman" w:hAnsi="Times New Roman" w:eastAsia="Times New Roman"/>
          <w:vertAlign w:val="subscript"/>
        </w:rPr>
        <w:t>6</w:t>
      </w:r>
      <w:r>
        <w:rPr>
          <w:rFonts w:ascii="Times New Roman" w:hAnsi="Times New Roman" w:eastAsia="Times New Roman"/>
        </w:rPr>
        <w:t>}</w:t>
      </w:r>
    </w:p>
    <w:p>
      <w:pPr>
        <w:spacing w:after="120" w:line="360" w:lineRule="auto"/>
        <w:ind w:firstLine="440"/>
      </w:pPr>
      <w:r>
        <w:t>The corresponding abstract operation sequence is:</w:t>
      </w:r>
    </w:p>
    <w:p>
      <w:pPr>
        <w:pStyle w:val="16"/>
        <w:numPr>
          <w:ilvl w:val="0"/>
          <w:numId w:val="2"/>
        </w:numPr>
        <w:spacing w:after="60" w:line="340" w:lineRule="auto"/>
      </w:pPr>
      <w:r>
        <w:t>Gras</w:t>
      </w:r>
      <w:r>
        <w:rPr>
          <w:rFonts w:ascii="Times New Roman" w:hAnsi="Times New Roman" w:eastAsia="Times New Roman"/>
        </w:rPr>
        <w:t>p o</w:t>
      </w:r>
      <w:r>
        <w:rPr>
          <w:rFonts w:ascii="Times New Roman" w:hAnsi="Times New Roman" w:eastAsia="Times New Roman"/>
          <w:vertAlign w:val="subscript"/>
        </w:rPr>
        <w:t>3</w:t>
      </w:r>
      <w:r>
        <w:rPr>
          <w:rFonts w:ascii="Times New Roman" w:hAnsi="Times New Roman" w:eastAsia="Times New Roman"/>
        </w:rPr>
        <w:t>;</w:t>
      </w:r>
    </w:p>
    <w:p>
      <w:pPr>
        <w:pStyle w:val="16"/>
        <w:numPr>
          <w:ilvl w:val="0"/>
          <w:numId w:val="2"/>
        </w:numPr>
        <w:spacing w:after="60" w:line="340" w:lineRule="auto"/>
      </w:pPr>
      <w:r>
        <w:rPr>
          <w:rFonts w:ascii="Times New Roman" w:hAnsi="Times New Roman" w:eastAsia="Times New Roman"/>
        </w:rPr>
        <w:t>Move o</w:t>
      </w:r>
      <w:r>
        <w:rPr>
          <w:rFonts w:ascii="Times New Roman" w:hAnsi="Times New Roman" w:eastAsia="Times New Roman"/>
          <w:vertAlign w:val="subscript"/>
        </w:rPr>
        <w:t>3</w:t>
      </w:r>
      <w:r>
        <w:rPr>
          <w:rFonts w:ascii="Times New Roman" w:hAnsi="Times New Roman" w:eastAsia="Times New Roman"/>
        </w:rPr>
        <w:t xml:space="preserve"> near o</w:t>
      </w:r>
      <w:r>
        <w:rPr>
          <w:rFonts w:ascii="Times New Roman" w:hAnsi="Times New Roman" w:eastAsia="Times New Roman"/>
          <w:vertAlign w:val="subscript"/>
        </w:rPr>
        <w:t>5</w:t>
      </w:r>
      <w:r>
        <w:rPr>
          <w:rFonts w:ascii="Times New Roman" w:hAnsi="Times New Roman" w:eastAsia="Times New Roman"/>
        </w:rPr>
        <w:t xml:space="preserve"> to construct the pyramid bottom layer;</w:t>
      </w:r>
    </w:p>
    <w:p>
      <w:pPr>
        <w:pStyle w:val="16"/>
        <w:numPr>
          <w:ilvl w:val="0"/>
          <w:numId w:val="2"/>
        </w:numPr>
        <w:spacing w:after="60" w:line="340" w:lineRule="auto"/>
      </w:pPr>
      <w:r>
        <w:rPr>
          <w:rFonts w:ascii="Times New Roman" w:hAnsi="Times New Roman" w:eastAsia="Times New Roman"/>
        </w:rPr>
        <w:t>Grasp o</w:t>
      </w:r>
      <w:r>
        <w:rPr>
          <w:rFonts w:ascii="Times New Roman" w:hAnsi="Times New Roman" w:eastAsia="Times New Roman"/>
          <w:vertAlign w:val="subscript"/>
        </w:rPr>
        <w:t>6</w:t>
      </w:r>
      <w:r>
        <w:rPr>
          <w:rFonts w:ascii="Times New Roman" w:hAnsi="Times New Roman" w:eastAsia="Times New Roman"/>
        </w:rPr>
        <w:t>;</w:t>
      </w:r>
    </w:p>
    <w:p>
      <w:pPr>
        <w:pStyle w:val="16"/>
        <w:numPr>
          <w:ilvl w:val="0"/>
          <w:numId w:val="2"/>
        </w:numPr>
        <w:spacing w:after="60" w:line="340" w:lineRule="auto"/>
      </w:pPr>
      <w:r>
        <w:rPr>
          <w:rFonts w:ascii="Times New Roman" w:hAnsi="Times New Roman" w:eastAsia="Times New Roman"/>
        </w:rPr>
        <w:t>Place o</w:t>
      </w:r>
      <w:r>
        <w:rPr>
          <w:rFonts w:ascii="Times New Roman" w:hAnsi="Times New Roman" w:eastAsia="Times New Roman"/>
          <w:vertAlign w:val="subscript"/>
        </w:rPr>
        <w:t>6</w:t>
      </w:r>
      <w:r>
        <w:rPr>
          <w:rFonts w:ascii="Times New Roman" w:hAnsi="Times New Roman" w:eastAsia="Times New Roman"/>
        </w:rPr>
        <w:t xml:space="preserve"> at the center position between the two bottom blocks.</w:t>
      </w:r>
    </w:p>
    <w:p>
      <w:pPr>
        <w:spacing w:after="120" w:line="360" w:lineRule="auto"/>
        <w:ind w:firstLine="440"/>
      </w:pPr>
      <w:r>
        <w:t>This process reflects two core functions of the semantic agent: on one hand, determining the objects participating in the task and their roles; on the other hand, converting the natural language concept of “pyramid” into topological relationships and relative scale constraints between objects. The experimental output explicitly indicates that no existing combination of bottom blocks in the initial environment directly satisfies the conditions, thus necessitating active construction of the pyramid bottom layer.</w:t>
      </w:r>
    </w:p>
    <w:p>
      <w:pPr>
        <w:spacing w:after="120" w:line="360" w:lineRule="auto"/>
        <w:ind w:firstLine="440"/>
      </w:pPr>
      <w:r>
        <w:t>At this stage, the core constraints formed at the semantic layer can be summarized as:</w:t>
      </w:r>
    </w:p>
    <w:p>
      <w:pPr>
        <w:spacing w:before="160" w:after="160"/>
        <w:jc w:val="center"/>
      </w:pPr>
      <w:r>
        <w:rPr>
          <w:rFonts w:ascii="Times New Roman" w:hAnsi="Times New Roman" w:eastAsia="Times New Roman"/>
        </w:rPr>
        <w:t>R = { On(o</w:t>
      </w:r>
      <w:r>
        <w:rPr>
          <w:rFonts w:ascii="Times New Roman" w:hAnsi="Times New Roman" w:eastAsia="Times New Roman"/>
          <w:vertAlign w:val="subscript"/>
        </w:rPr>
        <w:t>6</w:t>
      </w:r>
      <w:r>
        <w:rPr>
          <w:rFonts w:ascii="Times New Roman" w:hAnsi="Times New Roman" w:eastAsia="Times New Roman"/>
        </w:rPr>
        <w:t>, o</w:t>
      </w:r>
      <w:r>
        <w:rPr>
          <w:rFonts w:ascii="Times New Roman" w:hAnsi="Times New Roman" w:eastAsia="Times New Roman"/>
          <w:vertAlign w:val="subscript"/>
        </w:rPr>
        <w:t>5</w:t>
      </w:r>
      <w:r>
        <w:rPr>
          <w:rFonts w:ascii="Times New Roman" w:hAnsi="Times New Roman" w:eastAsia="Times New Roman"/>
        </w:rPr>
        <w:t>), On(o</w:t>
      </w:r>
      <w:r>
        <w:rPr>
          <w:rFonts w:ascii="Times New Roman" w:hAnsi="Times New Roman" w:eastAsia="Times New Roman"/>
          <w:vertAlign w:val="subscript"/>
        </w:rPr>
        <w:t>6</w:t>
      </w:r>
      <w:r>
        <w:rPr>
          <w:rFonts w:ascii="Times New Roman" w:hAnsi="Times New Roman" w:eastAsia="Times New Roman"/>
        </w:rPr>
        <w:t>, o</w:t>
      </w:r>
      <w:r>
        <w:rPr>
          <w:rFonts w:ascii="Times New Roman" w:hAnsi="Times New Roman" w:eastAsia="Times New Roman"/>
          <w:vertAlign w:val="subscript"/>
        </w:rPr>
        <w:t>3</w:t>
      </w:r>
      <w:r>
        <w:rPr>
          <w:rFonts w:ascii="Times New Roman" w:hAnsi="Times New Roman" w:eastAsia="Times New Roman"/>
        </w:rPr>
        <w:t>), CenterAt(o</w:t>
      </w:r>
      <w:r>
        <w:rPr>
          <w:rFonts w:ascii="Times New Roman" w:hAnsi="Times New Roman" w:eastAsia="Times New Roman"/>
          <w:vertAlign w:val="subscript"/>
        </w:rPr>
        <w:t>6</w:t>
      </w:r>
      <w:r>
        <w:rPr>
          <w:rFonts w:ascii="Times New Roman" w:hAnsi="Times New Roman" w:eastAsia="Times New Roman"/>
        </w:rPr>
        <w:t>, o</w:t>
      </w:r>
      <w:r>
        <w:rPr>
          <w:rFonts w:ascii="Times New Roman" w:hAnsi="Times New Roman" w:eastAsia="Times New Roman"/>
          <w:vertAlign w:val="subscript"/>
        </w:rPr>
        <w:t>5</w:t>
      </w:r>
      <w:r>
        <w:rPr>
          <w:rFonts w:ascii="Times New Roman" w:hAnsi="Times New Roman" w:eastAsia="Times New Roman"/>
        </w:rPr>
        <w:t>, o</w:t>
      </w:r>
      <w:r>
        <w:rPr>
          <w:rFonts w:ascii="Times New Roman" w:hAnsi="Times New Roman" w:eastAsia="Times New Roman"/>
          <w:vertAlign w:val="subscript"/>
        </w:rPr>
        <w:t>3</w:t>
      </w:r>
      <w:r>
        <w:rPr>
          <w:rFonts w:ascii="Times New Roman" w:hAnsi="Times New Roman" w:eastAsia="Times New Roman"/>
        </w:rPr>
        <w:t>) }</w:t>
      </w:r>
    </w:p>
    <w:p>
      <w:pPr>
        <w:spacing w:after="120" w:line="360" w:lineRule="auto"/>
        <w:ind w:firstLine="440"/>
      </w:pPr>
      <w:r>
        <w:t>where On indicates that the top block is positioned above the bottom blocks, and CenterAt indicates that the top block is located in the central area between the two bottom blocks. Corresponding scale relationships include the relative distance between the bottom blocks and the height difference of the top block relative to the bottom blocks. The process constraint P requires completing the bottom structure first before executing the placement of the top block.</w:t>
      </w:r>
    </w:p>
    <w:p>
      <w:pPr>
        <w:spacing w:after="120" w:line="360" w:lineRule="auto"/>
        <w:ind w:firstLine="440"/>
      </w:pPr>
      <w:r>
        <w:t>Thus, at this point, the natural language instruction “stack a pyramid out of any three blocks” has been transformed into a structured set of semantic constraints comprising object selection, spatial relationships, relative scales, and execution order.</w:t>
      </w:r>
    </w:p>
    <w:p>
      <w:pPr>
        <w:pStyle w:val="3"/>
      </w:pPr>
      <w:r>
        <w:t>3 Control Code Generation</w:t>
      </w:r>
    </w:p>
    <w:p>
      <w:pPr>
        <w:spacing w:after="120" w:line="360" w:lineRule="auto"/>
        <w:ind w:firstLine="440"/>
      </w:pPr>
      <w:r>
        <w:rPr>
          <w:rFonts w:ascii="Times New Roman" w:hAnsi="Times New Roman" w:eastAsia="Times New Roman"/>
        </w:rPr>
        <w:t>After obtaining the semantic constraints, the code generation agent is responsible for converting them into a concrete robot operation program. In the experiment, the generated gen_plan first reads the actual positions of o</w:t>
      </w:r>
      <w:r>
        <w:rPr>
          <w:rFonts w:ascii="Times New Roman" w:hAnsi="Times New Roman" w:eastAsia="Times New Roman"/>
          <w:vertAlign w:val="subscript"/>
        </w:rPr>
        <w:t>3</w:t>
      </w:r>
      <w:r>
        <w:rPr>
          <w:rFonts w:ascii="Times New Roman" w:hAnsi="Times New Roman" w:eastAsia="Times New Roman"/>
        </w:rPr>
        <w:t>, o</w:t>
      </w:r>
      <w:r>
        <w:rPr>
          <w:rFonts w:ascii="Times New Roman" w:hAnsi="Times New Roman" w:eastAsia="Times New Roman"/>
          <w:vertAlign w:val="subscript"/>
        </w:rPr>
        <w:t>5</w:t>
      </w:r>
      <w:r>
        <w:rPr>
          <w:rFonts w:ascii="Times New Roman" w:hAnsi="Times New Roman" w:eastAsia="Times New Roman"/>
        </w:rPr>
        <w:t>, and o</w:t>
      </w:r>
      <w:r>
        <w:rPr>
          <w:rFonts w:ascii="Times New Roman" w:hAnsi="Times New Roman" w:eastAsia="Times New Roman"/>
          <w:vertAlign w:val="subscript"/>
        </w:rPr>
        <w:t>6</w:t>
      </w:r>
      <w:r>
        <w:rPr>
          <w:rFonts w:ascii="Times New Roman" w:hAnsi="Times New Roman" w:eastAsia="Times New Roman"/>
        </w:rPr>
        <w:t xml:space="preserve"> </w:t>
      </w:r>
      <w:r>
        <w:t>from the environment state, then sequentially produces pick and place actions.</w:t>
      </w:r>
    </w:p>
    <w:p>
      <w:pPr>
        <w:spacing w:after="120" w:line="360" w:lineRule="auto"/>
        <w:ind w:firstLine="440"/>
      </w:pPr>
      <w:r>
        <w:rPr>
          <w:rFonts w:ascii="Times New Roman" w:hAnsi="Times New Roman" w:eastAsia="Times New Roman"/>
        </w:rPr>
        <w:t>The initial code selects o</w:t>
      </w:r>
      <w:r>
        <w:rPr>
          <w:rFonts w:ascii="Times New Roman" w:hAnsi="Times New Roman" w:eastAsia="Times New Roman"/>
          <w:vertAlign w:val="subscript"/>
        </w:rPr>
        <w:t>5</w:t>
      </w:r>
      <w:r>
        <w:rPr>
          <w:rFonts w:ascii="Times New Roman" w:hAnsi="Times New Roman" w:eastAsia="Times New Roman"/>
        </w:rPr>
        <w:t xml:space="preserve"> as the reference bottom block, o</w:t>
      </w:r>
      <w:r>
        <w:rPr>
          <w:rFonts w:ascii="Times New Roman" w:hAnsi="Times New Roman" w:eastAsia="Times New Roman"/>
          <w:vertAlign w:val="subscript"/>
        </w:rPr>
        <w:t>3</w:t>
      </w:r>
      <w:r>
        <w:rPr>
          <w:rFonts w:ascii="Times New Roman" w:hAnsi="Times New Roman" w:eastAsia="Times New Roman"/>
        </w:rPr>
        <w:t xml:space="preserve"> as the second bottom block requiring movement, and o</w:t>
      </w:r>
      <w:r>
        <w:rPr>
          <w:rFonts w:ascii="Times New Roman" w:hAnsi="Times New Roman" w:eastAsia="Times New Roman"/>
          <w:vertAlign w:val="subscript"/>
        </w:rPr>
        <w:t>6</w:t>
      </w:r>
      <w:r>
        <w:rPr>
          <w:rFonts w:ascii="Times New Roman" w:hAnsi="Times New Roman" w:eastAsia="Times New Roman"/>
        </w:rPr>
        <w:t xml:space="preserve"> as the top block. For the top block, the placement positio</w:t>
      </w:r>
      <w:r>
        <w:t>n is calculated based on the midpoint of the two bottom blocks, and the vertical height is determined using BLOCK_SIZE.</w:t>
      </w:r>
    </w:p>
    <w:p>
      <w:pPr>
        <w:spacing w:after="120" w:line="360" w:lineRule="auto"/>
        <w:ind w:firstLine="440"/>
      </w:pPr>
      <w:r>
        <w:t>Simultaneously, the code generation agent generates continuous parameter sampling domains to control the horizontal offset between the bottom blocks and the height offset of the top block. In the first code generation, base_x_offset, base_y_offset, and top_z_offset are respectively defined as continuous sampling parameters, thereby transforming the semantic constraints into a limited local continuous search space.</w:t>
      </w:r>
    </w:p>
    <w:p>
      <w:pPr>
        <w:spacing w:after="120" w:line="360" w:lineRule="auto"/>
        <w:ind w:firstLine="440"/>
      </w:pPr>
      <w:r>
        <w:t>The code itself does not directly determine the final parameters; rather, it provides the parameter search range through gen_domain, and subsequent simulation processes perform physical verification on different parameter instances. This separation of program generation and continuous parameter solving is consistent with the hierarchical constraint satisfaction modeling adopted in this paper.</w:t>
      </w:r>
    </w:p>
    <w:p>
      <w:pPr>
        <w:pStyle w:val="3"/>
      </w:pPr>
      <w:r>
        <w:t>4 Simulation Verification and Feedback Diagnosis</w:t>
      </w:r>
    </w:p>
    <w:p>
      <w:pPr>
        <w:spacing w:after="120" w:line="360" w:lineRule="auto"/>
        <w:ind w:firstLine="440"/>
      </w:pPr>
      <w:r>
        <w:t>After code generation, the system sends the action sequence and its parameter instances to the physics simulator for verification. The simulator checks not only whether the task satisfies the target structure but also underlying geometric constraints such as kinematic reachability, collision, grasp stability, and placement stability.</w:t>
      </w:r>
    </w:p>
    <w:p>
      <w:pPr>
        <w:spacing w:after="120" w:line="360" w:lineRule="auto"/>
        <w:ind w:firstLine="440"/>
      </w:pPr>
      <w:r>
        <w:t>The first round of planning failed after 1000 parameter sampling simulation verifications. The simulator returned the following feedback information:</w:t>
      </w:r>
    </w:p>
    <w:p>
      <w:pPr>
        <w:spacing w:after="60" w:line="280" w:lineRule="auto"/>
        <w:ind w:left="720"/>
      </w:pPr>
      <w:r>
        <w:rPr>
          <w:rFonts w:ascii="Courier New" w:hAnsi="Courier New" w:eastAsia="Courier New"/>
          <w:sz w:val="20"/>
          <w:szCs w:val="20"/>
        </w:rPr>
        <w:t>Step 1, Action place, Violation: Unstable placement</w:t>
      </w:r>
    </w:p>
    <w:p>
      <w:pPr>
        <w:spacing w:after="60" w:line="280" w:lineRule="auto"/>
        <w:ind w:left="720"/>
      </w:pPr>
      <w:r>
        <w:rPr>
          <w:rFonts w:ascii="Courier New" w:hAnsi="Courier New" w:eastAsia="Courier New"/>
          <w:sz w:val="20"/>
          <w:szCs w:val="20"/>
        </w:rPr>
        <w:t>Step 1, Actio</w:t>
      </w:r>
      <w:r>
        <w:rPr>
          <w:rFonts w:ascii="Times New Roman" w:hAnsi="Times New Roman" w:eastAsia="Times New Roman"/>
        </w:rPr>
        <w:t>n place, Violation: [Twin] Collision detected between object</w:t>
      </w:r>
      <w:r>
        <w:rPr>
          <w:rFonts w:ascii="Times New Roman" w:hAnsi="Times New Roman" w:eastAsia="Times New Roman"/>
          <w:vertAlign w:val="subscript"/>
        </w:rPr>
        <w:t>5</w:t>
      </w:r>
      <w:r>
        <w:rPr>
          <w:rFonts w:ascii="Times New Roman" w:hAnsi="Times New Roman" w:eastAsia="Times New Roman"/>
        </w:rPr>
        <w:t xml:space="preserve"> and held object</w:t>
      </w:r>
    </w:p>
    <w:p>
      <w:pPr>
        <w:spacing w:after="120" w:line="360" w:lineRule="auto"/>
        <w:ind w:firstLine="440"/>
      </w:pPr>
      <w:r>
        <w:rPr>
          <w:rFonts w:ascii="Times New Roman" w:hAnsi="Times New Roman" w:eastAsia="Times New Roman"/>
        </w:rPr>
        <w:t>That is, during the execution of the second action — placing o</w:t>
      </w:r>
      <w:r>
        <w:rPr>
          <w:rFonts w:ascii="Times New Roman" w:hAnsi="Times New Roman" w:eastAsia="Times New Roman"/>
          <w:vertAlign w:val="subscript"/>
        </w:rPr>
        <w:t>3</w:t>
      </w:r>
      <w:r>
        <w:rPr>
          <w:rFonts w:ascii="Times New Roman" w:hAnsi="Times New Roman" w:eastAsia="Times New Roman"/>
        </w:rPr>
        <w:t xml:space="preserve"> near o</w:t>
      </w:r>
      <w:r>
        <w:rPr>
          <w:rFonts w:ascii="Times New Roman" w:hAnsi="Times New Roman" w:eastAsia="Times New Roman"/>
          <w:vertAlign w:val="subscript"/>
        </w:rPr>
        <w:t>5</w:t>
      </w:r>
      <w:r>
        <w:rPr>
          <w:rFonts w:ascii="Times New Roman" w:hAnsi="Times New Roman" w:eastAsia="Times New Roman"/>
        </w:rPr>
        <w:t xml:space="preserve"> — both unstable placement and collision issues occurred simultaneously.</w:t>
      </w:r>
    </w:p>
    <w:p>
      <w:pPr>
        <w:spacing w:after="120" w:line="360" w:lineRule="auto"/>
        <w:ind w:firstLine="440"/>
      </w:pPr>
      <w:r>
        <w:t>The system returns the feedback</w:t>
      </w:r>
      <w:r>
        <w:rPr>
          <w:rFonts w:ascii="Times New Roman" w:hAnsi="Times New Roman" w:eastAsia="Times New Roman"/>
        </w:rPr>
        <w:t xml:space="preserve"> information to the semantic constraint agent. This failure occurred during the process of placing o</w:t>
      </w:r>
      <w:r>
        <w:rPr>
          <w:rFonts w:ascii="Times New Roman" w:hAnsi="Times New Roman" w:eastAsia="Times New Roman"/>
          <w:vertAlign w:val="subscript"/>
        </w:rPr>
        <w:t>3</w:t>
      </w:r>
      <w:r>
        <w:rPr>
          <w:rFonts w:ascii="Times New Roman" w:hAnsi="Times New Roman" w:eastAsia="Times New Roman"/>
        </w:rPr>
        <w:t xml:space="preserve"> near o</w:t>
      </w:r>
      <w:r>
        <w:rPr>
          <w:rFonts w:ascii="Times New Roman" w:hAnsi="Times New Roman" w:eastAsia="Times New Roman"/>
          <w:vertAlign w:val="subscript"/>
        </w:rPr>
        <w:t>5</w:t>
      </w:r>
      <w:r>
        <w:rPr>
          <w:rFonts w:ascii="Times New Roman" w:hAnsi="Times New Roman" w:eastAsia="Times New Roman"/>
        </w:rPr>
        <w:t>, with the simulator detecting both unstable placement and collision.</w:t>
      </w:r>
    </w:p>
    <w:p>
      <w:pPr>
        <w:spacing w:after="120" w:line="360" w:lineRule="auto"/>
        <w:ind w:firstLine="440"/>
      </w:pPr>
      <w:r>
        <w:t>Rather than directly making random adjustments to the continuous parameters, the semantic constraint agent re-examines the current object relationships and their corresponding spatial constraints. Analysis reveals that although the original plan satisfied the task structure of “two blocks forming the bottom layer, with the top block positioned between them,” it insufficiently considered the specific spacing between the bottom blocks and the operational workspace during placement. While smaller spacing facilitates a compact support structure, it may cause the gripper to interfere w</w:t>
      </w:r>
      <w:r>
        <w:rPr>
          <w:rFonts w:ascii="Times New Roman" w:hAnsi="Times New Roman" w:eastAsia="Times New Roman"/>
        </w:rPr>
        <w:t>ith o</w:t>
      </w:r>
      <w:r>
        <w:rPr>
          <w:rFonts w:ascii="Times New Roman" w:hAnsi="Times New Roman" w:eastAsia="Times New Roman"/>
          <w:vertAlign w:val="subscript"/>
        </w:rPr>
        <w:t>5</w:t>
      </w:r>
      <w:r>
        <w:rPr>
          <w:rFonts w:ascii="Times New Roman" w:hAnsi="Times New Roman" w:eastAsia="Times New Roman"/>
        </w:rPr>
        <w:t xml:space="preserve"> when placing o</w:t>
      </w:r>
      <w:r>
        <w:rPr>
          <w:rFonts w:ascii="Times New Roman" w:hAnsi="Times New Roman" w:eastAsia="Times New Roman"/>
          <w:vertAlign w:val="subscript"/>
        </w:rPr>
        <w:t>3</w:t>
      </w:r>
      <w:r>
        <w:rPr>
          <w:rFonts w:ascii="Times New Roman" w:hAnsi="Times New Roman" w:eastAsia="Times New Roman"/>
        </w:rPr>
        <w:t>, thereby simultaneously affecting the stability and executability of the placement process.</w:t>
      </w:r>
    </w:p>
    <w:p>
      <w:pPr>
        <w:pStyle w:val="3"/>
      </w:pPr>
      <w:r>
        <w:t>5 Semantic Constraint Reconstruction</w:t>
      </w:r>
    </w:p>
    <w:p>
      <w:pPr>
        <w:spacing w:after="120" w:line="360" w:lineRule="auto"/>
        <w:ind w:firstLine="440"/>
      </w:pPr>
      <w:r>
        <w:t>Based on the simulation feedback, the semantic constraint agent re-examines the spatial relationships in the initial plan. The analysis concludes that while the original constraints could express the basic structure of “two bottom blocks and one top block,” they inadequately described the spacing between bottom blocks, the support range of the top block,</w:t>
      </w:r>
      <w:r>
        <w:rPr>
          <w:rFonts w:ascii="Times New Roman" w:hAnsi="Times New Roman" w:eastAsia="Times New Roman"/>
        </w:rPr>
        <w:t xml:space="preserve"> and the spatial conditions during placement. Therefore, while retaining the three objects o</w:t>
      </w:r>
      <w:r>
        <w:rPr>
          <w:rFonts w:ascii="Times New Roman" w:hAnsi="Times New Roman" w:eastAsia="Times New Roman"/>
          <w:vertAlign w:val="subscript"/>
        </w:rPr>
        <w:t>3</w:t>
      </w:r>
      <w:r>
        <w:rPr>
          <w:rFonts w:ascii="Times New Roman" w:hAnsi="Times New Roman" w:eastAsia="Times New Roman"/>
        </w:rPr>
        <w:t>, o</w:t>
      </w:r>
      <w:r>
        <w:rPr>
          <w:rFonts w:ascii="Times New Roman" w:hAnsi="Times New Roman" w:eastAsia="Times New Roman"/>
          <w:vertAlign w:val="subscript"/>
        </w:rPr>
        <w:t>5</w:t>
      </w:r>
      <w:r>
        <w:rPr>
          <w:rFonts w:ascii="Times New Roman" w:hAnsi="Times New Roman" w:eastAsia="Times New Roman"/>
        </w:rPr>
        <w:t>, and o</w:t>
      </w:r>
      <w:r>
        <w:rPr>
          <w:rFonts w:ascii="Times New Roman" w:hAnsi="Times New Roman" w:eastAsia="Times New Roman"/>
          <w:vertAlign w:val="subscript"/>
        </w:rPr>
        <w:t>6</w:t>
      </w:r>
      <w:r>
        <w:rPr>
          <w:rFonts w:ascii="Times New Roman" w:hAnsi="Times New Roman" w:eastAsia="Times New Roman"/>
        </w:rPr>
        <w:t xml:space="preserve"> and their role assignments, the relevant semantic constraints are reconstructed.</w:t>
      </w:r>
    </w:p>
    <w:p>
      <w:pPr>
        <w:spacing w:after="120" w:line="360" w:lineRule="auto"/>
        <w:ind w:firstLine="440"/>
      </w:pPr>
      <w:r>
        <w:t>The regenerated semantic constraints primarily include:</w:t>
      </w:r>
    </w:p>
    <w:p>
      <w:pPr>
        <w:pStyle w:val="16"/>
        <w:numPr>
          <w:ilvl w:val="0"/>
          <w:numId w:val="1"/>
        </w:numPr>
        <w:spacing w:after="60" w:line="340" w:lineRule="auto"/>
      </w:pPr>
      <w:r>
        <w:t>Bottom Str</w:t>
      </w:r>
      <w:r>
        <w:rPr>
          <w:rFonts w:ascii="Times New Roman" w:hAnsi="Times New Roman" w:eastAsia="Times New Roman"/>
        </w:rPr>
        <w:t>ucture Constraint: o</w:t>
      </w:r>
      <w:r>
        <w:rPr>
          <w:rFonts w:ascii="Times New Roman" w:hAnsi="Times New Roman" w:eastAsia="Times New Roman"/>
          <w:vertAlign w:val="subscript"/>
        </w:rPr>
        <w:t>5</w:t>
      </w:r>
      <w:r>
        <w:rPr>
          <w:rFonts w:ascii="Times New Roman" w:hAnsi="Times New Roman" w:eastAsia="Times New Roman"/>
        </w:rPr>
        <w:t xml:space="preserve"> and o</w:t>
      </w:r>
      <w:r>
        <w:rPr>
          <w:rFonts w:ascii="Times New Roman" w:hAnsi="Times New Roman" w:eastAsia="Times New Roman"/>
          <w:vertAlign w:val="subscript"/>
        </w:rPr>
        <w:t>3</w:t>
      </w:r>
      <w:r>
        <w:rPr>
          <w:rFonts w:ascii="Times New Roman" w:hAnsi="Times New Roman" w:eastAsia="Times New Roman"/>
        </w:rPr>
        <w:t xml:space="preserve"> form the bottom layer, with the two blocks arranged along the same horizontal direction maintaining appropriate compact spacing;</w:t>
      </w:r>
    </w:p>
    <w:p>
      <w:pPr>
        <w:pStyle w:val="16"/>
        <w:numPr>
          <w:ilvl w:val="0"/>
          <w:numId w:val="1"/>
        </w:numPr>
        <w:spacing w:after="60" w:line="340" w:lineRule="auto"/>
      </w:pPr>
      <w:r>
        <w:t>Relative Scale Constraint: The center-to-center distance between the two bottom blocks is set to BLOCK_SIZE to form a compact support structure;</w:t>
      </w:r>
    </w:p>
    <w:p>
      <w:pPr>
        <w:pStyle w:val="16"/>
        <w:numPr>
          <w:ilvl w:val="0"/>
          <w:numId w:val="1"/>
        </w:numPr>
        <w:spacing w:after="60" w:line="340" w:lineRule="auto"/>
      </w:pPr>
      <w:r>
        <w:rPr>
          <w:rFonts w:ascii="Times New Roman" w:hAnsi="Times New Roman" w:eastAsia="Times New Roman"/>
        </w:rPr>
        <w:t>Top Position Constraint: o</w:t>
      </w:r>
      <w:r>
        <w:rPr>
          <w:rFonts w:ascii="Times New Roman" w:hAnsi="Times New Roman" w:eastAsia="Times New Roman"/>
          <w:vertAlign w:val="subscript"/>
        </w:rPr>
        <w:t>6</w:t>
      </w:r>
      <w:r>
        <w:rPr>
          <w:rFonts w:ascii="Times New Roman" w:hAnsi="Times New Roman" w:eastAsia="Times New Roman"/>
        </w:rPr>
        <w:t xml:space="preserve"> is positioned at the center of o</w:t>
      </w:r>
      <w:r>
        <w:rPr>
          <w:rFonts w:ascii="Times New Roman" w:hAnsi="Times New Roman" w:eastAsia="Times New Roman"/>
          <w:vertAlign w:val="subscript"/>
        </w:rPr>
        <w:t>3</w:t>
      </w:r>
      <w:r>
        <w:rPr>
          <w:rFonts w:ascii="Times New Roman" w:hAnsi="Times New Roman" w:eastAsia="Times New Roman"/>
        </w:rPr>
        <w:t xml:space="preserve"> and o</w:t>
      </w:r>
      <w:r>
        <w:rPr>
          <w:rFonts w:ascii="Times New Roman" w:hAnsi="Times New Roman" w:eastAsia="Times New Roman"/>
          <w:vertAlign w:val="subscript"/>
        </w:rPr>
        <w:t>5</w:t>
      </w:r>
      <w:r>
        <w:rPr>
          <w:rFonts w:ascii="Times New Roman" w:hAnsi="Times New Roman" w:eastAsia="Times New Roman"/>
        </w:rPr>
        <w:t>, elevated vertically by one BLOCK_SIZE;</w:t>
      </w:r>
    </w:p>
    <w:p>
      <w:pPr>
        <w:pStyle w:val="16"/>
        <w:numPr>
          <w:ilvl w:val="0"/>
          <w:numId w:val="1"/>
        </w:numPr>
        <w:spacing w:after="60" w:line="340" w:lineRule="auto"/>
      </w:pPr>
      <w:r>
        <w:t>Support Relationship Constraint: The top block needs to cover the combined support area of the two bottom blocks to improve placement stability;</w:t>
      </w:r>
    </w:p>
    <w:p>
      <w:pPr>
        <w:pStyle w:val="16"/>
        <w:numPr>
          <w:ilvl w:val="0"/>
          <w:numId w:val="1"/>
        </w:numPr>
        <w:spacing w:after="60" w:line="340" w:lineRule="auto"/>
      </w:pPr>
      <w:r>
        <w:rPr>
          <w:rFonts w:ascii="Times New Roman" w:hAnsi="Times New Roman" w:eastAsia="Times New Roman"/>
        </w:rPr>
        <w:t>Operational Workspace Constraint: The repositioning of o</w:t>
      </w:r>
      <w:r>
        <w:rPr>
          <w:rFonts w:ascii="Times New Roman" w:hAnsi="Times New Roman" w:eastAsia="Times New Roman"/>
          <w:vertAlign w:val="subscript"/>
        </w:rPr>
        <w:t>3</w:t>
      </w:r>
      <w:r>
        <w:rPr>
          <w:rFonts w:ascii="Times New Roman" w:hAnsi="Times New Roman" w:eastAsia="Times New Roman"/>
        </w:rPr>
        <w:t xml:space="preserve"> should avoid other objects and ensure an unobstructed vertical approach path;</w:t>
      </w:r>
    </w:p>
    <w:p>
      <w:pPr>
        <w:pStyle w:val="16"/>
        <w:numPr>
          <w:ilvl w:val="0"/>
          <w:numId w:val="1"/>
        </w:numPr>
        <w:spacing w:after="60" w:line="340" w:lineRule="auto"/>
      </w:pPr>
      <w:r>
        <w:t>Task Object Constraint: Objects other than the three target blocks, such as bowls, do not participate in the pyramid structure and should not interfere with the aforementioned operations.</w:t>
      </w:r>
    </w:p>
    <w:p>
      <w:pPr>
        <w:spacing w:after="120" w:line="360" w:lineRule="auto"/>
        <w:ind w:firstLine="440"/>
      </w:pPr>
      <w:r>
        <w:t>Compared to the first plan, this reconstruction supplements and tightens the original semantic constraints: on one hand, “the top block is positioned between the two bottom blocks” is further clarified to cover the support area of both bottom blocks; on the other hand, the bottom spacing is narrowed from a wider feasible range to a compact structure scaled by BLOCK_SIZE, while adding spatial requirements for the placement area and approach path. The experimental output explicitly maps these modifications to the issues identified in the previous failure, such as “unstable placement,” “collision,” and “insufficient spacing.”</w:t>
      </w:r>
    </w:p>
    <w:p>
      <w:pPr>
        <w:pStyle w:val="3"/>
      </w:pPr>
      <w:bookmarkStart w:id="0" w:name="_GoBack"/>
      <w:bookmarkEnd w:id="0"/>
      <w:r>
        <w:t>6 Regenerating Code Based on Reconstructed Constraints</w:t>
      </w:r>
    </w:p>
    <w:p>
      <w:pPr>
        <w:spacing w:after="120" w:line="360" w:lineRule="auto"/>
        <w:ind w:firstLine="440"/>
      </w:pPr>
      <w:r>
        <w:t>After completing the semantic layer reconstruction, the updated C_sem is passed again to the code generation agent. Compared to the first code generation, the program generation at this stage is already constrained by the updated object relationships and scale constraints.</w:t>
      </w:r>
    </w:p>
    <w:p>
      <w:pPr>
        <w:spacing w:after="120" w:line="360" w:lineRule="auto"/>
        <w:ind w:firstLine="440"/>
      </w:pPr>
      <w:r>
        <w:rPr>
          <w:rFonts w:ascii="Times New Roman" w:hAnsi="Times New Roman" w:eastAsia="Times New Roman"/>
        </w:rPr>
        <w:t>The new gen_plan still selects o</w:t>
      </w:r>
      <w:r>
        <w:rPr>
          <w:rFonts w:ascii="Times New Roman" w:hAnsi="Times New Roman" w:eastAsia="Times New Roman"/>
          <w:vertAlign w:val="subscript"/>
        </w:rPr>
        <w:t>5</w:t>
      </w:r>
      <w:r>
        <w:rPr>
          <w:rFonts w:ascii="Times New Roman" w:hAnsi="Times New Roman" w:eastAsia="Times New Roman"/>
        </w:rPr>
        <w:t>, o</w:t>
      </w:r>
      <w:r>
        <w:rPr>
          <w:rFonts w:ascii="Times New Roman" w:hAnsi="Times New Roman" w:eastAsia="Times New Roman"/>
          <w:vertAlign w:val="subscript"/>
        </w:rPr>
        <w:t>3</w:t>
      </w:r>
      <w:r>
        <w:rPr>
          <w:rFonts w:ascii="Times New Roman" w:hAnsi="Times New Roman" w:eastAsia="Times New Roman"/>
        </w:rPr>
        <w:t>, and o</w:t>
      </w:r>
      <w:r>
        <w:rPr>
          <w:rFonts w:ascii="Times New Roman" w:hAnsi="Times New Roman" w:eastAsia="Times New Roman"/>
          <w:vertAlign w:val="subscript"/>
        </w:rPr>
        <w:t>6</w:t>
      </w:r>
      <w:r>
        <w:rPr>
          <w:rFonts w:ascii="Times New Roman" w:hAnsi="Times New Roman" w:eastAsia="Times New Roman"/>
        </w:rPr>
        <w:t>, but represents the target position of o</w:t>
      </w:r>
      <w:r>
        <w:rPr>
          <w:rFonts w:ascii="Times New Roman" w:hAnsi="Times New Roman" w:eastAsia="Times New Roman"/>
          <w:vertAlign w:val="subscript"/>
        </w:rPr>
        <w:t>3</w:t>
      </w:r>
      <w:r>
        <w:rPr>
          <w:rFonts w:ascii="Times New Roman" w:hAnsi="Times New Roman" w:eastAsia="Times New Roman"/>
        </w:rPr>
        <w:t xml:space="preserve"> as a BLOCK_SIZE offset relative to o</w:t>
      </w:r>
      <w:r>
        <w:rPr>
          <w:rFonts w:ascii="Times New Roman" w:hAnsi="Times New Roman" w:eastAsia="Times New Roman"/>
          <w:vertAlign w:val="subscript"/>
        </w:rPr>
        <w:t>5</w:t>
      </w:r>
      <w:r>
        <w:rPr>
          <w:rFonts w:ascii="Times New Roman" w:hAnsi="Times New Roman" w:eastAsia="Times New Roman"/>
        </w:rPr>
        <w:t>, and calculates the center position of o</w:t>
      </w:r>
      <w:r>
        <w:rPr>
          <w:rFonts w:ascii="Times New Roman" w:hAnsi="Times New Roman" w:eastAsia="Times New Roman"/>
          <w:vertAlign w:val="subscript"/>
        </w:rPr>
        <w:t>6</w:t>
      </w:r>
      <w:r>
        <w:rPr>
          <w:rFonts w:ascii="Times New Roman" w:hAnsi="Times New Roman" w:eastAsia="Times New Roman"/>
        </w:rPr>
        <w:t xml:space="preserve"> based on the positions of</w:t>
      </w:r>
      <w:r>
        <w:t xml:space="preserve"> the two bottom blocks. Meanwhile, gen_domain restricts the horizontal offset of the bottom blocks and the height offset of the top block to a small local range, thereby reducing parameter instances that clearly violate semantic and geometric conditions.</w:t>
      </w:r>
    </w:p>
    <w:p>
      <w:pPr>
        <w:spacing w:after="120" w:line="360" w:lineRule="auto"/>
        <w:ind w:firstLine="440"/>
      </w:pPr>
      <w:r>
        <w:t>If physical constraint violations occur again, the process continues by returning to the semantic constraint agent for semantic-level diagnosis. If the simulator finds parameter instances satisfying all geometric constraints, the executable plan is output.</w:t>
      </w:r>
    </w:p>
    <w:sectPr>
      <w:headerReference r:id="rId3" w:type="default"/>
      <w:footerReference r:id="rId4" w:type="default"/>
      <w:pgSz w:w="11906" w:h="16838"/>
      <w:pgMar w:top="2948" w:right="2494" w:bottom="2948" w:left="249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18"/>
        <w:szCs w:val="18"/>
      </w:rPr>
      <w:t>F. Author and S. Author</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i/>
        <w:iCs/>
        <w:sz w:val="18"/>
        <w:szCs w:val="18"/>
      </w:rPr>
      <w:t>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B5D9F5"/>
    <w:multiLevelType w:val="singleLevel"/>
    <w:tmpl w:val="F4B5D9F5"/>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3NTNmNTI5NzYxZDMzNmRlMjI3NWY4MjM0ZDNjMjUifQ=="/>
  </w:docVars>
  <w:rsids>
    <w:rsidRoot w:val="007B5C02"/>
    <w:rsid w:val="00302FEF"/>
    <w:rsid w:val="007B5C02"/>
    <w:rsid w:val="007C1C0C"/>
    <w:rsid w:val="40F02387"/>
    <w:rsid w:val="4B946930"/>
    <w:rsid w:val="5E7E1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2"/>
      <w:szCs w:val="22"/>
      <w:lang w:val="en-US" w:eastAsia="zh-CN" w:bidi="ar-SA"/>
    </w:rPr>
  </w:style>
  <w:style w:type="paragraph" w:styleId="2">
    <w:name w:val="heading 1"/>
    <w:next w:val="1"/>
    <w:qFormat/>
    <w:uiPriority w:val="0"/>
    <w:pPr>
      <w:spacing w:before="360" w:after="200"/>
      <w:outlineLvl w:val="0"/>
    </w:pPr>
    <w:rPr>
      <w:rFonts w:ascii="Times New Roman" w:hAnsi="Times New Roman" w:eastAsia="Times New Roman" w:cs="Times New Roman"/>
      <w:b/>
      <w:bCs/>
      <w:sz w:val="32"/>
      <w:szCs w:val="32"/>
      <w:lang w:val="en-US" w:eastAsia="zh-CN" w:bidi="ar-SA"/>
    </w:rPr>
  </w:style>
  <w:style w:type="paragraph" w:styleId="3">
    <w:name w:val="heading 2"/>
    <w:next w:val="1"/>
    <w:qFormat/>
    <w:uiPriority w:val="0"/>
    <w:pPr>
      <w:spacing w:before="280" w:after="160"/>
      <w:outlineLvl w:val="1"/>
    </w:pPr>
    <w:rPr>
      <w:rFonts w:ascii="Times New Roman" w:hAnsi="Times New Roman" w:eastAsia="Times New Roman" w:cs="Times New Roman"/>
      <w:b/>
      <w:bCs/>
      <w:sz w:val="26"/>
      <w:szCs w:val="26"/>
      <w:lang w:val="en-US" w:eastAsia="zh-CN" w:bidi="ar-SA"/>
    </w:rPr>
  </w:style>
  <w:style w:type="paragraph" w:styleId="4">
    <w:name w:val="heading 3"/>
    <w:next w:val="1"/>
    <w:qFormat/>
    <w:uiPriority w:val="0"/>
    <w:pPr>
      <w:spacing w:before="240" w:after="140"/>
      <w:outlineLvl w:val="2"/>
    </w:pPr>
    <w:rPr>
      <w:rFonts w:ascii="Times New Roman" w:hAnsi="Times New Roman" w:eastAsia="Times New Roman" w:cs="Times New Roman"/>
      <w:b/>
      <w:bCs/>
      <w:sz w:val="22"/>
      <w:szCs w:val="22"/>
      <w:lang w:val="en-US" w:eastAsia="zh-CN" w:bidi="ar-SA"/>
    </w:rPr>
  </w:style>
  <w:style w:type="paragraph" w:styleId="5">
    <w:name w:val="heading 4"/>
    <w:next w:val="1"/>
    <w:qFormat/>
    <w:uiPriority w:val="0"/>
    <w:pPr>
      <w:outlineLvl w:val="3"/>
    </w:pPr>
    <w:rPr>
      <w:rFonts w:ascii="Times New Roman" w:hAnsi="Times New Roman" w:eastAsia="Times New Roman" w:cs="Times New Roman"/>
      <w:i/>
      <w:iCs/>
      <w:color w:val="2E74B5"/>
      <w:sz w:val="22"/>
      <w:szCs w:val="22"/>
      <w:lang w:val="en-US" w:eastAsia="zh-CN" w:bidi="ar-SA"/>
    </w:rPr>
  </w:style>
  <w:style w:type="paragraph" w:styleId="6">
    <w:name w:val="heading 5"/>
    <w:next w:val="1"/>
    <w:qFormat/>
    <w:uiPriority w:val="0"/>
    <w:pPr>
      <w:outlineLvl w:val="4"/>
    </w:pPr>
    <w:rPr>
      <w:rFonts w:ascii="Times New Roman" w:hAnsi="Times New Roman" w:eastAsia="Times New Roman" w:cs="Times New Roman"/>
      <w:color w:val="2E74B5"/>
      <w:sz w:val="22"/>
      <w:szCs w:val="22"/>
      <w:lang w:val="en-US" w:eastAsia="zh-CN" w:bidi="ar-SA"/>
    </w:rPr>
  </w:style>
  <w:style w:type="paragraph" w:styleId="7">
    <w:name w:val="heading 6"/>
    <w:next w:val="1"/>
    <w:qFormat/>
    <w:uiPriority w:val="0"/>
    <w:pPr>
      <w:outlineLvl w:val="5"/>
    </w:pPr>
    <w:rPr>
      <w:rFonts w:ascii="Times New Roman" w:hAnsi="Times New Roman" w:eastAsia="Times New Roman" w:cs="Times New Roman"/>
      <w:color w:val="1F4D78"/>
      <w:sz w:val="22"/>
      <w:szCs w:val="22"/>
      <w:lang w:val="en-US" w:eastAsia="zh-CN" w:bidi="ar-SA"/>
    </w:rPr>
  </w:style>
  <w:style w:type="character" w:default="1" w:styleId="12">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8"/>
    <w:semiHidden/>
    <w:unhideWhenUsed/>
    <w:qFormat/>
    <w:uiPriority w:val="99"/>
    <w:rPr>
      <w:rFonts w:ascii="Times New Roman" w:hAnsi="Times New Roman" w:eastAsia="Times New Roman" w:cs="Times New Roman"/>
      <w:lang w:val="en-US" w:eastAsia="zh-CN" w:bidi="ar-SA"/>
    </w:rPr>
  </w:style>
  <w:style w:type="paragraph" w:styleId="9">
    <w:name w:val="footnote text"/>
    <w:link w:val="17"/>
    <w:semiHidden/>
    <w:unhideWhenUsed/>
    <w:qFormat/>
    <w:uiPriority w:val="99"/>
    <w:rPr>
      <w:rFonts w:ascii="Times New Roman" w:hAnsi="Times New Roman" w:eastAsia="Times New Roman" w:cs="Times New Roman"/>
      <w:lang w:val="en-US" w:eastAsia="zh-CN" w:bidi="ar-SA"/>
    </w:rPr>
  </w:style>
  <w:style w:type="paragraph" w:styleId="10">
    <w:name w:val="Title"/>
    <w:qFormat/>
    <w:uiPriority w:val="0"/>
    <w:rPr>
      <w:rFonts w:ascii="Times New Roman" w:hAnsi="Times New Roman" w:eastAsia="Times New Roman" w:cs="Times New Roman"/>
      <w:sz w:val="56"/>
      <w:szCs w:val="56"/>
      <w:lang w:val="en-US" w:eastAsia="zh-CN" w:bidi="ar-SA"/>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hAnsi="Times New Roman" w:eastAsia="Times New Roman" w:cs="Times New Roman"/>
      <w:sz w:val="22"/>
      <w:szCs w:val="22"/>
      <w:lang w:val="en-US" w:eastAsia="zh-CN" w:bidi="ar-SA"/>
    </w:rPr>
  </w:style>
  <w:style w:type="character" w:customStyle="1" w:styleId="17">
    <w:name w:val="脚注文本 字符"/>
    <w:link w:val="9"/>
    <w:semiHidden/>
    <w:unhideWhenUsed/>
    <w:qFormat/>
    <w:uiPriority w:val="99"/>
    <w:rPr>
      <w:sz w:val="20"/>
      <w:szCs w:val="20"/>
    </w:rPr>
  </w:style>
  <w:style w:type="character" w:customStyle="1" w:styleId="18">
    <w:name w:val="尾注文本 字符"/>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1690</Words>
  <Characters>9846</Characters>
  <Lines>82</Lines>
  <Paragraphs>23</Paragraphs>
  <TotalTime>10</TotalTime>
  <ScaleCrop>false</ScaleCrop>
  <LinksUpToDate>false</LinksUpToDate>
  <CharactersWithSpaces>11469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2026-08-30T07:57:00Z</dcterms:created>
  <dc:creator>Un-named</dc:creator>
  <cp:lastModifiedBy>毛振宇</cp:lastModifiedBy>
  <dcterms:modified xsi:type="dcterms:W3CDTF">2026-08-30T08:47:40Z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{"Label":"1","ContentProducer":"001191440300708461136T1WFUO","ProduceID":"919dbceefec3c18aea6f82bc1b500611-Bjbd","ReservedCode1":"{\"Type\":\" TC260PG\",\"Version\":1,\"Bindings\":[{\"Type\":\"soft\",\"AlgID\":\"sm3\",\"Value\":\"264e819dd2809a86c7689acd0ba4a34dbf8a39b706678f5cb4f15d3ce2d93760\"},{\"Type\":\"hash\",\"AlgID\":\"sm3\",\"Value\":\"19d00548341b6c475a3241f1a8cff52ab2c7ae843f3bdd453aa1d3d5bc7337fa\"}],\"PubSD\":[{\"Type\":\"DS\",\"AlgID\":\"sm2\",\"TBSData\":{\"Type\":\"Binding\",\"BType\":\"hash\"},\"Signature\":\"3045022100b3ced03dfb1dbfe806d2f929b108d250f55db4991eb16a53ec3842f5f6711c4f022024acc2f81c5ca4c0aefa6cc9ace04b7db16188a7a535b97e922086f0aba2be13\"},{\"Type\":\"PubKey\",\"AlgID\":\"sm2\",\"KeyValue\":\"0407f79b28a17a752b3aae4305c98b48978213832729a2571850b1310b2bc9fe8fee039ccf25ebfeac27502414d9fcef792d777183c98893d226171c2f7a3289a2\"}],\"Extension\":{\"Timestamp\":1788079243,\"KeyVersion\":\"v1-TxLeOmf7bqU223\"}}","ContentPropagator":"001191440300708461136T1WFUO","PropagateID":"919dbceefec3c18aea6f82bc1b500611-Bjbd","ReservedCode2":"{\"Type\":\" TC260PG\",\"Version\":1,\"Bindings\":[{\"Type\":\"soft\",\"AlgID\":\"sm3\",\"Value\":\"264e819dd2809a86c7689acd0ba4a34dbf8a39b706678f5cb4f15d3ce2d93760\"},{\"Type\":\"hash\",\"AlgID\":\"sm3\",\"Value\":\"19d00548341b6c475a3241f1a8cff52ab2c7ae843f3bdd453aa1d3d5bc7337fa\"}],\"PubSD\":[{\"Type\":\"DS\",\"AlgID\":\"sm2\",\"TBSData\":{\"Type\":\"Binding\",\"BType\":\"hash\"},\"Signature\":\"3046022100cea168222822a8b64ba2d90248db107aead8931d162142bb6186b4da1091e9dc0221009f1db984b9a6c8de8de54f102c23a5489ce1ed475301b49a40f4c82fc6651962\"},{\"Type\":\"PubKey\",\"AlgID\":\"sm2\",\"KeyValue\":\"0407f79b28a17a752b3aae4305c98b48978213832729a2571850b1310b2bc9fe8fee039ccf25ebfeac27502414d9fcef792d777183c98893d226171c2f7a3289a2\"}],\"Extension\":{\"Timestamp\":1788079243,\"KeyVersion\":\"v1-TxLeOmf7bqU223\"}}"}</vt:lpwstr>
  </property>
  <property fmtid="{D5CDD505-2E9C-101B-9397-08002B2CF9AE}" pid="3" name="KSOProductBuildVer">
    <vt:lpwstr>2052-12.1.0.16929</vt:lpwstr>
  </property>
  <property fmtid="{D5CDD505-2E9C-101B-9397-08002B2CF9AE}" pid="4" name="ICV">
    <vt:lpwstr>A44C2DEA3C0B43A8A2F13FA614C13253_12</vt:lpwstr>
  </property>
</Properties>
</file>