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v3.2.5. </w:t>
      </w:r>
      <w:hyperlink r:id="rId4">
        <w:r>
          <w:rPr>
            <w:rStyle w:val="Hyperlink"/>
          </w:rPr>
          <w:t>github.com/mzyphur/gas-tax</w:t>
        </w:r>
      </w:hyperlink>
      <w:r>
        <w:rPr/>
        <w:t xml:space="preserve">. ORCID: </w:t>
      </w:r>
      <w:hyperlink r:id="rId5">
        <w:r>
          <w:rPr>
            <w:rStyle w:val="Hyperlink"/>
          </w:rPr>
          <w:t>0000-0003-3237-7892</w:t>
        </w:r>
      </w:hyperlink>
      <w:r>
        <w:rPr/>
        <w:t xml:space="preserve">. DOI: forthcoming via CrossRef (see </w:t>
      </w:r>
      <w:r>
        <w:rPr>
          <w:rStyle w:val="VerbatimChar"/>
        </w:rPr>
        <w:t>CITATION.cff</w:t>
      </w:r>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what is and is not in this repository,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8"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v3.2.5 (this version)</w:t>
      </w:r>
      <w:r>
        <w:rPr/>
        <w:t xml:space="preserve"> is the canonical anti-LLM-tic typographic-restraint round. It addresses two LLM-drafting tics in sequence: excessive bolding (the first pass) and em-dash overuse (the second pass, originally tracked internally as v3.2.6 before being folded back into v3.2.5 to keep the DOI-citable version label stable). Both passes are consolidated here under the single v3.2.5 tag. The substantive claims and numbers are identical to v3.2.4.</w:t>
      </w:r>
    </w:p>
    <w:p>
      <w:pPr>
        <w:pStyle w:val="BodyText"/>
        <w:rPr/>
      </w:pPr>
      <w:r>
        <w:rPr>
          <w:i/>
          <w:iCs/>
        </w:rPr>
        <w:t>Bolding pass.</w:t>
      </w:r>
      <w:r>
        <w:rPr/>
        <w:t xml:space="preserv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v3.2.4 (bolding every notable dollar figure, every percentage, every claim quoted verbatim, every bullet lead-in) was the LLM-drafting tic that creates a wall of false emphasis where no single anchor stands out. The bolding pass cut inline-emphasis bolding aggressively: 198 of 238 markdown </w:t>
      </w:r>
      <w:r>
        <w:rPr>
          <w:rStyle w:val="VerbatimChar"/>
        </w:rPr>
        <w:t>**bold**</w:t>
      </w:r>
      <w:r>
        <w:rPr/>
        <w:t xml:space="preserve"> spans removed (83% reduction), keeping only the structural scanning anchors readers actually use, namely the cover headline-finding sentence; the colophon labels (Citation, License, Currency); the three claim quotes in the verdict block; the A$17 bn pull-quote; Part 1’s four “Heads of revenue” pseudo-headings; recommendation labels in the Conclusion; Appendix B’s version-history tags; Appendix D’s section labels; and table-cell values in the headline data table (Appendix A) and FX rate table (Appendix D).</w:t>
      </w:r>
    </w:p>
    <w:p>
      <w:pPr>
        <w:pStyle w:val="BodyText"/>
        <w:rPr/>
      </w:pPr>
      <w:r>
        <w:rPr>
          <w:i/>
          <w:iCs/>
        </w:rPr>
        <w:t>Em-dash pass.</w:t>
      </w:r>
      <w:r>
        <w:rPr/>
        <w:t xml:space="preserve"> The same comparator survey, extended to em-dash density, found those three professional reports use </w:t>
      </w:r>
      <w:r>
        <w:rPr>
          <w:b/>
          <w:bCs/>
        </w:rPr>
        <w:t>zero em-dashes</w:t>
      </w:r>
      <w:r>
        <w:rPr/>
        <w:t xml:space="preserve"> as a working norm (they replace them with commas, periods, semicolons, or parentheses; en-dashes are reserved for numeric ranges only). gas-tax v3.2.4 carried </w:t>
      </w:r>
      <w:r>
        <w:rPr>
          <w:b/>
          <w:bCs/>
        </w:rPr>
        <w:t>10.1 em-dashes per 1000 words</w:t>
      </w:r>
      <w:r>
        <w:rPr/>
        <w:t xml:space="preserve"> (165 total in the rendered PDF), the classic Claude-family pattern of joining clauses with </w:t>
      </w:r>
      <w:r>
        <w:rPr>
          <w:rStyle w:val="VerbatimChar"/>
        </w:rPr>
        <w:t>—</w:t>
      </w:r>
      <w:r>
        <w:rPr/>
        <w:t xml:space="preserve"> where a human writer would use a comma. This is even more diagnostic of LLM drafting than the bolding tic. The em-dash pass swept all 173 em-dashes in the markdown source to commas (163), semicolons (10 for “— and / — but / — that is” connectors), or parentheses (3 clarifying-enumeration cases manually cleaned up where comma replacement would have made the list ambiguous: the four-heads-of-revenue list, the industry-defence list, and the </w:t>
      </w:r>
      <w:r>
        <w:rPr>
          <w:i/>
          <w:iCs/>
        </w:rPr>
        <w:t>upper-bound</w:t>
      </w:r>
      <w:r>
        <w:rPr/>
        <w:t xml:space="preserve"> expression aside). Conventional title-formatting em-dashes were restored in </w:t>
      </w:r>
      <w:r>
        <w:rPr>
          <w:rStyle w:val="VerbatimChar"/>
        </w:rPr>
        <w:t>## Part N — Title</w:t>
      </w:r>
      <w:r>
        <w:rPr/>
        <w:t xml:space="preserve">, </w:t>
      </w:r>
      <w:r>
        <w:rPr>
          <w:rStyle w:val="VerbatimChar"/>
        </w:rPr>
        <w:t>## Appendix X — Title</w:t>
      </w:r>
      <w:r>
        <w:rPr/>
        <w:t xml:space="preserve">, </w:t>
      </w:r>
      <w:r>
        <w:rPr>
          <w:rStyle w:val="VerbatimChar"/>
        </w:rPr>
        <w:t>### N.M Subsection — Subtitle</w:t>
      </w:r>
      <w:r>
        <w:rPr/>
        <w:t xml:space="preserve"> headings and matching TOC entries and inline appendix references. After the sweep, the rendered PDF carries zero em-dashes in body prose and only the conventional heading and TOC em-dashes that are not the LLM tic.</w:t>
      </w:r>
    </w:p>
    <w:p>
      <w:pPr>
        <w:pStyle w:val="BodyText"/>
        <w:rPr/>
      </w:pPr>
      <w:r>
        <w:rPr/>
        <w:t>No claim-level numbers, no factual content, no structural ordering changes from v3.2.4. Only typographic restraint. The discipline behind this round is codified in general-repo v0.22.8 + v0.22.9 (</w:t>
      </w:r>
      <w:r>
        <w:rPr>
          <w:rStyle w:val="VerbatimChar"/>
        </w:rPr>
        <w:t>POLICY_DOCS.md</w:t>
      </w:r>
      <w:r>
        <w:rPr/>
        <w:t xml:space="preserve"> § Formatting restraint; </w:t>
      </w:r>
      <w:r>
        <w:rPr>
          <w:rStyle w:val="VerbatimChar"/>
        </w:rPr>
        <w:t>methodology/drafting_protocol.md</w:t>
      </w:r>
      <w:r>
        <w:rPr/>
        <w:t xml:space="preserve"> § Visual emphasis budget; </w:t>
      </w:r>
      <w:r>
        <w:rPr>
          <w:rStyle w:val="VerbatimChar"/>
        </w:rPr>
        <w:t>methodology/voice_review_protocol.md</w:t>
      </w:r>
      <w:r>
        <w:rPr/>
        <w:t xml:space="preserve"> § Formatting checks; </w:t>
      </w:r>
      <w:r>
        <w:rPr>
          <w:rStyle w:val="VerbatimChar"/>
        </w:rPr>
        <w:t>agent_briefs/06_copy_editor_brief.md</w:t>
      </w:r>
      <w:r>
        <w:rPr/>
        <w:t xml:space="preserve"> § Formatting-tic audit; </w:t>
      </w:r>
      <w:r>
        <w:rPr>
          <w:rStyle w:val="VerbatimChar"/>
        </w:rPr>
        <w:t>agent_briefs/11_voice_review_brief.md</w:t>
      </w:r>
      <w:r>
        <w:rPr/>
        <w:t xml:space="preserve"> § Formatting audit; </w:t>
      </w:r>
      <w:r>
        <w:rPr>
          <w:rStyle w:val="VerbatimChar"/>
        </w:rPr>
        <w:t>methodology/dissemination_workflow.md</w:t>
      </w:r>
      <w:r>
        <w:rPr/>
        <w:t xml:space="preserve"> § formatting restraint applies to outreach; the new measurement script </w:t>
      </w:r>
      <w:r>
        <w:rPr>
          <w:rStyle w:val="VerbatimChar"/>
        </w:rPr>
        <w:t>scripts/check_formatting_restraint.py</w:t>
      </w:r>
      <w:r>
        <w:rPr/>
        <w:t xml:space="preserve">) so future Instats publications start at the Grattan baseline rather than the LLM-tic baseline.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gas-tax, bolding every notable dollar figure, every percentage, every claim quoted verbatim, every bullet lead-in, was an LLM-drafting tic that created a wall of false emphasis where no single anchor stood out. v3.2.5 cuts inline-emphasis bolding aggressively: 198 of 238 markdown </w:t>
      </w:r>
      <w:r>
        <w:rPr>
          <w:rStyle w:val="VerbatimChar"/>
        </w:rPr>
        <w:t>**bold**</w:t>
      </w:r>
      <w:r>
        <w:rPr/>
        <w:t xml:space="preserve"> spans removed (83% reduction), keeping only the structural scanning anchors readers actually use, the cover headline-finding sentence; the colophon labels (Citation, License, Currency); the three claim quotes in the verdict block; the A$17 bn pull-quote; Part 1’s four “Heads of revenue” pseudo-headings; the recommendation labels in the Conclusion; Appendix B’s version-history tags; Appendix D’s section labels; and table-cell values in the headline data table (Appendix A) and FX rate table (Appendix D). No claim-level numbers, no factual content, no structural ordering changes, only typographic restraint. The discipline behind this cut is codified in general-repo v0.22.8 (</w:t>
      </w:r>
      <w:r>
        <w:rPr>
          <w:rStyle w:val="VerbatimChar"/>
        </w:rPr>
        <w:t>methodology/drafting_protocol.md</w:t>
      </w:r>
      <w:r>
        <w:rPr/>
        <w:t xml:space="preserve"> § Visual emphasis budget + </w:t>
      </w:r>
      <w:r>
        <w:rPr>
          <w:rStyle w:val="VerbatimChar"/>
        </w:rPr>
        <w:t>policy_docs/design_feedback/DESIGN_FEEDBACK.md</w:t>
      </w:r>
      <w:r>
        <w:rPr/>
        <w:t xml:space="preserve"> § Bolding-restraint discipline + </w:t>
      </w:r>
      <w:r>
        <w:rPr>
          <w:rStyle w:val="VerbatimChar"/>
        </w:rPr>
        <w:t>agent_briefs/06_copy_editor_brief.md</w:t>
      </w:r>
      <w:r>
        <w:rPr/>
        <w:t xml:space="preserve"> § Bold-frequency audit) so future Instats publications start at the Grattan baseline rather than the LLM-tic baseline.</w:t>
      </w:r>
    </w:p>
    <w:p>
      <w:pPr>
        <w:pStyle w:val="BodyText"/>
        <w:rPr/>
      </w:pPr>
      <w:r>
        <w:rPr>
          <w:b/>
          <w:bCs/>
        </w:rPr>
        <w:t>v3.2.4</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A$1.75 bn, A$1.55 bn, A$1.25 bn)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Appendix D — About this report, which carries the report-scope description, online-edition pointer, methodology summary, full FX rate table, and AI assistance disclosure. (d) Executive summary “The finding” now sits before the Table of Contents rather than after it,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the Future Fund per-resident figure recomputed at A$9,646 (previously A$10,050 against a rounded 26.6 m base); Norway’s population denominator updated to SSB Q4 2025 / 1 January 2026 (5,627,400), GPFG per-resident recomputed at A$491,000 (previously A$494,000); Norway’s 2024 petroleum net cash flow figure in the international comparison dossier updated from the older NOK 680 bn estimate to the verified actual NOK 702.2 bn,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A$14.80 per tonne on a power-generation basis, with a footnote explaining why city-gas LNG would imply a higher weighted average; placed the PRRT history series explicitly on a cash receipts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2026-05-17T10:36:32Z</dcterms:created>
  <dc:creator/>
  <dc:description/>
  <dc:language>en-AU</dc:language>
  <cp:lastModifiedBy/>
  <dcterms:modified xsi:type="dcterms:W3CDTF">2026-05-17T10:36:32Z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