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v3.2.4. </w:t>
      </w:r>
      <w:hyperlink r:id="rId4">
        <w:r>
          <w:rPr>
            <w:rStyle w:val="Hyperlink"/>
          </w:rPr>
          <w:t>github.com/mzyphur/gas-tax</w:t>
        </w:r>
      </w:hyperlink>
      <w:r>
        <w:rPr/>
        <w:t xml:space="preserve">. ORCID: </w:t>
      </w:r>
      <w:hyperlink r:id="rId5">
        <w:r>
          <w:rPr>
            <w:rStyle w:val="Hyperlink"/>
          </w:rPr>
          <w:t>0000-0003-3237-7892</w:t>
        </w:r>
      </w:hyperlink>
      <w:r>
        <w:rPr/>
        <w:t xml:space="preserve">. DOI: forthcoming via CrossRef (see </w:t>
      </w:r>
      <w:r>
        <w:rPr>
          <w:rStyle w:val="VerbatimChar"/>
        </w:rPr>
        <w:t>CITATION.cff</w:t>
      </w:r>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d-about-this-report">
        <w:r>
          <w:rPr>
            <w:rStyle w:val="Hyperlink"/>
          </w:rPr>
          <w:t>Appendix D</w:t>
        </w:r>
      </w:hyperlink>
      <w:r>
        <w:rPr/>
        <w:t>. Native figures are retained in parentheses where the audit trail benefits.</w:t>
      </w:r>
    </w:p>
    <w:p>
      <w:pPr>
        <w:pStyle w:val="BodyText"/>
        <w:rPr/>
      </w:pPr>
      <w:r>
        <w:rPr/>
        <w:t xml:space="preserve">About this report, the methodology summary, the AI assistance disclosure, and the full FX table are in </w:t>
      </w:r>
      <w:hyperlink w:anchor="appendix-d-about-this-report">
        <w:r>
          <w:rPr>
            <w:rStyle w:val="Hyperlink"/>
          </w:rPr>
          <w:t>Appendix D</w:t>
        </w:r>
      </w:hyperlink>
      <w:r>
        <w:rPr/>
        <w:t xml:space="preserve">. The public audit package — what is and is not in this repository — is described in </w:t>
      </w:r>
      <w:hyperlink w:anchor="appendix-c-public-source-package">
        <w:r>
          <w:rPr>
            <w:rStyle w:val="Hyperlink"/>
          </w:rPr>
          <w:t>Appendix C</w:t>
        </w:r>
      </w:hyperlink>
      <w:r>
        <w:rPr/>
        <w:t xml:space="preserve">. The version history is in </w:t>
      </w:r>
      <w:hyperlink w:anchor="Xdecad1d323003472d7853327632f59dcf536132">
        <w:r>
          <w:rPr>
            <w:rStyle w:val="Hyperlink"/>
          </w:rPr>
          <w:t>Appendix B</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 xml:space="preserve">Treasury’s 2026-27 Budget estimates the Petroleum Resource Rent Tax (PRRT) at </w:t>
      </w:r>
      <w:r>
        <w:rPr>
          <w:b/>
          <w:bCs/>
        </w:rPr>
        <w:t>A$1.4 billion</w:t>
      </w:r>
      <w:r>
        <w:rPr/>
        <w:t xml:space="preserve"> in 2025-26 and </w:t>
      </w:r>
      <w:r>
        <w:rPr>
          <w:b/>
          <w:bCs/>
        </w:rPr>
        <w:t>A$1.9 billion</w:t>
      </w:r>
      <w:r>
        <w:rPr/>
        <w:t xml:space="preserve"> in 2026-27. In the same two years, beer excise is forecast at </w:t>
      </w:r>
      <w:r>
        <w:rPr>
          <w:b/>
          <w:bCs/>
        </w:rPr>
        <w:t>A$2.71 billion</w:t>
      </w:r>
      <w:r>
        <w:rPr/>
        <w:t xml:space="preserve"> and </w:t>
      </w:r>
      <w:r>
        <w:rPr>
          <w:b/>
          <w:bCs/>
        </w:rPr>
        <w:t>A$2.81 billion</w:t>
      </w:r>
      <w:r>
        <w:rPr/>
        <w:t>.</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w:t>
      </w:r>
      <w:r>
        <w:rPr>
          <w:b/>
          <w:bCs/>
        </w:rPr>
        <w:t>A$1.75 bn</w:t>
      </w:r>
      <w:r>
        <w:rPr/>
        <w:t xml:space="preserve"> in 2027-28, </w:t>
      </w:r>
      <w:r>
        <w:rPr>
          <w:b/>
          <w:bCs/>
        </w:rPr>
        <w:t>A$1.55 bn</w:t>
      </w:r>
      <w:r>
        <w:rPr/>
        <w:t xml:space="preserve"> in 2028-29, </w:t>
      </w:r>
      <w:r>
        <w:rPr>
          <w:b/>
          <w:bCs/>
        </w:rPr>
        <w:t>A$1.25 bn</w:t>
      </w:r>
      <w:r>
        <w:rPr/>
        <w:t xml:space="preserve"> in 2029-30).</w:t>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who want a primary-source-anchored account of how much the country actually collects from its gas exports and how that figure compares with current Budget choices. The audience is voters, journalists, parliamentary staff, policy-engaged citizens, academics, and NGOs. It is not a brief for one specific policy lever. Its purpose is to make the underlying numbers, accounting bases, and comparator frameworks accessible enough for readers to trace the claims and form their own view.</w:t>
      </w:r>
    </w:p>
    <w:p>
      <w:pPr>
        <w:pStyle w:val="InstatsExecBand"/>
        <w:rPr/>
      </w:pPr>
      <w:r>
        <w:rPr/>
        <w:t>It also sets out the strongest version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w:t>
      </w:r>
      <w:r>
        <w:rPr>
          <w:b/>
          <w:bCs/>
        </w:rPr>
        <w:t>2.13 per cent of total receipts</w:t>
      </w:r>
      <w:r>
        <w:rPr/>
        <w:t xml:space="preserve">, </w:t>
      </w:r>
      <w:r>
        <w:rPr>
          <w:b/>
          <w:bCs/>
        </w:rPr>
        <w:t>2.04 per cent of total expenses</w:t>
      </w:r>
      <w:r>
        <w:rPr/>
        <w:t xml:space="preserve">, </w:t>
      </w:r>
      <w:r>
        <w:rPr>
          <w:b/>
          <w:bCs/>
        </w:rPr>
        <w:t>53.9 per cent of the underlying cash deficit</w:t>
      </w:r>
      <w:r>
        <w:rPr/>
        <w:t xml:space="preserve">, roughly equal to annual Child Care Subsidy spending, close to the annual JobSeeker income-support line, and almost </w:t>
      </w:r>
      <w:r>
        <w:rPr>
          <w:b/>
          <w:bCs/>
        </w:rPr>
        <w:t>nine times</w:t>
      </w:r>
      <w:r>
        <w:rPr/>
        <w:t xml:space="preserve">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7"/>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w:t>
      </w:r>
      <w:r>
        <w:rPr>
          <w:b/>
          <w:bCs/>
        </w:rPr>
        <w:t>A$16.42/t</w:t>
      </w:r>
      <w:r>
        <w:rPr/>
        <w:t xml:space="preserve">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7"/>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w:t>
      </w:r>
      <w:r>
        <w:rPr>
          <w:b/>
          <w:bCs/>
        </w:rPr>
        <w:t>A$1.35 billion is PRRT</w:t>
      </w:r>
      <w:r>
        <w:rPr/>
        <w:t>, and the remainder is other industry taxes.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8"/>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8"/>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8"/>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X8eb7381e2a8b189ff29d0aa0b702ee54abe0fd2">
        <w:bookmarkStart w:id="5" w:name="part-1-what-australia-actually-collects"/>
        <w:r>
          <w:rPr>
            <w:rStyle w:val="Hyperlink"/>
          </w:rPr>
          <w:t>Part 1 — What Australia actually collects</w:t>
        </w:r>
      </w:hyperlink>
    </w:p>
    <w:p>
      <w:pPr>
        <w:pStyle w:val="Compact"/>
        <w:numPr>
          <w:ilvl w:val="0"/>
          <w:numId w:val="8"/>
        </w:numPr>
        <w:rPr/>
      </w:pPr>
      <w:hyperlink w:anchor="Xa4a00580d3056e10f75fe5b98d17695fd389adc">
        <w:r>
          <w:rPr>
            <w:rStyle w:val="Hyperlink"/>
          </w:rPr>
          <w:t>1.1   The four heads of revenue</w:t>
        </w:r>
      </w:hyperlink>
    </w:p>
    <w:p>
      <w:pPr>
        <w:pStyle w:val="Compact"/>
        <w:numPr>
          <w:ilvl w:val="0"/>
          <w:numId w:val="8"/>
        </w:numPr>
        <w:rPr/>
      </w:pPr>
      <w:hyperlink w:anchor="Xcf21b791eab80b7e94776bc80bec3e519df06f2">
        <w:r>
          <w:rPr>
            <w:rStyle w:val="Hyperlink"/>
          </w:rPr>
          <w:t>1.2   PRRT in detail — the headline tax that mostly doesn’t collect</w:t>
        </w:r>
      </w:hyperlink>
    </w:p>
    <w:p>
      <w:pPr>
        <w:pStyle w:val="Compact"/>
        <w:numPr>
          <w:ilvl w:val="0"/>
          <w:numId w:val="8"/>
        </w:numPr>
        <w:rPr/>
      </w:pPr>
      <w:hyperlink w:anchor="Xc5c9dfb021fddb1b8119f5fb6dd5764746b049b">
        <w:r>
          <w:rPr>
            <w:rStyle w:val="Hyperlink"/>
          </w:rPr>
          <w:t>1.3   The 2023 deductions cap — a worked example in fiscal under-delivery</w:t>
        </w:r>
      </w:hyperlink>
    </w:p>
    <w:p>
      <w:pPr>
        <w:pStyle w:val="Compact"/>
        <w:numPr>
          <w:ilvl w:val="0"/>
          <w:numId w:val="8"/>
        </w:numPr>
        <w:rPr/>
      </w:pPr>
      <w:hyperlink w:anchor="Xfb75e06f762187a3a873b2858a842706ee67da2">
        <w:r>
          <w:rPr>
            <w:rStyle w:val="Hyperlink"/>
          </w:rPr>
          <w:t>1.4   Corporate income tax — the ATO’s decade of zeros</w:t>
        </w:r>
      </w:hyperlink>
    </w:p>
    <w:p>
      <w:pPr>
        <w:pStyle w:val="Compact"/>
        <w:numPr>
          <w:ilvl w:val="0"/>
          <w:numId w:val="8"/>
        </w:numPr>
        <w:rPr/>
      </w:pPr>
      <w:hyperlink w:anchor="X06c0ece890674efc080050cbd448515a7ffff8e">
        <w:r>
          <w:rPr>
            <w:rStyle w:val="Hyperlink"/>
          </w:rPr>
          <w:t>1.5   State royalties and the NWS grandfathered Commonwealth royalty</w:t>
        </w:r>
      </w:hyperlink>
      <w:bookmarkEnd w:id="5"/>
    </w:p>
    <w:p>
      <w:pPr>
        <w:pStyle w:val="Heading4"/>
        <w:rPr/>
      </w:pPr>
      <w:hyperlink w:anchor="Xb5d195b6178af8534aa9e9eab66ffb67aa6a9e1">
        <w:bookmarkStart w:id="6" w:name="Xd71e7d8486524f410788e3a3382bd56a9409587"/>
        <w:r>
          <w:rPr>
            <w:rStyle w:val="Hyperlink"/>
          </w:rPr>
          <w:t>Part 2 — The Pocock comparisons (and the cleaner ones)</w:t>
        </w:r>
      </w:hyperlink>
    </w:p>
    <w:p>
      <w:pPr>
        <w:pStyle w:val="Compact"/>
        <w:numPr>
          <w:ilvl w:val="0"/>
          <w:numId w:val="8"/>
        </w:numPr>
        <w:rPr/>
      </w:pPr>
      <w:hyperlink w:anchor="X46e066611b7be367e054dc1a702021beb053ce0">
        <w:r>
          <w:rPr>
            <w:rStyle w:val="Hyperlink"/>
          </w:rPr>
          <w:t>2.1   The beer-versus-PRRT exchange</w:t>
        </w:r>
      </w:hyperlink>
    </w:p>
    <w:p>
      <w:pPr>
        <w:pStyle w:val="Compact"/>
        <w:numPr>
          <w:ilvl w:val="0"/>
          <w:numId w:val="8"/>
        </w:numPr>
        <w:rPr/>
      </w:pPr>
      <w:hyperlink w:anchor="X7648b82aa587314acb2a4b98d7d106b6c28ed5f">
        <w:r>
          <w:rPr>
            <w:rStyle w:val="Hyperlink"/>
          </w:rPr>
          <w:t>2.2   The wider comparator picture</w:t>
        </w:r>
      </w:hyperlink>
    </w:p>
    <w:p>
      <w:pPr>
        <w:pStyle w:val="Compact"/>
        <w:numPr>
          <w:ilvl w:val="0"/>
          <w:numId w:val="8"/>
        </w:numPr>
        <w:rPr/>
      </w:pPr>
      <w:hyperlink w:anchor="Xe4b3e4bec663cd63f901273ed0b30512acda275">
        <w:r>
          <w:rPr>
            <w:rStyle w:val="Hyperlink"/>
          </w:rPr>
          <w:t>2.3   The Dissenting Report and the HECS / nurses extensions</w:t>
        </w:r>
      </w:hyperlink>
      <w:bookmarkEnd w:id="6"/>
    </w:p>
    <w:p>
      <w:pPr>
        <w:pStyle w:val="Heading4"/>
        <w:rPr/>
      </w:pPr>
      <w:hyperlink w:anchor="part-3-how-other-countries-do-this_1">
        <w:bookmarkStart w:id="7" w:name="part-3-how-other-countries-do-this"/>
        <w:r>
          <w:rPr>
            <w:rStyle w:val="Hyperlink"/>
          </w:rPr>
          <w:t>Part 3 — How other countries do this</w:t>
        </w:r>
      </w:hyperlink>
    </w:p>
    <w:p>
      <w:pPr>
        <w:pStyle w:val="Compact"/>
        <w:numPr>
          <w:ilvl w:val="0"/>
          <w:numId w:val="8"/>
        </w:numPr>
        <w:rPr/>
      </w:pPr>
      <w:hyperlink w:anchor="Xa6338a95a3aa6e9d4d4000c98038a4fceb5df69">
        <w:r>
          <w:rPr>
            <w:rStyle w:val="Hyperlink"/>
          </w:rPr>
          <w:t>3.1   Norway — the gold standard</w:t>
        </w:r>
      </w:hyperlink>
    </w:p>
    <w:p>
      <w:pPr>
        <w:pStyle w:val="Compact"/>
        <w:numPr>
          <w:ilvl w:val="0"/>
          <w:numId w:val="8"/>
        </w:numPr>
        <w:rPr/>
      </w:pPr>
      <w:hyperlink w:anchor="X952919bff3aabc2622a5b058e26f20c1717bfde">
        <w:r>
          <w:rPr>
            <w:rStyle w:val="Hyperlink"/>
          </w:rPr>
          <w:t>3.2   Qatar — state ownership replaces tax</w:t>
        </w:r>
      </w:hyperlink>
    </w:p>
    <w:p>
      <w:pPr>
        <w:pStyle w:val="Compact"/>
        <w:numPr>
          <w:ilvl w:val="0"/>
          <w:numId w:val="8"/>
        </w:numPr>
        <w:rPr/>
      </w:pPr>
      <w:hyperlink w:anchor="Xfdb12ce3534c43390734ac4a90161f5faee6c77">
        <w:r>
          <w:rPr>
            <w:rStyle w:val="Hyperlink"/>
          </w:rPr>
          <w:t>3.3   United States — federal royalty + state severance + corporate income tax</w:t>
        </w:r>
      </w:hyperlink>
    </w:p>
    <w:p>
      <w:pPr>
        <w:pStyle w:val="Compact"/>
        <w:numPr>
          <w:ilvl w:val="0"/>
          <w:numId w:val="8"/>
        </w:numPr>
        <w:rPr/>
      </w:pPr>
      <w:hyperlink w:anchor="Xf93aa3f5c6fb027403b124f86a4cb8e555e2c24">
        <w:r>
          <w:rPr>
            <w:rStyle w:val="Hyperlink"/>
          </w:rPr>
          <w:t>3.4   United Kingdom — Ring Fence CT + Energy Profits Levy</w:t>
        </w:r>
      </w:hyperlink>
    </w:p>
    <w:p>
      <w:pPr>
        <w:pStyle w:val="Compact"/>
        <w:numPr>
          <w:ilvl w:val="0"/>
          <w:numId w:val="8"/>
        </w:numPr>
        <w:rPr/>
      </w:pPr>
      <w:hyperlink w:anchor="Xf7aa47a6691c1edaa7d869355a3db8b34b806a7">
        <w:r>
          <w:rPr>
            <w:rStyle w:val="Hyperlink"/>
          </w:rPr>
          <w:t>3.5   Malaysia — production-sharing contracts via PETRONAS</w:t>
        </w:r>
      </w:hyperlink>
    </w:p>
    <w:p>
      <w:pPr>
        <w:pStyle w:val="Compact"/>
        <w:numPr>
          <w:ilvl w:val="0"/>
          <w:numId w:val="8"/>
        </w:numPr>
        <w:rPr/>
      </w:pPr>
      <w:hyperlink w:anchor="X0f5f7291aa6d8d89a19894c1ea81b9e2b95a017">
        <w:r>
          <w:rPr>
            <w:rStyle w:val="Hyperlink"/>
          </w:rPr>
          <w:t>3.6   Japan — the destination-market angle</w:t>
        </w:r>
      </w:hyperlink>
    </w:p>
    <w:p>
      <w:pPr>
        <w:pStyle w:val="Compact"/>
        <w:numPr>
          <w:ilvl w:val="0"/>
          <w:numId w:val="8"/>
        </w:numPr>
        <w:rPr/>
      </w:pPr>
      <w:hyperlink w:anchor="X88168bf3e6d8b4d4f391d52ee29bb96821f3d5c">
        <w:r>
          <w:rPr>
            <w:rStyle w:val="Hyperlink"/>
          </w:rPr>
          <w:t>3.7   The Middle East lesson</w:t>
        </w:r>
      </w:hyperlink>
      <w:bookmarkEnd w:id="7"/>
    </w:p>
    <w:p>
      <w:pPr>
        <w:pStyle w:val="Heading4"/>
        <w:rPr/>
      </w:pPr>
      <w:hyperlink w:anchor="X83668cd0f25fa165a365abc28f694291fdab17d">
        <w:bookmarkStart w:id="8" w:name="Xda87968ad6adc1a5b6b25f2d6c5d48a99e42b6e"/>
        <w:r>
          <w:rPr>
            <w:rStyle w:val="Hyperlink"/>
          </w:rPr>
          <w:t>Part 4 — The industry’s case, in its own words</w:t>
        </w:r>
      </w:hyperlink>
    </w:p>
    <w:p>
      <w:pPr>
        <w:pStyle w:val="Compact"/>
        <w:numPr>
          <w:ilvl w:val="0"/>
          <w:numId w:val="8"/>
        </w:numPr>
        <w:rPr/>
      </w:pPr>
      <w:hyperlink w:anchor="X93824a89579ba39d4b930977c2b365c6dcbf9cc">
        <w:r>
          <w:rPr>
            <w:rStyle w:val="Hyperlink"/>
          </w:rPr>
          <w:t>4.1   “We paid for the infrastructure”</w:t>
        </w:r>
      </w:hyperlink>
    </w:p>
    <w:p>
      <w:pPr>
        <w:pStyle w:val="Compact"/>
        <w:numPr>
          <w:ilvl w:val="0"/>
          <w:numId w:val="8"/>
        </w:numPr>
        <w:rPr/>
      </w:pPr>
      <w:hyperlink w:anchor="Xaa222d7f6acb36dd4b670d14bedff5f9ceab3f6">
        <w:r>
          <w:rPr>
            <w:rStyle w:val="Hyperlink"/>
          </w:rPr>
          <w:t>4.2   “Long-term contracts mean we don’t realise spot prices”</w:t>
        </w:r>
      </w:hyperlink>
    </w:p>
    <w:p>
      <w:pPr>
        <w:pStyle w:val="Compact"/>
        <w:numPr>
          <w:ilvl w:val="0"/>
          <w:numId w:val="8"/>
        </w:numPr>
        <w:rPr/>
      </w:pPr>
      <w:hyperlink w:anchor="Xb12e9b55f366e827cd9f622aeb1cbd2e753c6ea">
        <w:r>
          <w:rPr>
            <w:rStyle w:val="Hyperlink"/>
          </w:rPr>
          <w:t>4.3   “Norway proves a high rate doesn’t deter investment — IF the design is cash-flow neutral”</w:t>
        </w:r>
      </w:hyperlink>
    </w:p>
    <w:p>
      <w:pPr>
        <w:pStyle w:val="Compact"/>
        <w:numPr>
          <w:ilvl w:val="0"/>
          <w:numId w:val="8"/>
        </w:numPr>
        <w:rPr/>
      </w:pPr>
      <w:hyperlink w:anchor="Xaccbd30f65e027f53bb0375af6ac2e36af0e2bd">
        <w:r>
          <w:rPr>
            <w:rStyle w:val="Hyperlink"/>
          </w:rPr>
          <w:t>4.4   “The 2023 reforms already happened”</w:t>
        </w:r>
      </w:hyperlink>
    </w:p>
    <w:p>
      <w:pPr>
        <w:pStyle w:val="Compact"/>
        <w:numPr>
          <w:ilvl w:val="0"/>
          <w:numId w:val="8"/>
        </w:numPr>
        <w:rPr/>
      </w:pPr>
      <w:hyperlink w:anchor="Xacaf8928d389920f18562dcb36667fd8e9a3fda">
        <w:r>
          <w:rPr>
            <w:rStyle w:val="Hyperlink"/>
          </w:rPr>
          <w:t>4.5   “We do pay — A$21.9 billion in 2024-25”</w:t>
        </w:r>
      </w:hyperlink>
    </w:p>
    <w:p>
      <w:pPr>
        <w:pStyle w:val="Compact"/>
        <w:numPr>
          <w:ilvl w:val="0"/>
          <w:numId w:val="8"/>
        </w:numPr>
        <w:rPr/>
      </w:pPr>
      <w:hyperlink w:anchor="Xd7081d5b2cc83fa833aa7bf1b83d0fdb9cd182f">
        <w:r>
          <w:rPr>
            <w:rStyle w:val="Hyperlink"/>
          </w:rPr>
          <w:t>4.6   What survives the critique</w:t>
        </w:r>
      </w:hyperlink>
      <w:bookmarkEnd w:id="8"/>
    </w:p>
    <w:p>
      <w:pPr>
        <w:pStyle w:val="Heading4"/>
        <w:rPr/>
      </w:pPr>
      <w:hyperlink w:anchor="X7a272a2035ec9d6da01afa0c743b4f7ded31476">
        <w:bookmarkStart w:id="9" w:name="part-5-what-a17-billion-a-year-would-buy"/>
        <w:r>
          <w:rPr>
            <w:rStyle w:val="Hyperlink"/>
          </w:rPr>
          <w:t>Part 5 — What A$17 billion a year would buy</w:t>
        </w:r>
      </w:hyperlink>
    </w:p>
    <w:p>
      <w:pPr>
        <w:pStyle w:val="Compact"/>
        <w:numPr>
          <w:ilvl w:val="0"/>
          <w:numId w:val="8"/>
        </w:numPr>
        <w:rPr/>
      </w:pPr>
      <w:hyperlink w:anchor="X505abfc2310b8359428efa69a07f485fe9c05e3">
        <w:r>
          <w:rPr>
            <w:rStyle w:val="Hyperlink"/>
          </w:rPr>
          <w:t>5.1   Childcare — universal access</w:t>
        </w:r>
      </w:hyperlink>
    </w:p>
    <w:p>
      <w:pPr>
        <w:pStyle w:val="Compact"/>
        <w:numPr>
          <w:ilvl w:val="0"/>
          <w:numId w:val="8"/>
        </w:numPr>
        <w:rPr/>
      </w:pPr>
      <w:hyperlink w:anchor="X3a341d887335c4afa77a76699ace6e834455144">
        <w:r>
          <w:rPr>
            <w:rStyle w:val="Hyperlink"/>
          </w:rPr>
          <w:t>5.2   University, TAFE, and HECS-HELP</w:t>
        </w:r>
      </w:hyperlink>
    </w:p>
    <w:p>
      <w:pPr>
        <w:pStyle w:val="Compact"/>
        <w:numPr>
          <w:ilvl w:val="0"/>
          <w:numId w:val="8"/>
        </w:numPr>
        <w:rPr/>
      </w:pPr>
      <w:hyperlink w:anchor="X0e748be7c899d5a0e254a81103cd04d04bce760">
        <w:r>
          <w:rPr>
            <w:rStyle w:val="Hyperlink"/>
          </w:rPr>
          <w:t>5.3   Medicare expansion</w:t>
        </w:r>
      </w:hyperlink>
    </w:p>
    <w:p>
      <w:pPr>
        <w:pStyle w:val="Compact"/>
        <w:numPr>
          <w:ilvl w:val="0"/>
          <w:numId w:val="8"/>
        </w:numPr>
        <w:rPr/>
      </w:pPr>
      <w:hyperlink w:anchor="Xe2da354196ffb0a565ed16acc68f5844d8c079e">
        <w:r>
          <w:rPr>
            <w:rStyle w:val="Hyperlink"/>
          </w:rPr>
          <w:t>5.4   Housing</w:t>
        </w:r>
      </w:hyperlink>
    </w:p>
    <w:p>
      <w:pPr>
        <w:pStyle w:val="Compact"/>
        <w:numPr>
          <w:ilvl w:val="0"/>
          <w:numId w:val="8"/>
        </w:numPr>
        <w:rPr/>
      </w:pPr>
      <w:hyperlink w:anchor="X99904f1fcbbcc9277033c0b5ff6821fd5dee79f">
        <w:r>
          <w:rPr>
            <w:rStyle w:val="Hyperlink"/>
          </w:rPr>
          <w:t>5.5   Energy bill relief — the irony</w:t>
        </w:r>
      </w:hyperlink>
    </w:p>
    <w:p>
      <w:pPr>
        <w:pStyle w:val="Compact"/>
        <w:numPr>
          <w:ilvl w:val="0"/>
          <w:numId w:val="8"/>
        </w:numPr>
        <w:rPr/>
      </w:pPr>
      <w:hyperlink w:anchor="X6b48dbf96c05557e4fd786cff65ebb746bfa135">
        <w:r>
          <w:rPr>
            <w:rStyle w:val="Hyperlink"/>
          </w:rPr>
          <w:t>5.6   The Norwegian counterfactual — a sovereign wealth fund</w:t>
        </w:r>
      </w:hyperlink>
    </w:p>
    <w:p>
      <w:pPr>
        <w:pStyle w:val="Compact"/>
        <w:numPr>
          <w:ilvl w:val="0"/>
          <w:numId w:val="8"/>
        </w:numPr>
        <w:rPr/>
      </w:pPr>
      <w:hyperlink w:anchor="Xd6751e92453d8335160b2dfd5e5f2a49676f548">
        <w:r>
          <w:rPr>
            <w:rStyle w:val="Hyperlink"/>
          </w:rPr>
          <w:t>5.7   Defence and AUKUS</w:t>
        </w:r>
      </w:hyperlink>
      <w:bookmarkEnd w:id="9"/>
    </w:p>
    <w:p>
      <w:pPr>
        <w:pStyle w:val="Heading4"/>
        <w:rPr/>
      </w:pPr>
      <w:hyperlink w:anchor="part-6-recommendations_1">
        <w:bookmarkStart w:id="10" w:name="part-6-recommendations"/>
        <w:r>
          <w:rPr>
            <w:rStyle w:val="Hyperlink"/>
          </w:rPr>
          <w:t>Part 6 — Recommendations</w:t>
        </w:r>
      </w:hyperlink>
    </w:p>
    <w:p>
      <w:pPr>
        <w:pStyle w:val="Compact"/>
        <w:numPr>
          <w:ilvl w:val="0"/>
          <w:numId w:val="8"/>
        </w:numPr>
        <w:rPr/>
      </w:pPr>
      <w:hyperlink w:anchor="Xf8e3c3e53c7e4690a8a7cb6965a6efaaf4b4bf7">
        <w:r>
          <w:rPr>
            <w:rStyle w:val="Hyperlink"/>
          </w:rPr>
          <w:t>6.1   If the goal is rent capture, fix the PRRT design, don’t replace it</w:t>
        </w:r>
      </w:hyperlink>
    </w:p>
    <w:p>
      <w:pPr>
        <w:pStyle w:val="Compact"/>
        <w:numPr>
          <w:ilvl w:val="0"/>
          <w:numId w:val="8"/>
        </w:numPr>
        <w:rPr/>
      </w:pPr>
      <w:hyperlink w:anchor="X6b305f047b5c992279cb206ed99ca6c445edaf7">
        <w:r>
          <w:rPr>
            <w:rStyle w:val="Hyperlink"/>
          </w:rPr>
          <w:t>6.2   If the goal is gross revenue + simplicity, use a hybrid royalty</w:t>
        </w:r>
      </w:hyperlink>
    </w:p>
    <w:p>
      <w:pPr>
        <w:pStyle w:val="Compact"/>
        <w:numPr>
          <w:ilvl w:val="0"/>
          <w:numId w:val="8"/>
        </w:numPr>
        <w:rPr/>
      </w:pPr>
      <w:hyperlink w:anchor="Xabb48e2fe122cc4b39e092a29d4a7185920d316">
        <w:r>
          <w:rPr>
            <w:rStyle w:val="Hyperlink"/>
          </w:rPr>
          <w:t>6.3   If the goal is the cleanest political instrument, a 25 per cent export levy</w:t>
        </w:r>
      </w:hyperlink>
    </w:p>
    <w:p>
      <w:pPr>
        <w:pStyle w:val="Compact"/>
        <w:numPr>
          <w:ilvl w:val="0"/>
          <w:numId w:val="8"/>
        </w:numPr>
        <w:rPr/>
      </w:pPr>
      <w:hyperlink w:anchor="X125a38ddb390062fb5886f769a921a458111860">
        <w:r>
          <w:rPr>
            <w:rStyle w:val="Hyperlink"/>
          </w:rPr>
          <w:t>6.4   Whatever else is done, fund a Norway-style sovereign wealth fund</w:t>
        </w:r>
      </w:hyperlink>
    </w:p>
    <w:p>
      <w:pPr>
        <w:pStyle w:val="Compact"/>
        <w:numPr>
          <w:ilvl w:val="0"/>
          <w:numId w:val="8"/>
        </w:numPr>
        <w:rPr/>
      </w:pPr>
      <w:hyperlink w:anchor="Xad3d02f68731ba493fd57d1e199d708168f3ac0">
        <w:r>
          <w:rPr>
            <w:rStyle w:val="Hyperlink"/>
          </w:rPr>
          <w:t>6.5   What the political debate keeps getting wrong</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appendix-a-headline-data-table_1">
        <w:bookmarkStart w:id="12" w:name="appendix-a-headline-data-table"/>
        <w:r>
          <w:rPr>
            <w:rStyle w:val="Hyperlink"/>
          </w:rPr>
          <w:t>Appendix A — Headline data table</w:t>
        </w:r>
      </w:hyperlink>
      <w:bookmarkEnd w:id="12"/>
    </w:p>
    <w:p>
      <w:pPr>
        <w:pStyle w:val="Heading4"/>
        <w:rPr/>
      </w:pPr>
      <w:hyperlink w:anchor="Xa0d52478101802b708a7a53ca551dcb14cb1788">
        <w:bookmarkStart w:id="13" w:name="Xdecad1d323003472d7853327632f59dcf536132"/>
        <w:r>
          <w:rPr>
            <w:rStyle w:val="Hyperlink"/>
          </w:rPr>
          <w:t>Appendix B — Public audit notes and version history</w:t>
        </w:r>
      </w:hyperlink>
      <w:bookmarkEnd w:id="13"/>
    </w:p>
    <w:p>
      <w:pPr>
        <w:pStyle w:val="Heading4"/>
        <w:rPr/>
      </w:pPr>
      <w:hyperlink w:anchor="appendix-c-public-source-package_1">
        <w:bookmarkStart w:id="14" w:name="appendix-c-public-source-package"/>
        <w:r>
          <w:rPr>
            <w:rStyle w:val="Hyperlink"/>
          </w:rPr>
          <w:t>Appendix C — Public source package</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sources-and-footnotes_1">
        <w:bookmarkStart w:id="16"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p>
    <w:p>
      <w:pPr>
        <w:pStyle w:val="Heading2"/>
        <w:rPr/>
      </w:pPr>
      <w:bookmarkStart w:id="17" w:name="X1a4b3dc9aaab62b2f0f5408f14720f3b64e112f"/>
      <w:r>
        <w:rPr/>
        <w:t>Part 1 — What Australia actually collects</w:t>
      </w:r>
    </w:p>
    <w:p>
      <w:pPr>
        <w:pStyle w:val="Heading3"/>
        <w:rPr/>
      </w:pPr>
      <w:bookmarkStart w:id="18" w:name="the-four-heads-of-revenue"/>
      <w:r>
        <w:rPr/>
        <w:t>1.1 The four heads of revenue</w:t>
      </w:r>
    </w:p>
    <w:p>
      <w:pPr>
        <w:pStyle w:val="FirstParagraph"/>
        <w:rPr/>
      </w:pPr>
      <w:r>
        <w:rPr/>
        <w:t>Australia’s fiscal take from gas exports flows through four separate channels:</w:t>
      </w:r>
    </w:p>
    <w:p>
      <w:pPr>
        <w:pStyle w:val="Normal"/>
        <w:numPr>
          <w:ilvl w:val="0"/>
          <w:numId w:val="8"/>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8"/>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8"/>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8"/>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8"/>
    </w:p>
    <w:p>
      <w:pPr>
        <w:pStyle w:val="Heading3"/>
        <w:rPr/>
      </w:pPr>
      <w:bookmarkStart w:id="19"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6"/>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7"/>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Fonts w:ascii="Inter" w:hAnsi="Inter" w:cs="Inter"/>
          <w:b/>
          <w:color w:val="3092B1"/>
          <w:position w:val="8"/>
          <w:sz w:val="18"/>
          <w:szCs w:val="18"/>
          <w:vertAlign w:val="superscript"/>
        </w:rPr>
        <w:footnoteReference w:id="29"/>
      </w:r>
      <w:bookmarkEnd w:id="19"/>
    </w:p>
    <w:p>
      <w:pPr>
        <w:pStyle w:val="Heading3"/>
        <w:rPr/>
      </w:pPr>
      <w:bookmarkStart w:id="20"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Fonts w:ascii="Inter" w:hAnsi="Inter" w:cs="Inter"/>
          <w:b/>
          <w:color w:val="3092B1"/>
          <w:position w:val="8"/>
          <w:sz w:val="18"/>
          <w:szCs w:val="18"/>
          <w:vertAlign w:val="superscript"/>
        </w:rPr>
        <w:footnoteReference w:id="30"/>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8"/>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20"/>
    </w:p>
    <w:p>
      <w:pPr>
        <w:pStyle w:val="Heading3"/>
        <w:rPr/>
      </w:pPr>
      <w:bookmarkStart w:id="21"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9"/>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 taxes, royalties and levies combined —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 see Part 4.</w:t>
      </w:r>
      <w:bookmarkEnd w:id="21"/>
    </w:p>
    <w:p>
      <w:pPr>
        <w:pStyle w:val="Heading3"/>
        <w:rPr/>
      </w:pPr>
      <w:bookmarkStart w:id="22"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In fiscal terms, that is very small.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22"/>
    </w:p>
    <w:p>
      <w:pPr>
        <w:pStyle w:val="Heading2"/>
        <w:rPr/>
      </w:pPr>
      <w:bookmarkStart w:id="23" w:name="Xd06a277a4852705eedaadaabf913589ac71c782"/>
      <w:r>
        <w:rPr/>
        <w:t>Part 2 — The Pocock comparisons (and the cleaner ones)</w:t>
      </w:r>
    </w:p>
    <w:p>
      <w:pPr>
        <w:pStyle w:val="Heading3"/>
        <w:rPr/>
      </w:pPr>
      <w:bookmarkStart w:id="24"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4"/>
    </w:p>
    <w:p>
      <w:pPr>
        <w:pStyle w:val="Heading3"/>
        <w:rPr/>
      </w:pPr>
      <w:bookmarkStart w:id="25"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0"/>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 beer excise, fuel excise, tobacco excise, HECS repayments, major bank levy"/>
                    <pic:cNvPicPr>
                      <a:picLocks noChangeAspect="1" noChangeArrowheads="1"/>
                    </pic:cNvPicPr>
                  </pic:nvPicPr>
                  <pic:blipFill>
                    <a:blip r:embed="rId11"/>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5"/>
    </w:p>
    <w:p>
      <w:pPr>
        <w:pStyle w:val="Heading3"/>
        <w:rPr/>
      </w:pPr>
      <w:bookmarkStart w:id="26"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 xml:space="preserve">That is: a 2024 analysis found that HECS/HELP — i.e. former students paying back their education debt — had raised, in cumulative terms to 2022-23, </w:t>
      </w:r>
      <w:r>
        <w:rPr>
          <w:b/>
          <w:bCs/>
        </w:rPr>
        <w:t>2.68 times what PRRT had raised</w:t>
      </w:r>
      <w:r>
        <w:rPr/>
        <w:t xml:space="preserve"> over the preceding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6"/>
    </w:p>
    <w:p>
      <w:pPr>
        <w:pStyle w:val="Heading2"/>
        <w:rPr/>
      </w:pPr>
      <w:bookmarkStart w:id="27" w:name="part-3-how-other-countries-do-this-1"/>
      <w:r>
        <w:rPr/>
        <w:t>Part 3 — How other countries do this</w:t>
      </w:r>
    </w:p>
    <w:p>
      <w:pPr>
        <w:pStyle w:val="Heading3"/>
        <w:pBdr>
          <w:left w:val="single" w:sz="4" w:space="10" w:color="D5D5D7"/>
          <w:right w:val="single" w:sz="4" w:space="10" w:color="D5D5D7"/>
        </w:pBdr>
        <w:rPr/>
      </w:pPr>
      <w:bookmarkStart w:id="28"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2"/>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4.0 rent and royalty"/>
                    <pic:cNvPicPr>
                      <a:picLocks noChangeAspect="1" noChangeArrowheads="1"/>
                    </pic:cNvPicPr>
                  </pic:nvPicPr>
                  <pic:blipFill>
                    <a:blip r:embed="rId13"/>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8"/>
    </w:p>
    <w:p>
      <w:pPr>
        <w:pStyle w:val="Heading3"/>
        <w:rPr/>
      </w:pPr>
      <w:bookmarkStart w:id="29"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8"/>
        </w:numPr>
        <w:rPr/>
      </w:pPr>
      <w:r>
        <w:rPr>
          <w:b/>
          <w:bCs/>
        </w:rPr>
        <w:t>22 per cent ordinary corporate income tax.</w:t>
      </w:r>
    </w:p>
    <w:p>
      <w:pPr>
        <w:pStyle w:val="Compact"/>
        <w:numPr>
          <w:ilvl w:val="0"/>
          <w:numId w:val="8"/>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8"/>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8"/>
        </w:numPr>
        <w:rPr/>
      </w:pPr>
      <w:r>
        <w:rPr>
          <w:b/>
          <w:bCs/>
        </w:rPr>
        <w:t>67 per cent state ownership of Equinor</w:t>
      </w:r>
      <w:r>
        <w:rPr/>
        <w:t xml:space="preserve"> — the Norwegian state directly receives that share of all dividends.</w:t>
      </w:r>
    </w:p>
    <w:p>
      <w:pPr>
        <w:pStyle w:val="Compact"/>
        <w:numPr>
          <w:ilvl w:val="0"/>
          <w:numId w:val="8"/>
        </w:numPr>
        <w:rPr/>
      </w:pPr>
      <w:r>
        <w:rPr>
          <w:b/>
          <w:bCs/>
        </w:rPr>
        <w:t>Carbon tax on offshore gas</w:t>
      </w:r>
      <w:r>
        <w:rPr/>
        <w:t xml:space="preserve"> of NOK 2.21 per Sm³ in 2025.</w:t>
      </w:r>
    </w:p>
    <w:p>
      <w:pPr>
        <w:pStyle w:val="FirstParagraph"/>
        <w:rPr/>
      </w:pPr>
      <w:r>
        <w:rPr/>
        <w:t xml:space="preserve">Critically — and this is the design point often missing from Australian comparisons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w:t>
      </w:r>
      <w:r>
        <w:rPr>
          <w:b/>
          <w:bCs/>
        </w:rPr>
        <w:t>A$491,000</w:t>
      </w:r>
      <w:r>
        <w:rPr/>
        <w:t>.</w:t>
      </w:r>
    </w:p>
    <w:p>
      <w:pPr>
        <w:pStyle w:val="BodyText"/>
        <w:rPr/>
      </w:pPr>
      <w:r>
        <w:rPr/>
        <w:t xml:space="preserve">Australia’s Future Fund — a general-purpose fund, not built from petroleum revenue — held A$267.4 billion at 31 December 2025. Per Australian resident (27.72 million at 30 September 2025): </w:t>
      </w:r>
      <w:r>
        <w:rPr>
          <w:b/>
          <w:bCs/>
        </w:rPr>
        <w:t>A$9,646</w:t>
      </w:r>
      <w:r>
        <w:rPr/>
        <w:t>.</w:t>
      </w:r>
    </w:p>
    <w:p>
      <w:pPr>
        <w:pStyle w:val="BodyText"/>
        <w:rPr/>
      </w:pPr>
      <w:r>
        <w:rPr/>
        <w:t>At the end of 2025 the Norwegian Government Pension Fund Global was worth A$2.77 trillion —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1,000 vs Australia Future Fund A$9,646 (~51× ratio)"/>
                    <pic:cNvPicPr>
                      <a:picLocks noChangeAspect="1" noChangeArrowheads="1"/>
                    </pic:cNvPicPr>
                  </pic:nvPicPr>
                  <pic:blipFill>
                    <a:blip r:embed="rId14"/>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9"/>
    </w:p>
    <w:p>
      <w:pPr>
        <w:pStyle w:val="Heading3"/>
        <w:rPr/>
      </w:pPr>
      <w:bookmarkStart w:id="30"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8"/>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8"/>
        </w:numPr>
        <w:rPr/>
      </w:pPr>
      <w:r>
        <w:rPr/>
        <w:t>2023 hydrocarbon revenue: ~A$79.6 billion (US$57.5 bn).</w:t>
      </w:r>
    </w:p>
    <w:p>
      <w:pPr>
        <w:pStyle w:val="Compact"/>
        <w:numPr>
          <w:ilvl w:val="0"/>
          <w:numId w:val="8"/>
        </w:numPr>
        <w:rPr/>
      </w:pPr>
      <w:r>
        <w:rPr/>
        <w:t xml:space="preserve">Production: ~77 Mt/yr LNG today, expanding to </w:t>
      </w:r>
      <w:r>
        <w:rPr>
          <w:b/>
          <w:bCs/>
        </w:rPr>
        <w:t>142 Mt/yr by 2030</w:t>
      </w:r>
      <w:r>
        <w:rPr/>
        <w:t xml:space="preserve"> with the North Field East/South/West phases.</w:t>
      </w:r>
    </w:p>
    <w:p>
      <w:pPr>
        <w:pStyle w:val="Compact"/>
        <w:numPr>
          <w:ilvl w:val="0"/>
          <w:numId w:val="8"/>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30"/>
    </w:p>
    <w:p>
      <w:pPr>
        <w:pStyle w:val="Heading3"/>
        <w:rPr/>
      </w:pPr>
      <w:bookmarkStart w:id="31"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8"/>
        </w:numPr>
        <w:rPr/>
      </w:pPr>
      <w:r>
        <w:rPr>
          <w:b/>
          <w:bCs/>
        </w:rPr>
        <w:t>Federal offshore (OCS) royalty: 12.5 per cent on legacy leases, raised to 16.67 per cent statutory minimum (max 18.75 per cent) under the Inflation Reduction Act.</w:t>
      </w:r>
    </w:p>
    <w:p>
      <w:pPr>
        <w:pStyle w:val="Compact"/>
        <w:numPr>
          <w:ilvl w:val="0"/>
          <w:numId w:val="8"/>
        </w:numPr>
        <w:rPr/>
      </w:pPr>
      <w:r>
        <w:rPr>
          <w:b/>
          <w:bCs/>
        </w:rPr>
        <w:t>Federal onshore royalty: 12.5 per cent (legacy) / 16.67 per cent (new).</w:t>
      </w:r>
    </w:p>
    <w:p>
      <w:pPr>
        <w:pStyle w:val="Compact"/>
        <w:numPr>
          <w:ilvl w:val="0"/>
          <w:numId w:val="8"/>
        </w:numPr>
        <w:rPr/>
      </w:pPr>
      <w:r>
        <w:rPr>
          <w:b/>
          <w:bCs/>
        </w:rPr>
        <w:t>State severance taxes:</w:t>
      </w:r>
      <w:r>
        <w:rPr/>
        <w:t xml:space="preserve"> 4.6–12.25 per cent depending on state (Texas 7.5 per cent on natural gas market value; Louisiana 12.5 cents/Mcf; etc.).</w:t>
      </w:r>
    </w:p>
    <w:p>
      <w:pPr>
        <w:pStyle w:val="Compact"/>
        <w:numPr>
          <w:ilvl w:val="0"/>
          <w:numId w:val="8"/>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Fonts w:ascii="Inter" w:hAnsi="Inter" w:cs="Inter"/>
          <w:b/>
          <w:color w:val="3092B1"/>
          <w:position w:val="8"/>
          <w:sz w:val="18"/>
          <w:szCs w:val="18"/>
          <w:vertAlign w:val="superscript"/>
        </w:rPr>
        <w:footnoteReference w:id="57"/>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1"/>
    </w:p>
    <w:p>
      <w:pPr>
        <w:pStyle w:val="Heading3"/>
        <w:rPr/>
      </w:pPr>
      <w:bookmarkStart w:id="32"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8"/>
        </w:numPr>
        <w:rPr/>
      </w:pPr>
      <w:r>
        <w:rPr>
          <w:b/>
          <w:bCs/>
        </w:rPr>
        <w:t>Ring Fence Corporation Tax: 30 per cent</w:t>
      </w:r>
      <w:r>
        <w:rPr/>
        <w:t>, ring-fenced to UK Continental Shelf activity.</w:t>
      </w:r>
    </w:p>
    <w:p>
      <w:pPr>
        <w:pStyle w:val="Compact"/>
        <w:numPr>
          <w:ilvl w:val="0"/>
          <w:numId w:val="8"/>
        </w:numPr>
        <w:rPr/>
      </w:pPr>
      <w:r>
        <w:rPr>
          <w:b/>
          <w:bCs/>
        </w:rPr>
        <w:t>Supplementary Charge: 10 per cent</w:t>
      </w:r>
      <w:r>
        <w:rPr/>
        <w:t xml:space="preserve"> on top.</w:t>
      </w:r>
    </w:p>
    <w:p>
      <w:pPr>
        <w:pStyle w:val="Compact"/>
        <w:numPr>
          <w:ilvl w:val="0"/>
          <w:numId w:val="8"/>
        </w:numPr>
        <w:rPr/>
      </w:pPr>
      <w:r>
        <w:rPr>
          <w:b/>
          <w:bCs/>
        </w:rPr>
        <w:t>Petroleum Revenue Tax: 0 per cent</w:t>
      </w:r>
      <w:r>
        <w:rPr/>
        <w:t xml:space="preserve"> since 2016 (rate retained on the books).</w:t>
      </w:r>
    </w:p>
    <w:p>
      <w:pPr>
        <w:pStyle w:val="Compact"/>
        <w:numPr>
          <w:ilvl w:val="0"/>
          <w:numId w:val="8"/>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2"/>
    </w:p>
    <w:p>
      <w:pPr>
        <w:pStyle w:val="Heading3"/>
        <w:rPr/>
      </w:pPr>
      <w:bookmarkStart w:id="33"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3"/>
    </w:p>
    <w:p>
      <w:pPr>
        <w:pStyle w:val="Heading3"/>
        <w:rPr/>
      </w:pPr>
      <w:bookmarkStart w:id="34"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w:t>
      </w:r>
      <w:r>
        <w:rPr>
          <w:b/>
          <w:bCs/>
        </w:rPr>
        <w:t>A$16.42 per tonne</w:t>
      </w:r>
      <w:r>
        <w:rPr/>
        <w:t>.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8"/>
        </w:numPr>
        <w:rPr/>
      </w:pPr>
      <w:r>
        <w:rPr>
          <w:b/>
          <w:bCs/>
        </w:rPr>
        <w:t>Japan: ~A$16 per tonne</w:t>
      </w:r>
      <w:r>
        <w:rPr/>
        <w:t xml:space="preserve"> of LNG specifically, collected at import as Petroleum and Coal Tax (JPY 1,860 × 0.00883 AUD/JPY).</w:t>
      </w:r>
    </w:p>
    <w:p>
      <w:pPr>
        <w:pStyle w:val="Compact"/>
        <w:numPr>
          <w:ilvl w:val="0"/>
          <w:numId w:val="8"/>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 see Figure 11.</w:t>
      </w:r>
    </w:p>
    <w:p>
      <w:pPr>
        <w:pStyle w:val="BodyText"/>
        <w:rPr/>
      </w:pPr>
      <w:r>
        <w:rPr/>
        <w:drawing>
          <wp:inline distT="0" distB="0" distL="0" distR="0">
            <wp:extent cx="5969000" cy="3091180"/>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5"/>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4"/>
    </w:p>
    <w:p>
      <w:pPr>
        <w:pStyle w:val="Heading3"/>
        <w:rPr/>
      </w:pPr>
      <w:bookmarkStart w:id="35"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35"/>
    </w:p>
    <w:p>
      <w:pPr>
        <w:pStyle w:val="Heading2"/>
        <w:rPr/>
      </w:pPr>
      <w:bookmarkStart w:id="36" w:name="Xba63d7e9976ba0de5e0ea7fcd2177cff4b3c808"/>
      <w:r>
        <w:rPr/>
        <w:t>Part 4 — The industry’s case, in its own words</w:t>
      </w:r>
    </w:p>
    <w:p>
      <w:pPr>
        <w:pStyle w:val="Heading3"/>
        <w:pBdr>
          <w:left w:val="single" w:sz="4" w:space="10" w:color="D5D5D7"/>
          <w:right w:val="single" w:sz="4" w:space="10" w:color="D5D5D7"/>
        </w:pBdr>
        <w:rPr/>
      </w:pPr>
      <w:bookmarkStart w:id="37"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7"/>
    </w:p>
    <w:p>
      <w:pPr>
        <w:pStyle w:val="Heading3"/>
        <w:rPr/>
      </w:pPr>
      <w:bookmarkStart w:id="38"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Fonts w:ascii="Inter" w:hAnsi="Inter" w:cs="Inter"/>
          <w:b/>
          <w:color w:val="3092B1"/>
          <w:position w:val="8"/>
          <w:sz w:val="18"/>
          <w:szCs w:val="18"/>
          <w:vertAlign w:val="superscript"/>
        </w:rPr>
        <w:footnoteReference w:id="70"/>
      </w:r>
      <w:bookmarkEnd w:id="38"/>
    </w:p>
    <w:p>
      <w:pPr>
        <w:pStyle w:val="Heading3"/>
        <w:rPr/>
      </w:pPr>
      <w:bookmarkStart w:id="39"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9"/>
    </w:p>
    <w:p>
      <w:pPr>
        <w:pStyle w:val="Heading3"/>
        <w:rPr/>
      </w:pPr>
      <w:bookmarkStart w:id="40"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40"/>
    </w:p>
    <w:p>
      <w:pPr>
        <w:pStyle w:val="Heading3"/>
        <w:rPr/>
      </w:pPr>
      <w:bookmarkStart w:id="41"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1"/>
    </w:p>
    <w:p>
      <w:pPr>
        <w:pStyle w:val="Heading3"/>
        <w:rPr/>
      </w:pPr>
      <w:bookmarkStart w:id="42"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6"/>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2"/>
    </w:p>
    <w:p>
      <w:pPr>
        <w:pStyle w:val="Heading3"/>
        <w:rPr/>
      </w:pPr>
      <w:bookmarkStart w:id="43"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7"/>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7"/>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it is not evidence of rent capture.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7"/>
        </w:numPr>
        <w:rPr/>
      </w:pPr>
      <w:r>
        <w:rPr>
          <w:b/>
          <w:bCs/>
        </w:rPr>
        <w:t>“</w:t>
      </w:r>
      <w:r>
        <w:rPr>
          <w:b/>
          <w:bCs/>
        </w:rPr>
        <w:t>One in ten company tax dollars” is correct but uninformative.</w:t>
      </w:r>
      <w:r>
        <w:rPr/>
        <w:t xml:space="preserve"> Same point: company tax is not the rent.</w:t>
      </w:r>
    </w:p>
    <w:p>
      <w:pPr>
        <w:pStyle w:val="Compact"/>
        <w:numPr>
          <w:ilvl w:val="0"/>
          <w:numId w:val="7"/>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8"/>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8"/>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8"/>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43"/>
    </w:p>
    <w:p>
      <w:pPr>
        <w:pStyle w:val="Heading2"/>
        <w:rPr/>
      </w:pPr>
      <w:bookmarkStart w:id="44"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8"/>
        </w:numPr>
        <w:rPr/>
      </w:pPr>
      <w:r>
        <w:rPr>
          <w:b/>
          <w:bCs/>
        </w:rPr>
        <w:t>2.13 per cent of total Commonwealth receipts</w:t>
      </w:r>
      <w:r>
        <w:rPr/>
        <w:t xml:space="preserve"> (A$798.1 billion).</w:t>
      </w:r>
    </w:p>
    <w:p>
      <w:pPr>
        <w:pStyle w:val="Compact"/>
        <w:numPr>
          <w:ilvl w:val="0"/>
          <w:numId w:val="8"/>
        </w:numPr>
        <w:rPr/>
      </w:pPr>
      <w:r>
        <w:rPr>
          <w:b/>
          <w:bCs/>
        </w:rPr>
        <w:t>2.04 per cent of total Commonwealth expenses</w:t>
      </w:r>
      <w:r>
        <w:rPr/>
        <w:t xml:space="preserve"> (A$833.3 billion).</w:t>
      </w:r>
    </w:p>
    <w:p>
      <w:pPr>
        <w:pStyle w:val="Compact"/>
        <w:numPr>
          <w:ilvl w:val="0"/>
          <w:numId w:val="8"/>
        </w:numPr>
        <w:rPr/>
      </w:pPr>
      <w:r>
        <w:rPr>
          <w:b/>
          <w:bCs/>
        </w:rPr>
        <w:t>53.9 per cent of the 2026-27 underlying cash deficit</w:t>
      </w:r>
      <w:r>
        <w:rPr/>
        <w:t xml:space="preserve"> (A$31.5 billion).</w:t>
      </w:r>
    </w:p>
    <w:p>
      <w:pPr>
        <w:pStyle w:val="Compact"/>
        <w:numPr>
          <w:ilvl w:val="0"/>
          <w:numId w:val="8"/>
        </w:numPr>
        <w:rPr/>
      </w:pPr>
      <w:r>
        <w:rPr>
          <w:b/>
          <w:bCs/>
        </w:rPr>
        <w:t>32.7 per cent of total 2026-27 defence spending</w:t>
      </w:r>
      <w:r>
        <w:rPr/>
        <w:t xml:space="preserve"> (A$52.1 billion); ~1/5 of the AUKUS end-of-decade defence trajectory (~A$80–100 bn/yr by 2034-35).</w:t>
      </w:r>
    </w:p>
    <w:p>
      <w:pPr>
        <w:pStyle w:val="Compact"/>
        <w:numPr>
          <w:ilvl w:val="0"/>
          <w:numId w:val="8"/>
        </w:numPr>
        <w:rPr/>
      </w:pPr>
      <w:r>
        <w:rPr>
          <w:b/>
          <w:bCs/>
        </w:rPr>
        <w:t>4.8× tobacco excise</w:t>
      </w:r>
      <w:r>
        <w:rPr/>
        <w:t xml:space="preserve"> (A$3.56 billion).</w:t>
      </w:r>
    </w:p>
    <w:p>
      <w:pPr>
        <w:pStyle w:val="Compact"/>
        <w:numPr>
          <w:ilvl w:val="0"/>
          <w:numId w:val="8"/>
        </w:numPr>
        <w:rPr/>
      </w:pPr>
      <w:r>
        <w:rPr>
          <w:b/>
          <w:bCs/>
        </w:rPr>
        <w:t>8.9× current PRRT</w:t>
      </w:r>
      <w:r>
        <w:rPr/>
        <w:t xml:space="preserve"> (A$1.90 billion).</w:t>
      </w:r>
    </w:p>
    <w:p>
      <w:pPr>
        <w:pStyle w:val="Compact"/>
        <w:numPr>
          <w:ilvl w:val="0"/>
          <w:numId w:val="8"/>
        </w:numPr>
        <w:rPr/>
      </w:pPr>
      <w:r>
        <w:rPr>
          <w:b/>
          <w:bCs/>
        </w:rPr>
        <w:t>Roughly equal to total Commonwealth Child Care Subsidy spending</w:t>
      </w:r>
      <w:r>
        <w:rPr/>
        <w:t xml:space="preserve"> (A$16.9 billion).</w:t>
      </w:r>
    </w:p>
    <w:p>
      <w:pPr>
        <w:pStyle w:val="Compact"/>
        <w:numPr>
          <w:ilvl w:val="0"/>
          <w:numId w:val="8"/>
        </w:numPr>
        <w:rPr/>
      </w:pPr>
      <w:r>
        <w:rPr>
          <w:b/>
          <w:bCs/>
        </w:rPr>
        <w:t>Close to annual JobSeeker income support</w:t>
      </w:r>
      <w:r>
        <w:rPr/>
        <w:t xml:space="preserve">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 compared with PRRT, beer excise, childcare, JobSeeker and the underlying cash deficit"/>
                    <pic:cNvPicPr>
                      <a:picLocks noChangeAspect="1" noChangeArrowheads="1"/>
                    </pic:cNvPicPr>
                  </pic:nvPicPr>
                  <pic:blipFill>
                    <a:blip r:embed="rId17"/>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5"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t xml:space="preserve"> Budget 2026-27 puts Child Care Subsidy program spending at approximately </w:t>
      </w:r>
      <w:r>
        <w:rPr>
          <w:b/>
          <w:bCs/>
        </w:rPr>
        <w:t>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5"/>
    </w:p>
    <w:p>
      <w:pPr>
        <w:pStyle w:val="Heading3"/>
        <w:rPr/>
      </w:pPr>
      <w:bookmarkStart w:id="46" w:name="university-tafe-and-hecs-help"/>
      <w:r>
        <w:rPr/>
        <w:t>5.2 University, TAFE, and HECS-HELP</w:t>
      </w:r>
    </w:p>
    <w:p>
      <w:pPr>
        <w:pStyle w:val="FirstParagraph"/>
        <w:rPr/>
      </w:pPr>
      <w:r>
        <w:rPr/>
        <w:t xml:space="preserve">Total HECS/HELP debt outstanding in 2023-24 was </w:t>
      </w:r>
      <w:r>
        <w:rPr>
          <w:b/>
          <w:bCs/>
        </w:rPr>
        <w:t>A$81.05 billion</w:t>
      </w:r>
      <w:r>
        <w:rPr/>
        <w:t>.</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is comparable to annual Commonwealth tertiary spending.</w:t>
      </w:r>
      <w:r>
        <w:rPr/>
        <w:t xml:space="preserve"> It would cover the Accord recommendations + permanent fee-free TAFE + a substantial HECS rate reduction, or wipe out the full HECS/HELP debt balance in roughly five years.</w:t>
      </w:r>
      <w:bookmarkEnd w:id="46"/>
    </w:p>
    <w:p>
      <w:pPr>
        <w:pStyle w:val="Heading3"/>
        <w:rPr/>
      </w:pPr>
      <w:bookmarkStart w:id="47" w:name="medicare-expansion"/>
      <w:r>
        <w:rPr/>
        <w:t>5.3 Medicare expansion</w:t>
      </w:r>
    </w:p>
    <w:p>
      <w:pPr>
        <w:pStyle w:val="FirstParagraph"/>
        <w:rPr/>
      </w:pPr>
      <w:r>
        <w:rPr/>
        <w:t xml:space="preserve">Total Commonwealth health spending in 2026-27 is </w:t>
      </w:r>
      <w:r>
        <w:rPr>
          <w:b/>
          <w:bCs/>
        </w:rPr>
        <w:t>A$136.9 billion</w:t>
      </w:r>
      <w:r>
        <w:rPr/>
        <w:t xml:space="preserve"> (Budget Paper 1 Statement 6 Table 6.3). The major medical-services line is </w:t>
      </w:r>
      <w:r>
        <w:rPr>
          <w:b/>
          <w:bCs/>
        </w:rPr>
        <w:t>A$37.6 billion</w:t>
      </w:r>
      <w:r>
        <w:rPr/>
        <w:t xml:space="preserve"> and the Pharmaceutical Benefits program is </w:t>
      </w:r>
      <w:r>
        <w:rPr>
          <w:b/>
          <w:bCs/>
        </w:rPr>
        <w:t>A$23.4 billion</w:t>
      </w:r>
      <w:r>
        <w:rPr/>
        <w:t xml:space="preserve">. The federal dental-services line remains tiny by comparison, at </w:t>
      </w:r>
      <w:r>
        <w:rPr>
          <w:b/>
          <w:bCs/>
        </w:rPr>
        <w:t>A$335 million</w:t>
      </w:r>
      <w:r>
        <w:rPr/>
        <w:t xml:space="preserve">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8"/>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8"/>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8"/>
        </w:numPr>
        <w:rPr/>
      </w:pPr>
      <w:r>
        <w:rPr>
          <w:b/>
          <w:bCs/>
        </w:rPr>
        <w:t>PBS co-payment reduction from A$31.60 to A$25 (1 January 2026):</w:t>
      </w:r>
      <w:r>
        <w:rPr/>
        <w:t xml:space="preserve"> A$784.6 million over four years.</w:t>
      </w:r>
      <w:r>
        <w:rPr>
          <w:rFonts w:ascii="Inter" w:hAnsi="Inter" w:cs="Inter"/>
          <w:b/>
          <w:color w:val="3092B1"/>
          <w:position w:val="8"/>
          <w:sz w:val="18"/>
          <w:szCs w:val="18"/>
          <w:vertAlign w:val="superscript"/>
        </w:rPr>
        <w:footnoteReference w:id="87"/>
      </w:r>
    </w:p>
    <w:p>
      <w:pPr>
        <w:pStyle w:val="Compact"/>
        <w:numPr>
          <w:ilvl w:val="0"/>
          <w:numId w:val="8"/>
        </w:numPr>
        <w:rPr/>
      </w:pPr>
      <w:r>
        <w:rPr>
          <w:b/>
          <w:bCs/>
        </w:rPr>
        <w:t>Mental health Better Access expansion (10 → 20 Medicare-rebated sessions per year):</w:t>
      </w:r>
      <w:r>
        <w:rPr/>
        <w:t xml:space="preserve"> indicative estimate ~A$1.5 bn/year.</w:t>
      </w:r>
    </w:p>
    <w:p>
      <w:pPr>
        <w:pStyle w:val="FirstParagraph"/>
        <w:rPr/>
      </w:pPr>
      <w:r>
        <w:rPr>
          <w:b/>
          <w:bCs/>
        </w:rPr>
        <w:t>A$17 billion a year covers the long-run-cost version of all four</w:t>
      </w:r>
      <w:r>
        <w:rPr/>
        <w:t>,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7"/>
    </w:p>
    <w:p>
      <w:pPr>
        <w:pStyle w:val="Heading3"/>
        <w:rPr/>
      </w:pPr>
      <w:bookmarkStart w:id="48"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Fonts w:ascii="Inter" w:hAnsi="Inter" w:cs="Inter"/>
          <w:b/>
          <w:color w:val="3092B1"/>
          <w:position w:val="8"/>
          <w:sz w:val="18"/>
          <w:szCs w:val="18"/>
          <w:vertAlign w:val="superscript"/>
        </w:rPr>
        <w:footnoteReference w:id="88"/>
      </w:r>
      <w:bookmarkEnd w:id="48"/>
    </w:p>
    <w:p>
      <w:pPr>
        <w:pStyle w:val="Heading3"/>
        <w:rPr/>
      </w:pPr>
      <w:bookmarkStart w:id="49"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while gas extracted from Commonwealth waters is exported without a conventional royalty. A 25 per cent export tax would generate roughly 5–6 times the cost of the rebate scheme, every year.</w:t>
      </w:r>
      <w:bookmarkEnd w:id="49"/>
    </w:p>
    <w:p>
      <w:pPr>
        <w:pStyle w:val="Heading3"/>
        <w:rPr/>
      </w:pPr>
      <w:bookmarkStart w:id="50"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50"/>
    </w:p>
    <w:p>
      <w:pPr>
        <w:pStyle w:val="Heading3"/>
        <w:rPr/>
      </w:pPr>
      <w:bookmarkStart w:id="51" w:name="defence-and-aukus"/>
      <w:r>
        <w:rPr/>
        <w:t>5.7 Defence and AUKUS</w:t>
      </w:r>
    </w:p>
    <w:p>
      <w:pPr>
        <w:pStyle w:val="FirstParagraph"/>
        <w:rPr/>
      </w:pPr>
      <w:r>
        <w:rPr/>
        <w:t xml:space="preserve">The 2026-27 Defence function is A$52.1 billion. AUKUS Pillar 1 — the Virginia-class and SSN-AUKUS submarine program — is a 30-year commitment, peaking at roughly A$15 billion/year by the mid-2030s. </w:t>
      </w:r>
      <w:r>
        <w:rPr>
          <w:b/>
          <w:bCs/>
        </w:rPr>
        <w:t>One A$17 billion year of gas tax revenue is 32.7 per cent of the annual Defence function and covers roughly 14 months of AUKUS Pillar 1 at the mid-2030s annual run-rate.</w:t>
      </w:r>
      <w:r>
        <w:rPr/>
        <w:t xml:space="preserv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51"/>
    </w:p>
    <w:p>
      <w:pPr>
        <w:pStyle w:val="Heading2"/>
        <w:rPr/>
      </w:pPr>
      <w:bookmarkStart w:id="52"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3"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8"/>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8"/>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8"/>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8"/>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3"/>
    </w:p>
    <w:p>
      <w:pPr>
        <w:pStyle w:val="Heading3"/>
        <w:rPr/>
      </w:pPr>
      <w:bookmarkStart w:id="54"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4"/>
    </w:p>
    <w:p>
      <w:pPr>
        <w:pStyle w:val="Heading3"/>
        <w:rPr/>
      </w:pPr>
      <w:bookmarkStart w:id="55"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5"/>
    </w:p>
    <w:p>
      <w:pPr>
        <w:pStyle w:val="Heading3"/>
        <w:rPr/>
      </w:pPr>
      <w:bookmarkStart w:id="56" w:name="X0921bfae629da4642dc1a12579e0d75e1ff505c"/>
      <w:r>
        <w:rPr/>
        <w:t>6.4 Whatever else is done, fund a Norway-style sovereign wealth fund</w:t>
      </w:r>
    </w:p>
    <w:p>
      <w:pPr>
        <w:pStyle w:val="FirstParagraph"/>
        <w:rPr/>
      </w:pPr>
      <w:r>
        <w:rPr/>
        <w:t>The gap between Norway’s GPFG (</w:t>
      </w:r>
      <w:r>
        <w:rPr>
          <w:b/>
          <w:bCs/>
        </w:rPr>
        <w:t>A$2.77 trillion; A$491,000 per Norwegian resident</w:t>
      </w:r>
      <w:r>
        <w:rPr/>
        <w:t>) and Australia’s Future Fund (</w:t>
      </w:r>
      <w:r>
        <w:rPr>
          <w:b/>
          <w:bCs/>
        </w:rPr>
        <w:t>A$267.4 billion; A$9,646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6"/>
    </w:p>
    <w:p>
      <w:pPr>
        <w:pStyle w:val="Heading3"/>
        <w:rPr/>
      </w:pPr>
      <w:bookmarkStart w:id="57" w:name="X4cdde95b96722cfc07e47a223890103cd7782f4"/>
      <w:r>
        <w:rPr/>
        <w:t>6.5 What the political debate keeps getting wrong</w:t>
      </w:r>
    </w:p>
    <w:p>
      <w:pPr>
        <w:pStyle w:val="Compact"/>
        <w:numPr>
          <w:ilvl w:val="0"/>
          <w:numId w:val="8"/>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8"/>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8"/>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8"/>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7"/>
    </w:p>
    <w:p>
      <w:pPr>
        <w:pStyle w:val="Heading2"/>
        <w:rPr/>
      </w:pPr>
      <w:bookmarkStart w:id="58"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v3.2.4 (this version)</w:t>
      </w:r>
      <w:r>
        <w:rPr/>
        <w:t xml:space="preserve"> consolidates four in-place follow-up patches atop v3.2.3, all shipped under the same v3.2.4 release tag because no factual claim or number changes (only framing, structure, and self-identification). (a) The executive summary’s first paragraph (§The finding) was rewritten because the prior version referenced “the February 2026 Senate Estimates exchange” as if previously established — but the paragraph is the document’s opening, with no prior context to anchor that reference. The new opening lands the substantive claim directly (beer excise outstrips PRRT in every forward-estimates year through 2029-30, even after the Budget’s near-term upward PRRT revision; PRRT taper after 2026-27: </w:t>
      </w:r>
      <w:r>
        <w:rPr>
          <w:b/>
          <w:bCs/>
        </w:rPr>
        <w:t>A$1.75 bn, A$1.55 bn, A$1.25 bn</w:t>
      </w:r>
      <w:r>
        <w:rPr/>
        <w:t xml:space="preserve">) without a dangling reference. One </w:t>
      </w:r>
      <w:r>
        <w:rPr>
          <w:rStyle w:val="VerbatimChar"/>
        </w:rPr>
        <w:t>[^pocock_senate]</w:t>
      </w:r>
      <w:r>
        <w:rPr/>
        <w:t xml:space="preserve"> footnote caller was dropped from this paragraph; the footnote definition is still referenced in §The finding’s three-claims block and in §2.1 The beer-versus-PRRT exchange. (b) Appendix B narrative bumped from “v3.2.3 (this version)” to “v3.2.4 (this version)” and </w:t>
      </w:r>
      <w:r>
        <w:rPr>
          <w:rStyle w:val="VerbatimChar"/>
        </w:rPr>
        <w:t>sources/fx_rates.md</w:t>
      </w:r>
      <w:r>
        <w:rPr/>
        <w:t xml:space="preserve"> header version-string sweep extended to v3.2.4 — pure self-identification, no other change. (c) On external reviewer recommendation, the front-matter colophon was compressed from ~7 dense paragraphs (About, Read online, Citation, Public audit package, License, Currency, Methodology summary, AI assistance) to 3 short lines (Citation, License, Currency pointer); the longer “behind-the-scenes” prose moved to a new </w:t>
      </w:r>
      <w:r>
        <w:rPr>
          <w:b/>
          <w:bCs/>
        </w:rPr>
        <w:t>Appendix D — About this report</w:t>
      </w:r>
      <w:r>
        <w:rPr/>
        <w:t xml:space="preserve">, which carries the report-scope description, online-edition pointer, methodology summary, full FX rate table, and AI assistance disclosure. (d) </w:t>
      </w:r>
      <w:r>
        <w:rPr>
          <w:b/>
          <w:bCs/>
        </w:rPr>
        <w:t>Executive summary “The finding” now sits before the Table of Contents</w:t>
      </w:r>
      <w:r>
        <w:rPr/>
        <w:t xml:space="preserve"> rather than after it — matching the prevailing modern policy-report convention (Brookings, Grattan, McKinsey Global Institute, RAND, World Bank) and minimising the reader’s time-to-finding. The audience/purpose paragraph added in (c) was simultaneously tightened on a Gemini Flash Preview + GPT-5.5 voice-review pair: the defensive “campaign document” disclaimer was dropped, the duplicate “forensic accounting” label was removed, “any serious reader can audit the claims themselves” was replaced with “for readers to trace the claims and form their own view”, and the first sentence was split into two cleaner sentences. No claim-level numbers or substantive analysis change.</w:t>
      </w:r>
    </w:p>
    <w:p>
      <w:pPr>
        <w:pStyle w:val="BodyText"/>
        <w:rPr/>
      </w:pPr>
      <w:r>
        <w:rPr>
          <w:b/>
          <w:bCs/>
        </w:rPr>
        <w:t>v3.2.3</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 the Future Fund per-resident figure recomputed at </w:t>
      </w:r>
      <w:r>
        <w:rPr>
          <w:b/>
          <w:bCs/>
        </w:rPr>
        <w:t>A$9,646</w:t>
      </w:r>
      <w:r>
        <w:rPr/>
        <w:t xml:space="preserve"> (previously A$10,050 against a rounded 26.6 m base); Norway’s population denominator updated to SSB Q4 2025 / 1 January 2026 (5,627,400) — GPFG per-resident recomputed at </w:t>
      </w:r>
      <w:r>
        <w:rPr>
          <w:b/>
          <w:bCs/>
        </w:rPr>
        <w:t>A$491,000</w:t>
      </w:r>
      <w:r>
        <w:rPr/>
        <w:t xml:space="preserve"> (previously A$494,000); Norway’s 2024 petroleum net cash flow figure in the international comparison dossier updated from the older NOK 680 bn estimate to the verified actual </w:t>
      </w:r>
      <w:r>
        <w:rPr>
          <w:b/>
          <w:bCs/>
        </w:rPr>
        <w:t>NOK 702.2 bn</w:t>
      </w:r>
      <w:r>
        <w:rPr/>
        <w:t xml:space="preserve">,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w:t>
      </w:r>
      <w:r>
        <w:rPr>
          <w:b/>
          <w:bCs/>
        </w:rPr>
        <w:t>A$14.80 per tonne</w:t>
      </w:r>
      <w:r>
        <w:rPr/>
        <w:t xml:space="preserve"> on a power-generation basis, with a footnote explaining why city-gas LNG would imply a higher weighted average; placed the PRRT history series explicitly on a </w:t>
      </w:r>
      <w:r>
        <w:rPr>
          <w:b/>
          <w:bCs/>
        </w:rPr>
        <w:t>cash receipts</w:t>
      </w:r>
      <w:r>
        <w:rPr/>
        <w:t xml:space="preserve">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rPr/>
      </w:pPr>
      <w:bookmarkStart w:id="61"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8"/>
        </w:numPr>
        <w:rPr/>
      </w:pPr>
      <w:r>
        <w:rPr>
          <w:rStyle w:val="VerbatimChar"/>
        </w:rPr>
        <w:t>drafts/report.md</w:t>
      </w:r>
      <w:r>
        <w:rPr/>
        <w:t xml:space="preserve"> — source manuscript for the public report;</w:t>
      </w:r>
    </w:p>
    <w:p>
      <w:pPr>
        <w:pStyle w:val="Compact"/>
        <w:numPr>
          <w:ilvl w:val="0"/>
          <w:numId w:val="8"/>
        </w:numPr>
        <w:rPr/>
      </w:pPr>
      <w:r>
        <w:rPr>
          <w:rStyle w:val="VerbatimChar"/>
        </w:rPr>
        <w:t>data/values.yml</w:t>
      </w:r>
      <w:r>
        <w:rPr/>
        <w:t xml:space="preserve"> — canonical numerical manifest for report and chart values;</w:t>
      </w:r>
    </w:p>
    <w:p>
      <w:pPr>
        <w:pStyle w:val="Compact"/>
        <w:numPr>
          <w:ilvl w:val="0"/>
          <w:numId w:val="8"/>
        </w:numPr>
        <w:rPr/>
      </w:pPr>
      <w:r>
        <w:rPr>
          <w:rStyle w:val="VerbatimChar"/>
        </w:rPr>
        <w:t>charts/</w:t>
      </w:r>
      <w:r>
        <w:rPr/>
        <w:t xml:space="preserve"> — chart scripts plus rendered PNG/SVG outputs;</w:t>
      </w:r>
    </w:p>
    <w:p>
      <w:pPr>
        <w:pStyle w:val="Compact"/>
        <w:numPr>
          <w:ilvl w:val="0"/>
          <w:numId w:val="8"/>
        </w:numPr>
        <w:rPr/>
      </w:pPr>
      <w:r>
        <w:rPr>
          <w:rStyle w:val="VerbatimChar"/>
        </w:rPr>
        <w:t>research/</w:t>
      </w:r>
      <w:r>
        <w:rPr/>
        <w:t xml:space="preserve"> — cleaned evidence dossiers with primary URLs retained in footnotes;</w:t>
      </w:r>
    </w:p>
    <w:p>
      <w:pPr>
        <w:pStyle w:val="Compact"/>
        <w:numPr>
          <w:ilvl w:val="0"/>
          <w:numId w:val="8"/>
        </w:numPr>
        <w:rPr/>
      </w:pPr>
      <w:r>
        <w:rPr>
          <w:rStyle w:val="VerbatimChar"/>
        </w:rPr>
        <w:t>sources/</w:t>
      </w:r>
      <w:r>
        <w:rPr/>
        <w:t xml:space="preserve"> — public source tables used by the evidence package;</w:t>
      </w:r>
    </w:p>
    <w:p>
      <w:pPr>
        <w:pStyle w:val="Compact"/>
        <w:numPr>
          <w:ilvl w:val="0"/>
          <w:numId w:val="8"/>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1"/>
    </w:p>
    <w:p>
      <w:pPr>
        <w:pStyle w:val="Heading2"/>
        <w:rPr/>
      </w:pPr>
      <w:bookmarkStart w:id="62" w:name="appendix-d-about-this-report-1"/>
      <w:r>
        <w:rPr/>
        <w:t>Appendix D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 and sets the result against the current Commonwealth Budget.</w:t>
      </w:r>
    </w:p>
    <w:p>
      <w:pPr>
        <w:pStyle w:val="BodyText"/>
        <w:rPr/>
      </w:pPr>
      <w:r>
        <w:rPr/>
        <w:t xml:space="preserve">A live web edition of this report — same content, same charts — is hosted at </w:t>
      </w:r>
      <w:hyperlink r:id="rId18">
        <w:r>
          <w:rPr>
            <w:rStyle w:val="Hyperlink"/>
          </w:rPr>
          <w:t>https://mzyphur.github.io/gas-tax/</w:t>
        </w:r>
      </w:hyperlink>
      <w:r>
        <w:rPr/>
        <w:t xml:space="preserve">. It opens in any browser and can be shared as a link. The </w:t>
      </w:r>
      <w:hyperlink r:id="rId19">
        <w:r>
          <w:rPr>
            <w:rStyle w:val="Hyperlink"/>
          </w:rPr>
          <w:t>latest GitHub Release</w:t>
        </w:r>
      </w:hyperlink>
      <w:r>
        <w:rPr/>
        <w:t xml:space="preserve"> packages the report in Microsoft Word, HTML, and PDF formats. The full enumerated public audit package is described in Appendix C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p>
    <w:p>
      <w:pPr>
        <w:pStyle w:val="Normal"/>
        <w:rPr/>
      </w:pPr>
      <w:r>
        <w:rPr/>
        <mc:AlternateContent>
          <mc:Choice Requires="wps">
            <w:drawing>
              <wp:inline distT="0" distB="0" distL="0" distR="0">
                <wp:extent cx="59728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p>
    <w:p>
      <w:pPr>
        <w:pStyle w:val="Heading2"/>
        <w:keepNext w:val="true"/>
        <w:keepLines/>
        <w:spacing w:lineRule="auto" w:line="288" w:before="360" w:after="120"/>
        <w:rPr/>
      </w:pPr>
      <w:bookmarkStart w:id="63" w:name="sources-and-footnotes-1"/>
      <w:r>
        <w:rPr/>
        <w:t>Sources and footnotes</w:t>
      </w:r>
      <w:bookmarkEnd w:id="3"/>
      <w:bookmarkEnd w:id="63"/>
    </w:p>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 Australia v...</w:t>
      </w:r>
    </w:p>
  </w:footnote>
  <w:footnote w:id="67">
    <w:p>
      <w:r>
        <w:t xml:space="preserve">Repeated source: Primary sources: Australia Institute, Government revenue from LNG exports — Australia v...</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 confirmed A$...</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7">
    <w:p>
      <w:r>
        <w:t xml:space="preserve">Repeated source: Budget Paper 1 2025-26 Statement 3 p. 67; Strengthening Medicare package — A$8.4 bn ove...</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 Australia v...</w:t>
      </w:r>
    </w:p>
  </w:footnote>
  <w:footnote w:id="111">
    <w:p>
      <w:r>
        <w:t xml:space="preserve">Repeated source: Primary sources: Australia Institute, Government revenue from LNG exports — Australia v...</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 confirmed A$...</w:t>
      </w:r>
    </w:p>
  </w:footnote>
  <w:footnote w:id="116">
    <w:p>
      <w:r>
        <w:t xml:space="preserve">Repeated source: Australia Institute live tracker, https://gas.australiainstitute.org.au/ — confirmed A$...</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(v3.2.4)</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hyperlink" Target="https://mzyphur.github.io/gas-tax/" TargetMode="External"/><Relationship Id="rId19" Type="http://schemas.openxmlformats.org/officeDocument/2006/relationships/hyperlink" Target="https://github.com/mzyphur/gas-tax/releases/latest"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notes" Target="footnotes.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2026-05-17T09:09:33Z</dcterms:created>
  <dc:creator/>
  <dc:description/>
  <dc:language>en-AU</dc:language>
  <cp:lastModifiedBy/>
  <dcterms:modified xsi:type="dcterms:W3CDTF">2026-05-17T09:09:33Z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