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next to a beer, a HECS debt, a Norwegian sovereign wealth fund, or the choices in the current Commonwealth Budget? </w:t>
      </w:r>
      <w:r>
        <w:rPr>
          <w:b/>
          <w:bCs/>
        </w:rPr>
        <w:t>The short answer: less than the country collects from beer; about a tenth of what Norway collects per tonne; and roughly A$17 billion a year less than a 25 per cent export tax would raise — a sum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Open it in any browser, share it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v3.2.0.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now estimates that Australia will collect </w:t>
      </w:r>
      <w:r>
        <w:rPr>
          <w:b/>
          <w:bCs/>
        </w:rPr>
        <w:t>A$1.4 billion</w:t>
      </w:r>
      <w:r>
        <w:rPr/>
        <w:t xml:space="preserve"> from the Petroleum Resource Rent Tax (PRRT) in 2025-26 and </w:t>
      </w:r>
      <w:r>
        <w:rPr>
          <w:b/>
          <w:bCs/>
        </w:rPr>
        <w:t>A$1.9 billion</w:t>
      </w:r>
      <w:r>
        <w:rPr/>
        <w:t xml:space="preserve"> in 2026-27, the first Budget year after the release of Budget 2026-27. In the same two years, Australia is expected to collect </w:t>
      </w:r>
      <w:r>
        <w:rPr>
          <w:b/>
          <w:bCs/>
        </w:rPr>
        <w:t>A$2.71 billion</w:t>
      </w:r>
      <w:r>
        <w:rPr/>
        <w:t xml:space="preserve"> and </w:t>
      </w:r>
      <w:r>
        <w:rPr>
          <w:b/>
          <w:bCs/>
        </w:rPr>
        <w:t>A$2.81 billion</w:t>
      </w:r>
      <w:r>
        <w:rPr/>
        <w:t xml:space="preserve"> in excise on beer.</w:t>
      </w:r>
      <w:r>
        <w:rPr>
          <w:rFonts w:ascii="Inter" w:hAnsi="Inter" w:cs="Inter"/>
          <w:b/>
          <w:color w:val="3092B1"/>
          <w:position w:val="8"/>
          <w:sz w:val="18"/>
          <w:szCs w:val="18"/>
          <w:vertAlign w:val="superscript"/>
        </w:rPr>
        <w:footnoteReference w:id="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
      </w:r>
      <w:r>
        <w:rPr/>
        <w:t xml:space="preserve"> The February 2026 Senate Estimates exchange was therefore not overtaken by the new Budget. The 2026-27 papers lift PRRT in the near term, but beer excise still beats PRRT in every forward-estimates year to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is also, deliberately, a fair-minded steelmanning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4"/>
      </w:r>
      <w:r>
        <w:rPr/>
        <w:t xml:space="preserve"> Chevron made its first-ever PRRT payment in August 2025.</w:t>
      </w:r>
      <w:r>
        <w:rPr>
          <w:rFonts w:ascii="Inter" w:hAnsi="Inter" w:cs="Inter"/>
          <w:b/>
          <w:color w:val="3092B1"/>
          <w:position w:val="8"/>
          <w:sz w:val="18"/>
          <w:szCs w:val="18"/>
          <w:vertAlign w:val="superscript"/>
        </w:rPr>
        <w:footnoteReference w:id="5"/>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6"/>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9"/>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1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1"/>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2"/>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3"/>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4"/>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6"/>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7"/>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9"/>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20"/>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1"/>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2"/>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 Russian-invasion oil-price event,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3"/>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went sideways.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4"/>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5"/>
      </w:r>
      <w:r>
        <w:rPr/>
        <w:t xml:space="preserve"> Each year, the unused stock grew with uplift. At LTBR + 15pp for exploration, that stock compounded faster than most reasonable project rates of return. The system was, by design, running away from its own tax base.</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9"/>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30"/>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1"/>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2"/>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3"/>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5"/>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6"/>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7"/>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8"/>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9"/>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40"/>
      </w:r>
      <w:r>
        <w:rPr/>
        <w:t xml:space="preserve"> Post-2022 the headline reversed. 2024 calendar-year corporate income tax payments are now substantial: Chevron A$5 bn, Woodside A$4 bn.</w:t>
      </w:r>
      <w:r>
        <w:rPr>
          <w:rFonts w:ascii="Inter" w:hAnsi="Inter" w:cs="Inter"/>
          <w:b/>
          <w:color w:val="3092B1"/>
          <w:position w:val="8"/>
          <w:sz w:val="18"/>
          <w:szCs w:val="18"/>
          <w:vertAlign w:val="superscript"/>
        </w:rPr>
        <w:footnoteReference w:id="4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2"/>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3"/>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Trivial.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4"/>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proceeded not to collect.</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5"/>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6"/>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7"/>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8"/>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9"/>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50"/>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most damaging comparison Australia loses, however, is not the domestic one. It is the international one.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part the Australian industry argument usually skips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3"/>
      </w:r>
      <w:r>
        <w:rPr/>
        <w:t xml:space="preserve"> Per Norwegian resident, that’s approximately </w:t>
      </w:r>
      <w:r>
        <w:rPr>
          <w:b/>
          <w:bCs/>
        </w:rPr>
        <w:t>A$494,000</w:t>
      </w:r>
      <w:r>
        <w:rPr/>
        <w:t>.</w:t>
      </w:r>
    </w:p>
    <w:p>
      <w:pPr>
        <w:pStyle w:val="BodyText"/>
        <w:rPr/>
      </w:pPr>
      <w:r>
        <w:rPr/>
        <w:t xml:space="preserve">Australia’s Future Fund — a general-purpose fund, not built from petroleum revenue — held A$267.4 billion at 31 December 2025. Per Australian resident: </w:t>
      </w:r>
      <w:r>
        <w:rPr>
          <w:b/>
          <w:bCs/>
        </w:rPr>
        <w:t>A$10,050</w:t>
      </w:r>
      <w:r>
        <w:rPr/>
        <w:t>.</w:t>
      </w:r>
    </w:p>
    <w:p>
      <w:pPr>
        <w:pStyle w:val="BodyText"/>
        <w:rPr/>
      </w:pPr>
      <w:r>
        <w:rPr/>
        <w:t>At the end of 2025 the Norwegian Government Pension Fund Global was worth A$2.77 trillion — A$494,000 per Norwegian resident. Australia’s Future Fund, not built from any single resource, holds A$10,050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4,000 vs Australia Future Fund A$10,050 (~49×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4,000 vs Australia Future Fund A$10,050 (~49×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5"/>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steelmans the industry’s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strawman versions.</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r>
        <w:rPr>
          <w:rFonts w:ascii="Inter" w:hAnsi="Inter" w:cs="Inter"/>
          <w:b/>
          <w:color w:val="3092B1"/>
          <w:position w:val="8"/>
          <w:sz w:val="18"/>
          <w:szCs w:val="18"/>
          <w:vertAlign w:val="superscript"/>
        </w:rPr>
        <w:footnoteReference w:id="74"/>
      </w:r>
    </w:p>
    <w:p>
      <w:pPr>
        <w:pStyle w:val="BodyText"/>
        <w:rPr/>
      </w:pPr>
      <w:r>
        <w:rPr/>
        <w:t>Woodside Energy frames it the same way.</w:t>
      </w:r>
      <w:r>
        <w:rPr>
          <w:rFonts w:ascii="Inter" w:hAnsi="Inter" w:cs="Inter"/>
          <w:b/>
          <w:color w:val="3092B1"/>
          <w:position w:val="8"/>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not a rent figure.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8"/>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9"/>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80"/>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1"/>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2"/>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3"/>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4"/>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5"/>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6"/>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7"/>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8"/>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9"/>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90"/>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1"/>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2"/>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3"/>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A$494,000 per Norwegian resident</w:t>
      </w:r>
      <w:r>
        <w:rPr/>
        <w:t>) and Australia’s Future Fund (</w:t>
      </w:r>
      <w:r>
        <w:rPr>
          <w:b/>
          <w:bCs/>
        </w:rPr>
        <w:t>A$267.4 billion; A$10,050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LNG than the United States, less than Malaysia, roughly 15 times less than Qatar, and roughly 10 times less than Norway — an order of magnitude either way on the gas-only attribution that Part 3 lays out. Its sovereign wealth fund balance per citizen is roughly one-fortieth of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4"/>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7"/>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v3.2.0 (this version)</w:t>
      </w:r>
      <w:r>
        <w:rPr/>
        <w:t xml:space="preserve"> is the current public release. The substantive public changes are: the report is refreshed against Budget 2026-27; PRRT and beer-excise forward estimates are updated through 2029-30; the Budget-scale chart is rebuilt around current receipts, expenses, deficit and program-cost comparators; Appendix A is updated with current Budget values; source dossiers are updated for Budget 2026-27; and public charts and release artefacts are regenerated.</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5">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8">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18">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20">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1">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2">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23">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5">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research/05_industry_steelman.md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research/05_industry_steelman.md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research/05_industry_steelman.md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research/05_industry_steelman.md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31">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3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35">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36">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7">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38">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39">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40">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42">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Chevron Australia A$5 bn 2024 company tax; Woodside A$4 bn 2024 company tax. https://angeassociation.com/fact-check/do-lng-pay-tax-in-australia/</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3">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6">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7">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8">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9">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50">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51">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2">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53">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54">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6">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58">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9">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6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6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5">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6">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67">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68">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69">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70">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71">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72">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73">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7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research/05_industry_steelman.md</w:t>
      </w:r>
      <w:r>
        <w:rPr/>
        <w:t xml:space="preserve"> line 107. The 46 per cent figure aggregates company income tax (A$2.26 bn), PRRT (A$795.5 m), and state royalties; the rent-only sub-component is the A$795.5 m PRRT line.</w:t>
      </w:r>
    </w:p>
  </w:footnote>
  <w:footnote w:id="76">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77">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78">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9">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0">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1">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2">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3">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4">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5">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6">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7">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9">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90">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1">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92">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93">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4">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95">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96">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97">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98">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99">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100">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01">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10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103">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104">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105">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106">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07">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08">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09">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10">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1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112">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113">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114">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115">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6">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117">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Relationship Id="rId3"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2026-05-15T15:12:33Z</dcterms:created>
  <dc:creator/>
  <dc:description/>
  <dc:language>en-AU</dc:language>
  <cp:lastModifiedBy/>
  <dcterms:modified xsi:type="dcterms:W3CDTF">2026-05-15T15:12:33Z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