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w:t>
      </w:r>
      <w:hyperlink r:id="rId4">
        <w:r>
          <w:rPr>
            <w:rStyle w:val="Hyperlink"/>
          </w:rPr>
          <w:t>github.com/mzyphur/gas-tax</w:t>
        </w:r>
      </w:hyperlink>
      <w:r>
        <w:rPr/>
        <w:t xml:space="preserve">. ORCID: </w:t>
      </w:r>
      <w:hyperlink r:id="rId5">
        <w:r>
          <w:rPr>
            <w:rStyle w:val="Hyperlink"/>
          </w:rPr>
          <w:t>0000-0003-3237-7892</w:t>
        </w:r>
      </w:hyperlink>
      <w:r>
        <w:rPr/>
        <w:t>. DOI: 10.61700/7p5yeli67e.</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c-about-this-report">
        <w:r>
          <w:rPr>
            <w:rStyle w:val="Hyperlink"/>
          </w:rPr>
          <w:t>Appendix C</w:t>
        </w:r>
      </w:hyperlink>
      <w:r>
        <w:rPr/>
        <w:t>. Native figures are retained in parentheses where the audit trail benefits.</w:t>
      </w:r>
    </w:p>
    <w:p>
      <w:pPr>
        <w:pStyle w:val="BodyText"/>
        <w:rPr/>
      </w:pPr>
      <w:r>
        <w:rPr/>
        <w:t xml:space="preserve">About this report, the methodology summary, and the full FX table are in </w:t>
      </w:r>
      <w:hyperlink w:anchor="appendix-c-about-this-report">
        <w:r>
          <w:rPr>
            <w:rStyle w:val="Hyperlink"/>
          </w:rPr>
          <w:t>Appendix C</w:t>
        </w:r>
      </w:hyperlink>
      <w:r>
        <w:rPr/>
        <w:t xml:space="preserve">. The public audit package, what is and is not in this repository, is described in </w:t>
      </w:r>
      <w:hyperlink w:anchor="appendix-b-public-source-package">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the headline tax that mostly doesn’t collect</w:t>
        </w:r>
      </w:hyperlink>
    </w:p>
    <w:p>
      <w:pPr>
        <w:pStyle w:val="Compact"/>
        <w:numPr>
          <w:ilvl w:val="0"/>
          <w:numId w:val="8"/>
        </w:numPr>
        <w:rPr/>
      </w:pPr>
      <w:hyperlink w:anchor="Xc5c9dfb021fddb1b8119f5fb6dd5764746b049b">
        <w:r>
          <w:rPr>
            <w:rStyle w:val="Hyperlink"/>
          </w:rPr>
          <w:t>1.3   The 2023 deductions cap, a worked example in fiscal under-delivery</w:t>
        </w:r>
      </w:hyperlink>
    </w:p>
    <w:p>
      <w:pPr>
        <w:pStyle w:val="Compact"/>
        <w:numPr>
          <w:ilvl w:val="0"/>
          <w:numId w:val="8"/>
        </w:numPr>
        <w:rPr/>
      </w:pPr>
      <w:hyperlink w:anchor="Xfb75e06f762187a3a873b2858a842706ee67da2">
        <w:r>
          <w:rPr>
            <w:rStyle w:val="Hyperlink"/>
          </w:rPr>
          <w:t>1.4   Corporate income tax,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the gold standard</w:t>
        </w:r>
      </w:hyperlink>
    </w:p>
    <w:p>
      <w:pPr>
        <w:pStyle w:val="Compact"/>
        <w:numPr>
          <w:ilvl w:val="0"/>
          <w:numId w:val="8"/>
        </w:numPr>
        <w:rPr/>
      </w:pPr>
      <w:hyperlink w:anchor="X952919bff3aabc2622a5b058e26f20c1717bfde">
        <w:r>
          <w:rPr>
            <w:rStyle w:val="Hyperlink"/>
          </w:rPr>
          <w:t>3.2   Qatar, state ownership replaces tax</w:t>
        </w:r>
      </w:hyperlink>
    </w:p>
    <w:p>
      <w:pPr>
        <w:pStyle w:val="Compact"/>
        <w:numPr>
          <w:ilvl w:val="0"/>
          <w:numId w:val="8"/>
        </w:numPr>
        <w:rPr/>
      </w:pPr>
      <w:hyperlink w:anchor="Xfdb12ce3534c43390734ac4a90161f5faee6c77">
        <w:r>
          <w:rPr>
            <w:rStyle w:val="Hyperlink"/>
          </w:rPr>
          <w:t>3.3   United States, federal royalty + state severance + corporate income tax</w:t>
        </w:r>
      </w:hyperlink>
    </w:p>
    <w:p>
      <w:pPr>
        <w:pStyle w:val="Compact"/>
        <w:numPr>
          <w:ilvl w:val="0"/>
          <w:numId w:val="8"/>
        </w:numPr>
        <w:rPr/>
      </w:pPr>
      <w:hyperlink w:anchor="Xf93aa3f5c6fb027403b124f86a4cb8e555e2c24">
        <w:r>
          <w:rPr>
            <w:rStyle w:val="Hyperlink"/>
          </w:rPr>
          <w:t>3.4   United Kingdom, Ring Fence CT + Energy Profits Levy</w:t>
        </w:r>
      </w:hyperlink>
    </w:p>
    <w:p>
      <w:pPr>
        <w:pStyle w:val="Compact"/>
        <w:numPr>
          <w:ilvl w:val="0"/>
          <w:numId w:val="8"/>
        </w:numPr>
        <w:rPr/>
      </w:pPr>
      <w:hyperlink w:anchor="Xf7aa47a6691c1edaa7d869355a3db8b34b806a7">
        <w:r>
          <w:rPr>
            <w:rStyle w:val="Hyperlink"/>
          </w:rPr>
          <w:t>3.5   Malaysia, production-sharing contracts via PETRONAS</w:t>
        </w:r>
      </w:hyperlink>
    </w:p>
    <w:p>
      <w:pPr>
        <w:pStyle w:val="Compact"/>
        <w:numPr>
          <w:ilvl w:val="0"/>
          <w:numId w:val="8"/>
        </w:numPr>
        <w:rPr/>
      </w:pPr>
      <w:hyperlink w:anchor="X0f5f7291aa6d8d89a19894c1ea81b9e2b95a017">
        <w:r>
          <w:rPr>
            <w:rStyle w:val="Hyperlink"/>
          </w:rPr>
          <w:t>3.6   Japan,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the irony</w:t>
        </w:r>
      </w:hyperlink>
    </w:p>
    <w:p>
      <w:pPr>
        <w:pStyle w:val="Compact"/>
        <w:numPr>
          <w:ilvl w:val="0"/>
          <w:numId w:val="8"/>
        </w:numPr>
        <w:rPr/>
      </w:pPr>
      <w:hyperlink w:anchor="X6b48dbf96c05557e4fd786cff65ebb746bfa135">
        <w:r>
          <w:rPr>
            <w:rStyle w:val="Hyperlink"/>
          </w:rPr>
          <w:t>5.6   The Norwegian counterfactual,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appendix-b-public-source-package_1">
        <w:bookmarkStart w:id="13" w:name="appendix-b-public-source-package"/>
        <w:r>
          <w:rPr>
            <w:rStyle w:val="Hyperlink"/>
          </w:rPr>
          <w:t>Appendix B — Public source package</w:t>
        </w:r>
      </w:hyperlink>
      <w:bookmarkEnd w:id="13"/>
    </w:p>
    <w:p>
      <w:pPr>
        <w:pStyle w:val="Heading4"/>
        <w:rPr/>
      </w:pPr>
      <w:hyperlink w:anchor="appendix-c-about-this-report_1">
        <w:bookmarkStart w:id="14" w:name="appendix-c-about-this-report"/>
        <w:r>
          <w:rPr>
            <w:rStyle w:val="Hyperlink"/>
          </w:rPr>
          <w:t>Appendix C — About this report</w:t>
        </w:r>
      </w:hyperlink>
      <w:bookmarkEnd w:id="14"/>
    </w:p>
    <w:p>
      <w:pPr>
        <w:pStyle w:val="Heading4"/>
        <w:rPr/>
      </w:pPr>
      <w:hyperlink w:anchor="sources-and-footnotes_1">
        <w:bookmarkStart w:id="15"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3"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1: PRRT historical cash receipts and forward estimates, A$ million, FY2010-11 to FY2029-30"/>
                    <pic:cNvPicPr>
                      <a:picLocks noChangeAspect="1" noChangeArrowheads="1"/>
                    </pic:cNvPicPr>
                  </pic:nvPicPr>
                  <pic:blipFill>
                    <a:blip r:embed="rId10"/>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4"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Figure 10: Australia LNG export volume vs PRRT receipts, FY2014-15 to FY2024-25"/>
                    <pic:cNvPicPr>
                      <a:picLocks noChangeAspect="1" noChangeArrowheads="1"/>
                    </pic:cNvPicPr>
                  </pic:nvPicPr>
                  <pic:blipFill>
                    <a:blip r:embed="rId11"/>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8"/>
    </w:p>
    <w:p>
      <w:pPr>
        <w:pStyle w:val="Heading3"/>
        <w:rPr/>
      </w:pPr>
      <w:bookmarkStart w:id="19"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5"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Figure 2: PRRT receipts as a share of LNG export value, by financial year"/>
                    <pic:cNvPicPr>
                      <a:picLocks noChangeAspect="1" noChangeArrowheads="1"/>
                    </pic:cNvPicPr>
                  </pic:nvPicPr>
                  <pic:blipFill>
                    <a:blip r:embed="rId12"/>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6"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Figure 9: ATO Corporate Tax Transparency entity-level data, gas-industry corporates’ tax payable vs total income"/>
                    <pic:cNvPicPr>
                      <a:picLocks noChangeAspect="1" noChangeArrowheads="1"/>
                    </pic:cNvPicPr>
                  </pic:nvPicPr>
                  <pic:blipFill>
                    <a:blip r:embed="rId13"/>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9"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Figure 5: Beer excise vs PRRT receipts, A$ bn, FY2020-21 to FY2029-30 forecast"/>
                    <pic:cNvPicPr>
                      <a:picLocks noChangeAspect="1" noChangeArrowheads="1"/>
                    </pic:cNvPicPr>
                  </pic:nvPicPr>
                  <pic:blipFill>
                    <a:blip r:embed="rId14"/>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0"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Figure 6: PRRT in 2026-27 vs other Australian federal revenue lines, beer excise, fuel excise, tobacco excise, HECS repayments, major bank levy"/>
                    <pic:cNvPicPr>
                      <a:picLocks noChangeAspect="1" noChangeArrowheads="1"/>
                    </pic:cNvPicPr>
                  </pic:nvPicPr>
                  <pic:blipFill>
                    <a:blip r:embed="rId15"/>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3"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Figure 3: Per-tonne state take from LNG-equivalent gas, gas-only attribution, Qatar A$725, Malaysia A$682, Norway A$491, USA offshore A$61, Australia A$49"/>
                    <pic:cNvPicPr>
                      <a:picLocks noChangeAspect="1" noChangeArrowheads="1"/>
                    </pic:cNvPicPr>
                  </pic:nvPicPr>
                  <pic:blipFill>
                    <a:blip r:embed="rId16"/>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4"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Figure 12: Annual government petroleum revenue, A$ bn, Norway A$91.3, Qatar A$65.7, Malaysia A$25.6, USA A$22.8, Australia A$4.0 rent and royalty"/>
                    <pic:cNvPicPr>
                      <a:picLocks noChangeAspect="1" noChangeArrowheads="1"/>
                    </pic:cNvPicPr>
                  </pic:nvPicPr>
                  <pic:blipFill>
                    <a:blip r:embed="rId17"/>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5"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descr="Figure 7: Sovereign wealth fund balance per resident, A$, Norway A$491,000 vs Australia Future Fund A$9,646 (~51× ratio)"/>
                    <pic:cNvPicPr>
                      <a:picLocks noChangeAspect="1" noChangeArrowheads="1"/>
                    </pic:cNvPicPr>
                  </pic:nvPicPr>
                  <pic:blipFill>
                    <a:blip r:embed="rId18"/>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6"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Figure 11: Downstream buyer-country tax per tonne of Australian LNG, A$, Japan A$16.42, South Korea A$14.80, Taiwan A$0, China A$0, Australia (upstream) A$0"/>
                    <pic:cNvPicPr>
                      <a:picLocks noChangeAspect="1" noChangeArrowheads="1"/>
                    </pic:cNvPicPr>
                  </pic:nvPicPr>
                  <pic:blipFill>
                    <a:blip r:embed="rId19"/>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3"/>
    </w:p>
    <w:p>
      <w:pPr>
        <w:pStyle w:val="Heading3"/>
        <w:rPr/>
      </w:pPr>
      <w:bookmarkStart w:id="34"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0"/>
    </w:p>
    <w:p>
      <w:pPr>
        <w:pStyle w:val="Heading3"/>
        <w:rPr/>
      </w:pPr>
      <w:bookmarkStart w:id="41" w:name="we-do-pay-a21_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19"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20"/>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2"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descr="Figure 4: A$17 bn/yr in the current Budget, compared with PRRT, beer excise, childcare, JobSeeker and the underlying cash deficit"/>
                    <pic:cNvPicPr>
                      <a:picLocks noChangeAspect="1" noChangeArrowheads="1"/>
                    </pic:cNvPicPr>
                  </pic:nvPicPr>
                  <pic:blipFill>
                    <a:blip r:embed="rId21"/>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4"/>
    </w:p>
    <w:p>
      <w:pPr>
        <w:pStyle w:val="Heading3"/>
        <w:rPr/>
      </w:pPr>
      <w:bookmarkStart w:id="45"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b-public-source-package-1"/>
      <w:r>
        <w:rPr/>
        <w:t>Appendix B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about-this-report-1"/>
      <w:r>
        <w:rPr/>
        <w:t>Appendix C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22">
        <w:r>
          <w:rPr>
            <w:rStyle w:val="Hyperlink"/>
          </w:rPr>
          <w:t>https://mzyphur.github.io/gas-tax/</w:t>
        </w:r>
      </w:hyperlink>
      <w:r>
        <w:rPr/>
        <w:t xml:space="preserve">. It opens in any browser and can be shared as a link. The </w:t>
      </w:r>
      <w:hyperlink r:id="rId23">
        <w:r>
          <w:rPr>
            <w:rStyle w:val="Hyperlink"/>
          </w:rPr>
          <w:t>latest GitHub Release</w:t>
        </w:r>
      </w:hyperlink>
      <w:r>
        <w:rPr/>
        <w:t xml:space="preserve"> packages the report in Microsoft Word, HTML, and PDF formats. The full enumerated public audit package is described in Appendix B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About the author.</w:t>
      </w:r>
      <w:r>
        <w:rPr/>
        <w:t xml:space="preserve"> Michael J. Zyphur is the Director of Instats and a Professor of Quantitative Methods at the University of Queensland. His research is at </w:t>
      </w:r>
      <w:hyperlink r:id="rId24">
        <w:r>
          <w:rPr>
            <w:rStyle w:val="Hyperlink"/>
          </w:rPr>
          <w:t>Google Scholar</w:t>
        </w:r>
      </w:hyperlink>
      <w:r>
        <w:rPr/>
        <w:t xml:space="preserve">. Contact: </w:t>
      </w:r>
      <w:hyperlink r:id="rId25">
        <w:r>
          <w:rPr>
            <w:rStyle w:val="Hyperlink"/>
          </w:rPr>
          <w:t>support@instats.org</w:t>
        </w:r>
      </w:hyperlink>
      <w:r>
        <w:rPr/>
        <w:t>.</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3"/>
      <w:bookmarkEnd w:id="61"/>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gas-tax/" TargetMode="External"/><Relationship Id="rId7" Type="http://schemas.openxmlformats.org/officeDocument/2006/relationships/hyperlink" Target="https://mzyphur.github.io/gas-tax/Instats%20-%20Australia&apos;s%20Gas%20Export%20Tax%20Revenue.pdf" TargetMode="External"/><Relationship Id="rId8" Type="http://schemas.openxmlformats.org/officeDocument/2006/relationships/hyperlink" Target="https://mzyphur.github.io/gas-tax/Instats%20-%20Australia&apos;s%20Gas%20Export%20Tax%20Revenue.docx" TargetMode="External"/><Relationship Id="rId9" Type="http://schemas.openxmlformats.org/officeDocument/2006/relationships/hyperlink" Target="https://github.com/mzyphur/gas-tax"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mzyphur.github.io/gas-tax/" TargetMode="External"/><Relationship Id="rId23" Type="http://schemas.openxmlformats.org/officeDocument/2006/relationships/hyperlink" Target="https://github.com/mzyphur/gas-tax/releases/latest" TargetMode="External"/><Relationship Id="rId24" Type="http://schemas.openxmlformats.org/officeDocument/2006/relationships/hyperlink" Target="https://scholar.google.com/citations?user=J2VA-RMAAAAJ&amp;hl=en" TargetMode="External"/><Relationship Id="rId25" Type="http://schemas.openxmlformats.org/officeDocument/2006/relationships/hyperlink" Target="mailto:support@instats.org" TargetMode="External"/><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2026-05-21T00:22:59Z</dcterms:created>
  <dc:creator/>
  <dc:description/>
  <dc:language>en-AU</dc:language>
  <cp:lastModifiedBy/>
  <dcterms:modified xsi:type="dcterms:W3CDTF">2026-05-21T00:22:59Z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