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InstatsAbstract"/>
        <w:rPr/>
      </w:pPr>
      <w:r>
        <w:rPr/>
        <w:t xml:space="preserve">How much does Australia actually collect from its gas exports? And what does that look like compared with beer excise, HECS debt, a Norwegian sovereign wealth fund, and choices in the current Commonwealth Budget? </w:t>
      </w:r>
      <w:r>
        <w:rPr>
          <w:b/>
          <w:bCs/>
        </w:rPr>
        <w:t>The short answer: less than the country collects from beer; about a tenth of what Norway collects per tonne; and roughly A$17 billion a year less than a 25 per cent export tax would raise. That sum is roughly equal to annual Child Care Subsidy spending and more than half the 2026-27 underlying cash deficit.</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INSTATS-PS-2026-03</w:t>
      </w:r>
    </w:p>
    <w:p>
      <w:pPr>
        <w:pStyle w:val="BodyText"/>
        <w:rPr/>
      </w:pPr>
      <w:r>
        <w:rPr>
          <w:b/>
          <w:bCs/>
        </w:rPr>
        <w:t>Citation.</w:t>
      </w:r>
      <w:r>
        <w:rPr/>
        <w:t xml:space="preserve"> Zyphur, M. J. (2026). </w:t>
      </w:r>
      <w:r>
        <w:rPr>
          <w:i/>
          <w:iCs/>
        </w:rPr>
        <w:t>Australia’s Gas Export Tax Revenue: The Definitive Accounting.</w:t>
      </w:r>
      <w:r>
        <w:rPr/>
        <w:t xml:space="preserve"> Instats Policy Series, v3.2.4. </w:t>
      </w:r>
      <w:hyperlink r:id="rId4">
        <w:r>
          <w:rPr>
            <w:rStyle w:val="Hyperlink"/>
          </w:rPr>
          <w:t>github.com/mzyphur/gas-tax</w:t>
        </w:r>
      </w:hyperlink>
      <w:r>
        <w:rPr/>
        <w:t xml:space="preserve">. ORCID: </w:t>
      </w:r>
      <w:hyperlink r:id="rId5">
        <w:r>
          <w:rPr>
            <w:rStyle w:val="Hyperlink"/>
          </w:rPr>
          <w:t>0000-0003-3237-7892</w:t>
        </w:r>
      </w:hyperlink>
      <w:r>
        <w:rPr/>
        <w:t xml:space="preserve">. DOI: forthcoming via CrossRef (see </w:t>
      </w:r>
      <w:r>
        <w:rPr>
          <w:rStyle w:val="VerbatimChar"/>
        </w:rPr>
        <w:t>CITATION.cff</w:t>
      </w:r>
      <w:r>
        <w:rPr/>
        <w:t>).</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BodyText"/>
        <w:rPr/>
      </w:pPr>
      <w:r>
        <w:rPr>
          <w:b/>
          <w:bCs/>
        </w:rPr>
        <w:t>Currency.</w:t>
      </w:r>
      <w:r>
        <w:rPr/>
        <w:t xml:space="preserve"> All figures in Australian dollars (A$). Foreign-currency primary-source figures are converted at the RBA F11.1 daily fix on 2026-05-11; the full FX rate table is in </w:t>
      </w:r>
      <w:hyperlink w:anchor="appendix-d-about-this-report">
        <w:r>
          <w:rPr>
            <w:rStyle w:val="Hyperlink"/>
          </w:rPr>
          <w:t>Appendix D</w:t>
        </w:r>
      </w:hyperlink>
      <w:r>
        <w:rPr/>
        <w:t>. Native figures are retained in parentheses where the audit trail benefits.</w:t>
      </w:r>
    </w:p>
    <w:p>
      <w:pPr>
        <w:pStyle w:val="BodyText"/>
        <w:rPr/>
      </w:pPr>
      <w:r>
        <w:rPr/>
        <w:t xml:space="preserve">About this report, the methodology summary, the AI assistance disclosure, and the full FX table are in </w:t>
      </w:r>
      <w:hyperlink w:anchor="appendix-d-about-this-report">
        <w:r>
          <w:rPr>
            <w:rStyle w:val="Hyperlink"/>
          </w:rPr>
          <w:t>Appendix D</w:t>
        </w:r>
      </w:hyperlink>
      <w:r>
        <w:rPr/>
        <w:t xml:space="preserve">. The public audit package — what is and is not in this repository — is described in </w:t>
      </w:r>
      <w:hyperlink w:anchor="appendix-c-public-source-package">
        <w:r>
          <w:rPr>
            <w:rStyle w:val="Hyperlink"/>
          </w:rPr>
          <w:t>Appendix C</w:t>
        </w:r>
      </w:hyperlink>
      <w:r>
        <w:rPr/>
        <w:t xml:space="preserve">. The version history is in </w:t>
      </w:r>
      <w:hyperlink w:anchor="Xdecad1d323003472d7853327632f59dcf536132">
        <w:r>
          <w:rPr>
            <w:rStyle w:val="Hyperlink"/>
          </w:rPr>
          <w:t>Appendix B</w:t>
        </w:r>
      </w:hyperlink>
      <w:r>
        <w:rPr/>
        <w:t>.</w:t>
      </w:r>
      <w:bookmarkEnd w:id="0"/>
      <w:bookmarkEnd w:id="1"/>
    </w:p>
    <w:p>
      <w:pPr>
        <w:pStyle w:val="Heading1"/>
        <w:rPr/>
      </w:pPr>
      <w:bookmarkStart w:id="2" w:name="contents"/>
      <w:r>
        <w:rPr/>
        <w:t>Contents</w:t>
      </w:r>
    </w:p>
    <w:p>
      <w:pPr>
        <w:pStyle w:val="Heading4"/>
        <w:rPr/>
      </w:pPr>
      <w:hyperlink w:anchor="the-finding">
        <w:bookmarkStart w:id="3" w:name="executive-summary"/>
        <w:r>
          <w:rPr>
            <w:rStyle w:val="Hyperlink"/>
          </w:rPr>
          <w:t>Executive summary</w:t>
        </w:r>
      </w:hyperlink>
      <w:bookmarkEnd w:id="3"/>
    </w:p>
    <w:p>
      <w:pPr>
        <w:pStyle w:val="Heading4"/>
        <w:rPr/>
      </w:pPr>
      <w:hyperlink w:anchor="X8eb7381e2a8b189ff29d0aa0b702ee54abe0fd2">
        <w:bookmarkStart w:id="4" w:name="part-1-what-australia-actually-collects"/>
        <w:r>
          <w:rPr>
            <w:rStyle w:val="Hyperlink"/>
          </w:rPr>
          <w:t>Part 1 — What Australia actually collects</w:t>
        </w:r>
      </w:hyperlink>
    </w:p>
    <w:p>
      <w:pPr>
        <w:pStyle w:val="Compact"/>
        <w:numPr>
          <w:ilvl w:val="0"/>
          <w:numId w:val="7"/>
        </w:numPr>
        <w:rPr/>
      </w:pPr>
      <w:hyperlink w:anchor="Xa4a00580d3056e10f75fe5b98d17695fd389adc">
        <w:r>
          <w:rPr>
            <w:rStyle w:val="Hyperlink"/>
          </w:rPr>
          <w:t>1.1   The four heads of revenue</w:t>
        </w:r>
      </w:hyperlink>
    </w:p>
    <w:p>
      <w:pPr>
        <w:pStyle w:val="Compact"/>
        <w:numPr>
          <w:ilvl w:val="0"/>
          <w:numId w:val="7"/>
        </w:numPr>
        <w:rPr/>
      </w:pPr>
      <w:hyperlink w:anchor="Xcf21b791eab80b7e94776bc80bec3e519df06f2">
        <w:r>
          <w:rPr>
            <w:rStyle w:val="Hyperlink"/>
          </w:rPr>
          <w:t>1.2   PRRT in detail — the headline tax that mostly doesn’t collect</w:t>
        </w:r>
      </w:hyperlink>
    </w:p>
    <w:p>
      <w:pPr>
        <w:pStyle w:val="Compact"/>
        <w:numPr>
          <w:ilvl w:val="0"/>
          <w:numId w:val="7"/>
        </w:numPr>
        <w:rPr/>
      </w:pPr>
      <w:hyperlink w:anchor="Xc5c9dfb021fddb1b8119f5fb6dd5764746b049b">
        <w:r>
          <w:rPr>
            <w:rStyle w:val="Hyperlink"/>
          </w:rPr>
          <w:t>1.3   The 2023 deductions cap — a worked example in fiscal under-delivery</w:t>
        </w:r>
      </w:hyperlink>
    </w:p>
    <w:p>
      <w:pPr>
        <w:pStyle w:val="Compact"/>
        <w:numPr>
          <w:ilvl w:val="0"/>
          <w:numId w:val="7"/>
        </w:numPr>
        <w:rPr/>
      </w:pPr>
      <w:hyperlink w:anchor="Xfb75e06f762187a3a873b2858a842706ee67da2">
        <w:r>
          <w:rPr>
            <w:rStyle w:val="Hyperlink"/>
          </w:rPr>
          <w:t>1.4   Corporate income tax — the ATO’s decade of zeros</w:t>
        </w:r>
      </w:hyperlink>
    </w:p>
    <w:p>
      <w:pPr>
        <w:pStyle w:val="Compact"/>
        <w:numPr>
          <w:ilvl w:val="0"/>
          <w:numId w:val="7"/>
        </w:numPr>
        <w:rPr/>
      </w:pPr>
      <w:hyperlink w:anchor="X06c0ece890674efc080050cbd448515a7ffff8e">
        <w:r>
          <w:rPr>
            <w:rStyle w:val="Hyperlink"/>
          </w:rPr>
          <w:t>1.5   State royalties and the NWS grandfathered Commonwealth royalty</w:t>
        </w:r>
      </w:hyperlink>
      <w:bookmarkEnd w:id="4"/>
    </w:p>
    <w:p>
      <w:pPr>
        <w:pStyle w:val="Heading4"/>
        <w:rPr/>
      </w:pPr>
      <w:hyperlink w:anchor="Xb5d195b6178af8534aa9e9eab66ffb67aa6a9e1">
        <w:bookmarkStart w:id="5" w:name="Xd71e7d8486524f410788e3a3382bd56a9409587"/>
        <w:r>
          <w:rPr>
            <w:rStyle w:val="Hyperlink"/>
          </w:rPr>
          <w:t>Part 2 — The Pocock comparisons (and the cleaner ones)</w:t>
        </w:r>
      </w:hyperlink>
    </w:p>
    <w:p>
      <w:pPr>
        <w:pStyle w:val="Compact"/>
        <w:numPr>
          <w:ilvl w:val="0"/>
          <w:numId w:val="7"/>
        </w:numPr>
        <w:rPr/>
      </w:pPr>
      <w:hyperlink w:anchor="X46e066611b7be367e054dc1a702021beb053ce0">
        <w:r>
          <w:rPr>
            <w:rStyle w:val="Hyperlink"/>
          </w:rPr>
          <w:t>2.1   The beer-versus-PRRT exchange</w:t>
        </w:r>
      </w:hyperlink>
    </w:p>
    <w:p>
      <w:pPr>
        <w:pStyle w:val="Compact"/>
        <w:numPr>
          <w:ilvl w:val="0"/>
          <w:numId w:val="7"/>
        </w:numPr>
        <w:rPr/>
      </w:pPr>
      <w:hyperlink w:anchor="X7648b82aa587314acb2a4b98d7d106b6c28ed5f">
        <w:r>
          <w:rPr>
            <w:rStyle w:val="Hyperlink"/>
          </w:rPr>
          <w:t>2.2   The wider comparator picture</w:t>
        </w:r>
      </w:hyperlink>
    </w:p>
    <w:p>
      <w:pPr>
        <w:pStyle w:val="Compact"/>
        <w:numPr>
          <w:ilvl w:val="0"/>
          <w:numId w:val="7"/>
        </w:numPr>
        <w:rPr/>
      </w:pPr>
      <w:hyperlink w:anchor="Xe4b3e4bec663cd63f901273ed0b30512acda275">
        <w:r>
          <w:rPr>
            <w:rStyle w:val="Hyperlink"/>
          </w:rPr>
          <w:t>2.3   The Dissenting Report and the HECS / nurses extensions</w:t>
        </w:r>
      </w:hyperlink>
      <w:bookmarkEnd w:id="5"/>
    </w:p>
    <w:p>
      <w:pPr>
        <w:pStyle w:val="Heading4"/>
        <w:rPr/>
      </w:pPr>
      <w:hyperlink w:anchor="part-3-how-other-countries-do-this_1">
        <w:bookmarkStart w:id="6" w:name="part-3-how-other-countries-do-this"/>
        <w:r>
          <w:rPr>
            <w:rStyle w:val="Hyperlink"/>
          </w:rPr>
          <w:t>Part 3 — How other countries do this</w:t>
        </w:r>
      </w:hyperlink>
    </w:p>
    <w:p>
      <w:pPr>
        <w:pStyle w:val="Compact"/>
        <w:numPr>
          <w:ilvl w:val="0"/>
          <w:numId w:val="7"/>
        </w:numPr>
        <w:rPr/>
      </w:pPr>
      <w:hyperlink w:anchor="Xa6338a95a3aa6e9d4d4000c98038a4fceb5df69">
        <w:r>
          <w:rPr>
            <w:rStyle w:val="Hyperlink"/>
          </w:rPr>
          <w:t>3.1   Norway — the gold standard</w:t>
        </w:r>
      </w:hyperlink>
    </w:p>
    <w:p>
      <w:pPr>
        <w:pStyle w:val="Compact"/>
        <w:numPr>
          <w:ilvl w:val="0"/>
          <w:numId w:val="7"/>
        </w:numPr>
        <w:rPr/>
      </w:pPr>
      <w:hyperlink w:anchor="X952919bff3aabc2622a5b058e26f20c1717bfde">
        <w:r>
          <w:rPr>
            <w:rStyle w:val="Hyperlink"/>
          </w:rPr>
          <w:t>3.2   Qatar — state ownership replaces tax</w:t>
        </w:r>
      </w:hyperlink>
    </w:p>
    <w:p>
      <w:pPr>
        <w:pStyle w:val="Compact"/>
        <w:numPr>
          <w:ilvl w:val="0"/>
          <w:numId w:val="7"/>
        </w:numPr>
        <w:rPr/>
      </w:pPr>
      <w:hyperlink w:anchor="Xfdb12ce3534c43390734ac4a90161f5faee6c77">
        <w:r>
          <w:rPr>
            <w:rStyle w:val="Hyperlink"/>
          </w:rPr>
          <w:t>3.3   United States — federal royalty + state severance + corporate income tax</w:t>
        </w:r>
      </w:hyperlink>
    </w:p>
    <w:p>
      <w:pPr>
        <w:pStyle w:val="Compact"/>
        <w:numPr>
          <w:ilvl w:val="0"/>
          <w:numId w:val="7"/>
        </w:numPr>
        <w:rPr/>
      </w:pPr>
      <w:hyperlink w:anchor="Xf93aa3f5c6fb027403b124f86a4cb8e555e2c24">
        <w:r>
          <w:rPr>
            <w:rStyle w:val="Hyperlink"/>
          </w:rPr>
          <w:t>3.4   United Kingdom — Ring Fence CT + Energy Profits Levy</w:t>
        </w:r>
      </w:hyperlink>
    </w:p>
    <w:p>
      <w:pPr>
        <w:pStyle w:val="Compact"/>
        <w:numPr>
          <w:ilvl w:val="0"/>
          <w:numId w:val="7"/>
        </w:numPr>
        <w:rPr/>
      </w:pPr>
      <w:hyperlink w:anchor="Xf7aa47a6691c1edaa7d869355a3db8b34b806a7">
        <w:r>
          <w:rPr>
            <w:rStyle w:val="Hyperlink"/>
          </w:rPr>
          <w:t>3.5   Malaysia — production-sharing contracts via PETRONAS</w:t>
        </w:r>
      </w:hyperlink>
    </w:p>
    <w:p>
      <w:pPr>
        <w:pStyle w:val="Compact"/>
        <w:numPr>
          <w:ilvl w:val="0"/>
          <w:numId w:val="7"/>
        </w:numPr>
        <w:rPr/>
      </w:pPr>
      <w:hyperlink w:anchor="X0f5f7291aa6d8d89a19894c1ea81b9e2b95a017">
        <w:r>
          <w:rPr>
            <w:rStyle w:val="Hyperlink"/>
          </w:rPr>
          <w:t>3.6   Japan — the destination-market angle</w:t>
        </w:r>
      </w:hyperlink>
    </w:p>
    <w:p>
      <w:pPr>
        <w:pStyle w:val="Compact"/>
        <w:numPr>
          <w:ilvl w:val="0"/>
          <w:numId w:val="7"/>
        </w:numPr>
        <w:rPr/>
      </w:pPr>
      <w:hyperlink w:anchor="X88168bf3e6d8b4d4f391d52ee29bb96821f3d5c">
        <w:r>
          <w:rPr>
            <w:rStyle w:val="Hyperlink"/>
          </w:rPr>
          <w:t>3.7   The Middle East lesson</w:t>
        </w:r>
      </w:hyperlink>
      <w:bookmarkEnd w:id="6"/>
    </w:p>
    <w:p>
      <w:pPr>
        <w:pStyle w:val="Heading4"/>
        <w:rPr/>
      </w:pPr>
      <w:hyperlink w:anchor="X83668cd0f25fa165a365abc28f694291fdab17d">
        <w:bookmarkStart w:id="7" w:name="Xda87968ad6adc1a5b6b25f2d6c5d48a99e42b6e"/>
        <w:r>
          <w:rPr>
            <w:rStyle w:val="Hyperlink"/>
          </w:rPr>
          <w:t>Part 4 — The industry’s case, in its own words</w:t>
        </w:r>
      </w:hyperlink>
    </w:p>
    <w:p>
      <w:pPr>
        <w:pStyle w:val="Compact"/>
        <w:numPr>
          <w:ilvl w:val="0"/>
          <w:numId w:val="7"/>
        </w:numPr>
        <w:rPr/>
      </w:pPr>
      <w:hyperlink w:anchor="X93824a89579ba39d4b930977c2b365c6dcbf9cc">
        <w:r>
          <w:rPr>
            <w:rStyle w:val="Hyperlink"/>
          </w:rPr>
          <w:t>4.1   “We paid for the infrastructure”</w:t>
        </w:r>
      </w:hyperlink>
    </w:p>
    <w:p>
      <w:pPr>
        <w:pStyle w:val="Compact"/>
        <w:numPr>
          <w:ilvl w:val="0"/>
          <w:numId w:val="7"/>
        </w:numPr>
        <w:rPr/>
      </w:pPr>
      <w:hyperlink w:anchor="Xaa222d7f6acb36dd4b670d14bedff5f9ceab3f6">
        <w:r>
          <w:rPr>
            <w:rStyle w:val="Hyperlink"/>
          </w:rPr>
          <w:t>4.2   “Long-term contracts mean we don’t realise spot prices”</w:t>
        </w:r>
      </w:hyperlink>
    </w:p>
    <w:p>
      <w:pPr>
        <w:pStyle w:val="Compact"/>
        <w:numPr>
          <w:ilvl w:val="0"/>
          <w:numId w:val="7"/>
        </w:numPr>
        <w:rPr/>
      </w:pPr>
      <w:hyperlink w:anchor="Xb12e9b55f366e827cd9f622aeb1cbd2e753c6ea">
        <w:r>
          <w:rPr>
            <w:rStyle w:val="Hyperlink"/>
          </w:rPr>
          <w:t>4.3   “Norway proves a high rate doesn’t deter investment — IF the design is cash-flow neutral”</w:t>
        </w:r>
      </w:hyperlink>
    </w:p>
    <w:p>
      <w:pPr>
        <w:pStyle w:val="Compact"/>
        <w:numPr>
          <w:ilvl w:val="0"/>
          <w:numId w:val="7"/>
        </w:numPr>
        <w:rPr/>
      </w:pPr>
      <w:hyperlink w:anchor="Xaccbd30f65e027f53bb0375af6ac2e36af0e2bd">
        <w:r>
          <w:rPr>
            <w:rStyle w:val="Hyperlink"/>
          </w:rPr>
          <w:t>4.4   “The 2023 reforms already happened”</w:t>
        </w:r>
      </w:hyperlink>
    </w:p>
    <w:p>
      <w:pPr>
        <w:pStyle w:val="Compact"/>
        <w:numPr>
          <w:ilvl w:val="0"/>
          <w:numId w:val="7"/>
        </w:numPr>
        <w:rPr/>
      </w:pPr>
      <w:hyperlink w:anchor="Xacaf8928d389920f18562dcb36667fd8e9a3fda">
        <w:r>
          <w:rPr>
            <w:rStyle w:val="Hyperlink"/>
          </w:rPr>
          <w:t>4.5   “We do pay — A$21.9 billion in 2024-25”</w:t>
        </w:r>
      </w:hyperlink>
    </w:p>
    <w:p>
      <w:pPr>
        <w:pStyle w:val="Compact"/>
        <w:numPr>
          <w:ilvl w:val="0"/>
          <w:numId w:val="7"/>
        </w:numPr>
        <w:rPr/>
      </w:pPr>
      <w:hyperlink w:anchor="Xd7081d5b2cc83fa833aa7bf1b83d0fdb9cd182f">
        <w:r>
          <w:rPr>
            <w:rStyle w:val="Hyperlink"/>
          </w:rPr>
          <w:t>4.6   What survives the critique</w:t>
        </w:r>
      </w:hyperlink>
      <w:bookmarkEnd w:id="7"/>
    </w:p>
    <w:p>
      <w:pPr>
        <w:pStyle w:val="Heading4"/>
        <w:rPr/>
      </w:pPr>
      <w:hyperlink w:anchor="X7a272a2035ec9d6da01afa0c743b4f7ded31476">
        <w:bookmarkStart w:id="8" w:name="part-5-what-a17-billion-a-year-would-buy"/>
        <w:r>
          <w:rPr>
            <w:rStyle w:val="Hyperlink"/>
          </w:rPr>
          <w:t>Part 5 — What A$17 billion a year would buy</w:t>
        </w:r>
      </w:hyperlink>
    </w:p>
    <w:p>
      <w:pPr>
        <w:pStyle w:val="Compact"/>
        <w:numPr>
          <w:ilvl w:val="0"/>
          <w:numId w:val="7"/>
        </w:numPr>
        <w:rPr/>
      </w:pPr>
      <w:hyperlink w:anchor="X505abfc2310b8359428efa69a07f485fe9c05e3">
        <w:r>
          <w:rPr>
            <w:rStyle w:val="Hyperlink"/>
          </w:rPr>
          <w:t>5.1   Childcare — universal access</w:t>
        </w:r>
      </w:hyperlink>
    </w:p>
    <w:p>
      <w:pPr>
        <w:pStyle w:val="Compact"/>
        <w:numPr>
          <w:ilvl w:val="0"/>
          <w:numId w:val="7"/>
        </w:numPr>
        <w:rPr/>
      </w:pPr>
      <w:hyperlink w:anchor="X3a341d887335c4afa77a76699ace6e834455144">
        <w:r>
          <w:rPr>
            <w:rStyle w:val="Hyperlink"/>
          </w:rPr>
          <w:t>5.2   University, TAFE, and HECS-HELP</w:t>
        </w:r>
      </w:hyperlink>
    </w:p>
    <w:p>
      <w:pPr>
        <w:pStyle w:val="Compact"/>
        <w:numPr>
          <w:ilvl w:val="0"/>
          <w:numId w:val="7"/>
        </w:numPr>
        <w:rPr/>
      </w:pPr>
      <w:hyperlink w:anchor="X0e748be7c899d5a0e254a81103cd04d04bce760">
        <w:r>
          <w:rPr>
            <w:rStyle w:val="Hyperlink"/>
          </w:rPr>
          <w:t>5.3   Medicare expansion</w:t>
        </w:r>
      </w:hyperlink>
    </w:p>
    <w:p>
      <w:pPr>
        <w:pStyle w:val="Compact"/>
        <w:numPr>
          <w:ilvl w:val="0"/>
          <w:numId w:val="7"/>
        </w:numPr>
        <w:rPr/>
      </w:pPr>
      <w:hyperlink w:anchor="Xe2da354196ffb0a565ed16acc68f5844d8c079e">
        <w:r>
          <w:rPr>
            <w:rStyle w:val="Hyperlink"/>
          </w:rPr>
          <w:t>5.4   Housing</w:t>
        </w:r>
      </w:hyperlink>
    </w:p>
    <w:p>
      <w:pPr>
        <w:pStyle w:val="Compact"/>
        <w:numPr>
          <w:ilvl w:val="0"/>
          <w:numId w:val="7"/>
        </w:numPr>
        <w:rPr/>
      </w:pPr>
      <w:hyperlink w:anchor="X99904f1fcbbcc9277033c0b5ff6821fd5dee79f">
        <w:r>
          <w:rPr>
            <w:rStyle w:val="Hyperlink"/>
          </w:rPr>
          <w:t>5.5   Energy bill relief — the irony</w:t>
        </w:r>
      </w:hyperlink>
    </w:p>
    <w:p>
      <w:pPr>
        <w:pStyle w:val="Compact"/>
        <w:numPr>
          <w:ilvl w:val="0"/>
          <w:numId w:val="7"/>
        </w:numPr>
        <w:rPr/>
      </w:pPr>
      <w:hyperlink w:anchor="X6b48dbf96c05557e4fd786cff65ebb746bfa135">
        <w:r>
          <w:rPr>
            <w:rStyle w:val="Hyperlink"/>
          </w:rPr>
          <w:t>5.6   The Norwegian counterfactual — a sovereign wealth fund</w:t>
        </w:r>
      </w:hyperlink>
    </w:p>
    <w:p>
      <w:pPr>
        <w:pStyle w:val="Compact"/>
        <w:numPr>
          <w:ilvl w:val="0"/>
          <w:numId w:val="7"/>
        </w:numPr>
        <w:rPr/>
      </w:pPr>
      <w:hyperlink w:anchor="Xd6751e92453d8335160b2dfd5e5f2a49676f548">
        <w:r>
          <w:rPr>
            <w:rStyle w:val="Hyperlink"/>
          </w:rPr>
          <w:t>5.7   Defence and AUKUS</w:t>
        </w:r>
      </w:hyperlink>
      <w:bookmarkEnd w:id="8"/>
    </w:p>
    <w:p>
      <w:pPr>
        <w:pStyle w:val="Heading4"/>
        <w:rPr/>
      </w:pPr>
      <w:hyperlink w:anchor="part-6-recommendations_1">
        <w:bookmarkStart w:id="9" w:name="part-6-recommendations"/>
        <w:r>
          <w:rPr>
            <w:rStyle w:val="Hyperlink"/>
          </w:rPr>
          <w:t>Part 6 — Recommendations</w:t>
        </w:r>
      </w:hyperlink>
    </w:p>
    <w:p>
      <w:pPr>
        <w:pStyle w:val="Compact"/>
        <w:numPr>
          <w:ilvl w:val="0"/>
          <w:numId w:val="7"/>
        </w:numPr>
        <w:rPr/>
      </w:pPr>
      <w:hyperlink w:anchor="Xf8e3c3e53c7e4690a8a7cb6965a6efaaf4b4bf7">
        <w:r>
          <w:rPr>
            <w:rStyle w:val="Hyperlink"/>
          </w:rPr>
          <w:t>6.1   If the goal is rent capture, fix the PRRT design, don’t replace it</w:t>
        </w:r>
      </w:hyperlink>
    </w:p>
    <w:p>
      <w:pPr>
        <w:pStyle w:val="Compact"/>
        <w:numPr>
          <w:ilvl w:val="0"/>
          <w:numId w:val="7"/>
        </w:numPr>
        <w:rPr/>
      </w:pPr>
      <w:hyperlink w:anchor="X6b305f047b5c992279cb206ed99ca6c445edaf7">
        <w:r>
          <w:rPr>
            <w:rStyle w:val="Hyperlink"/>
          </w:rPr>
          <w:t>6.2   If the goal is gross revenue + simplicity, use a hybrid royalty</w:t>
        </w:r>
      </w:hyperlink>
    </w:p>
    <w:p>
      <w:pPr>
        <w:pStyle w:val="Compact"/>
        <w:numPr>
          <w:ilvl w:val="0"/>
          <w:numId w:val="7"/>
        </w:numPr>
        <w:rPr/>
      </w:pPr>
      <w:hyperlink w:anchor="Xabb48e2fe122cc4b39e092a29d4a7185920d316">
        <w:r>
          <w:rPr>
            <w:rStyle w:val="Hyperlink"/>
          </w:rPr>
          <w:t>6.3   If the goal is the cleanest political instrument, a 25 per cent export levy</w:t>
        </w:r>
      </w:hyperlink>
    </w:p>
    <w:p>
      <w:pPr>
        <w:pStyle w:val="Compact"/>
        <w:numPr>
          <w:ilvl w:val="0"/>
          <w:numId w:val="7"/>
        </w:numPr>
        <w:rPr/>
      </w:pPr>
      <w:hyperlink w:anchor="X125a38ddb390062fb5886f769a921a458111860">
        <w:r>
          <w:rPr>
            <w:rStyle w:val="Hyperlink"/>
          </w:rPr>
          <w:t>6.4   Whatever else is done, fund a Norway-style sovereign wealth fund</w:t>
        </w:r>
      </w:hyperlink>
    </w:p>
    <w:p>
      <w:pPr>
        <w:pStyle w:val="Compact"/>
        <w:numPr>
          <w:ilvl w:val="0"/>
          <w:numId w:val="7"/>
        </w:numPr>
        <w:rPr/>
      </w:pPr>
      <w:hyperlink w:anchor="Xad3d02f68731ba493fd57d1e199d708168f3ac0">
        <w:r>
          <w:rPr>
            <w:rStyle w:val="Hyperlink"/>
          </w:rPr>
          <w:t>6.5   What the political debate keeps getting wrong</w:t>
        </w:r>
      </w:hyperlink>
      <w:bookmarkEnd w:id="9"/>
    </w:p>
    <w:p>
      <w:pPr>
        <w:pStyle w:val="Heading4"/>
        <w:rPr/>
      </w:pPr>
      <w:hyperlink w:anchor="conclusion_1">
        <w:bookmarkStart w:id="10" w:name="conclusion"/>
        <w:r>
          <w:rPr>
            <w:rStyle w:val="Hyperlink"/>
          </w:rPr>
          <w:t>Conclusion</w:t>
        </w:r>
      </w:hyperlink>
      <w:bookmarkEnd w:id="10"/>
    </w:p>
    <w:p>
      <w:pPr>
        <w:pStyle w:val="Heading4"/>
        <w:rPr/>
      </w:pPr>
      <w:hyperlink w:anchor="appendix-a-headline-data-table_1">
        <w:bookmarkStart w:id="11" w:name="appendix-a-headline-data-table"/>
        <w:r>
          <w:rPr>
            <w:rStyle w:val="Hyperlink"/>
          </w:rPr>
          <w:t>Appendix A — Headline data table</w:t>
        </w:r>
      </w:hyperlink>
      <w:bookmarkEnd w:id="11"/>
    </w:p>
    <w:p>
      <w:pPr>
        <w:pStyle w:val="Heading4"/>
        <w:rPr/>
      </w:pPr>
      <w:hyperlink w:anchor="Xa0d52478101802b708a7a53ca551dcb14cb1788">
        <w:bookmarkStart w:id="12" w:name="Xdecad1d323003472d7853327632f59dcf536132"/>
        <w:r>
          <w:rPr>
            <w:rStyle w:val="Hyperlink"/>
          </w:rPr>
          <w:t>Appendix B — Public audit notes and version history</w:t>
        </w:r>
      </w:hyperlink>
      <w:bookmarkEnd w:id="12"/>
    </w:p>
    <w:p>
      <w:pPr>
        <w:pStyle w:val="Heading4"/>
        <w:rPr/>
      </w:pPr>
      <w:hyperlink w:anchor="appendix-c-public-source-package_1">
        <w:bookmarkStart w:id="13" w:name="appendix-c-public-source-package"/>
        <w:r>
          <w:rPr>
            <w:rStyle w:val="Hyperlink"/>
          </w:rPr>
          <w:t>Appendix C — Public source package</w:t>
        </w:r>
      </w:hyperlink>
      <w:bookmarkEnd w:id="13"/>
    </w:p>
    <w:p>
      <w:pPr>
        <w:pStyle w:val="Heading4"/>
        <w:rPr/>
      </w:pPr>
      <w:hyperlink w:anchor="appendix-d-about-this-report_1">
        <w:bookmarkStart w:id="14" w:name="appendix-d-about-this-report"/>
        <w:r>
          <w:rPr>
            <w:rStyle w:val="Hyperlink"/>
          </w:rPr>
          <w:t>Appendix D — About this report</w:t>
        </w:r>
      </w:hyperlink>
      <w:bookmarkEnd w:id="14"/>
    </w:p>
    <w:p>
      <w:pPr>
        <w:pStyle w:val="Heading4"/>
        <w:rPr/>
      </w:pPr>
      <w:hyperlink w:anchor="sources-and-footnotes_1">
        <w:bookmarkStart w:id="15"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InstatsExecBand"/>
        <w:rPr/>
      </w:pPr>
      <w:r>
        <w:rPr/>
        <w:t>Executive summary</w:t>
      </w:r>
      <w:bookmarkEnd w:id="15"/>
    </w:p>
    <w:p>
      <w:pPr>
        <w:pStyle w:val="Heading2"/>
        <w:shd w:val="clear" w:color="auto" w:fill="F5F5F7"/>
        <w:rPr/>
      </w:pPr>
      <w:bookmarkStart w:id="16" w:name="the-finding"/>
      <w:r>
        <w:rPr/>
        <w:t>The finding</w:t>
      </w:r>
    </w:p>
    <w:p>
      <w:pPr>
        <w:pStyle w:val="InstatsExecBand"/>
        <w:rPr/>
      </w:pPr>
      <w:r>
        <w:rPr/>
        <w:t xml:space="preserve">Treasury’s 2026-27 Budget estimates the Petroleum Resource Rent Tax (PRRT) at </w:t>
      </w:r>
      <w:r>
        <w:rPr>
          <w:b/>
          <w:bCs/>
        </w:rPr>
        <w:t>A$1.4 billion</w:t>
      </w:r>
      <w:r>
        <w:rPr/>
        <w:t xml:space="preserve"> in 2025-26 and </w:t>
      </w:r>
      <w:r>
        <w:rPr>
          <w:b/>
          <w:bCs/>
        </w:rPr>
        <w:t>A$1.9 billion</w:t>
      </w:r>
      <w:r>
        <w:rPr/>
        <w:t xml:space="preserve"> in 2026-27. In the same two years, beer excise is forecast at </w:t>
      </w:r>
      <w:r>
        <w:rPr>
          <w:b/>
          <w:bCs/>
        </w:rPr>
        <w:t>A$2.71 billion</w:t>
      </w:r>
      <w:r>
        <w:rPr/>
        <w:t xml:space="preserve"> and </w:t>
      </w:r>
      <w:r>
        <w:rPr>
          <w:b/>
          <w:bCs/>
        </w:rPr>
        <w:t>A$2.81 billion</w:t>
      </w:r>
      <w:r>
        <w:rPr/>
        <w:t>.</w:t>
      </w:r>
      <w:r>
        <w:rPr>
          <w:rFonts w:ascii="Inter" w:hAnsi="Inter" w:cs="Inter"/>
          <w:b/>
          <w:color w:val="3092B1"/>
          <w:position w:val="8"/>
          <w:sz w:val="18"/>
          <w:szCs w:val="18"/>
          <w:vertAlign w:val="superscript"/>
        </w:rPr>
        <w:footnoteReference w:id="2"/>
      </w:r>
      <w:r>
        <w:rPr/>
        <w:t xml:space="preserve"> Australia’s headline federal rent tax on offshore gas collects less revenue than excise on beer in every forward-estimates year through 2029-30, even after the Budget’s near-term upward PRRT revision (PRRT then tapers: </w:t>
      </w:r>
      <w:r>
        <w:rPr>
          <w:b/>
          <w:bCs/>
        </w:rPr>
        <w:t>A$1.75 bn</w:t>
      </w:r>
      <w:r>
        <w:rPr/>
        <w:t xml:space="preserve"> in 2027-28, </w:t>
      </w:r>
      <w:r>
        <w:rPr>
          <w:b/>
          <w:bCs/>
        </w:rPr>
        <w:t>A$1.55 bn</w:t>
      </w:r>
      <w:r>
        <w:rPr/>
        <w:t xml:space="preserve"> in 2028-29, </w:t>
      </w:r>
      <w:r>
        <w:rPr>
          <w:b/>
          <w:bCs/>
        </w:rPr>
        <w:t>A$1.25 bn</w:t>
      </w:r>
      <w:r>
        <w:rPr/>
        <w:t xml:space="preserve"> in 2029-30).</w:t>
      </w:r>
    </w:p>
    <w:p>
      <w:pPr>
        <w:pStyle w:val="InstatsExecBand"/>
        <w:rPr/>
      </w:pPr>
      <w:r>
        <w:rPr/>
        <w:t>Australia is the world’s second-largest LNG exporter, shipping roughly 80 million tonnes a year worth A$64–92 billion. Yet it collects more tax from beer drinkers than it does in PRRT — the headline federal rent tax on offshore gas exports. This document explains why. It is a forensic accounting of the four heads of revenue —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This report is written for Australian readers — voters, journalists, parliamentary staff, policy-engaged citizens, and the academic and NGO sector — who want a primary-source-anchored account of how much the country actually collects from its gas exports and how that figure compares with current Budget choices. It is not a campaign document, and it is not a brief for one specific policy lever; it is a forensic accounting. Its purpose is to make the underlying numbers, accounting bases, and comparator frameworks accessible enough that any serious reader can audit the claims themselves and form their own view.</w:t>
      </w:r>
    </w:p>
    <w:p>
      <w:pPr>
        <w:pStyle w:val="InstatsExecBand"/>
        <w:rPr/>
      </w:pPr>
      <w:r>
        <w:rPr/>
        <w:t>It also sets out the strongest version of the industry’s defence — back-loading by design, A$300+ billion of capital expenditure (capex), oil-indexed long-term contracts —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Fonts w:ascii="Inter" w:hAnsi="Inter" w:cs="Inter"/>
          <w:b/>
          <w:color w:val="3092B1"/>
          <w:position w:val="8"/>
          <w:sz w:val="18"/>
          <w:szCs w:val="18"/>
          <w:vertAlign w:val="superscript"/>
        </w:rPr>
        <w:footnoteReference w:id="3"/>
      </w:r>
      <w:r>
        <w:rPr/>
        <w:t xml:space="preserve"> Chevron made its first-ever PRRT payment in August 2025.</w:t>
      </w:r>
      <w:r>
        <w:rPr>
          <w:rFonts w:ascii="Inter" w:hAnsi="Inter" w:cs="Inter"/>
          <w:b/>
          <w:color w:val="3092B1"/>
          <w:position w:val="8"/>
          <w:sz w:val="18"/>
          <w:szCs w:val="18"/>
          <w:vertAlign w:val="superscript"/>
        </w:rPr>
        <w:footnoteReference w:id="4"/>
      </w:r>
    </w:p>
    <w:p>
      <w:pPr>
        <w:pStyle w:val="InstatsExecBand"/>
        <w:rPr/>
      </w:pPr>
      <w:r>
        <w:rPr/>
        <w:t xml:space="preserve">A 25 per cent levy on the gross value of LNG exports would raise approximately </w:t>
      </w:r>
      <w:r>
        <w:rPr>
          <w:b/>
          <w:bCs/>
        </w:rPr>
        <w:t>A$17 billion per year</w:t>
      </w:r>
      <w:r>
        <w:rPr/>
        <w:t>.</w:t>
      </w:r>
      <w:r>
        <w:rPr>
          <w:rFonts w:ascii="Inter" w:hAnsi="Inter" w:cs="Inter"/>
          <w:b/>
          <w:color w:val="3092B1"/>
          <w:position w:val="8"/>
          <w:sz w:val="18"/>
          <w:szCs w:val="18"/>
          <w:vertAlign w:val="superscript"/>
        </w:rPr>
        <w:footnoteReference w:id="5"/>
      </w:r>
      <w:r>
        <w:rPr/>
        <w:t xml:space="preserve"> That is the model advanced by the Australia Institute and the Australian Council of Trade Unions, and backed by Senator David Pocock. Set against Budget 2026-27, that is not rounding error. It is </w:t>
      </w:r>
      <w:r>
        <w:rPr>
          <w:b/>
          <w:bCs/>
        </w:rPr>
        <w:t>2.13 per cent of total receipts</w:t>
      </w:r>
      <w:r>
        <w:rPr/>
        <w:t xml:space="preserve">, </w:t>
      </w:r>
      <w:r>
        <w:rPr>
          <w:b/>
          <w:bCs/>
        </w:rPr>
        <w:t>2.04 per cent of total expenses</w:t>
      </w:r>
      <w:r>
        <w:rPr/>
        <w:t xml:space="preserve">, </w:t>
      </w:r>
      <w:r>
        <w:rPr>
          <w:b/>
          <w:bCs/>
        </w:rPr>
        <w:t>53.9 per cent of the underlying cash deficit</w:t>
      </w:r>
      <w:r>
        <w:rPr/>
        <w:t xml:space="preserve">, roughly equal to annual Child Care Subsidy spending, close to the annual JobSeeker income-support line, and almost </w:t>
      </w:r>
      <w:r>
        <w:rPr>
          <w:b/>
          <w:bCs/>
        </w:rPr>
        <w:t>nine times</w:t>
      </w:r>
      <w:r>
        <w:rPr/>
        <w:t xml:space="preserve"> projected PRRT receipts for 2026-27.</w:t>
      </w:r>
      <w:r>
        <w:rPr>
          <w:rFonts w:ascii="Inter" w:hAnsi="Inter" w:cs="Inter"/>
          <w:b/>
          <w:color w:val="3092B1"/>
          <w:position w:val="8"/>
          <w:sz w:val="18"/>
          <w:szCs w:val="18"/>
          <w:vertAlign w:val="superscript"/>
        </w:rPr>
        <w:footnoteReference w:id="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7"/>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Fonts w:ascii="Inter" w:hAnsi="Inter" w:cs="Inter"/>
          <w:b/>
          <w:color w:val="3092B1"/>
          <w:position w:val="8"/>
          <w:sz w:val="18"/>
          <w:szCs w:val="18"/>
          <w:vertAlign w:val="superscript"/>
        </w:rPr>
        <w:footnoteReference w:id="8"/>
      </w:r>
    </w:p>
    <w:p>
      <w:pPr>
        <w:pStyle w:val="InstatsExecBand"/>
        <w:numPr>
          <w:ilvl w:val="0"/>
          <w:numId w:val="13"/>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w:t>
      </w:r>
      <w:r>
        <w:rPr>
          <w:b/>
          <w:bCs/>
        </w:rPr>
        <w:t>A$412 million a year</w:t>
      </w:r>
      <w:r>
        <w:rPr/>
        <w:t xml:space="preserve">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over their lifetimes, with Chevron only entering the PRRT payer pool in August 2025. On a per-tonne LNG basis, Japan’s downstream tax of </w:t>
      </w:r>
      <w:r>
        <w:rPr>
          <w:b/>
          <w:bCs/>
        </w:rPr>
        <w:t>A$16.42/t</w:t>
      </w:r>
      <w:r>
        <w:rPr/>
        <w:t xml:space="preserve"> therefore exceeds Australia’s upstream rent capture of ~A$0/t from the offshore LNG projects.</w:t>
      </w:r>
      <w:r>
        <w:rPr>
          <w:rFonts w:ascii="Inter" w:hAnsi="Inter" w:cs="Inter"/>
          <w:b/>
          <w:color w:val="3092B1"/>
          <w:position w:val="8"/>
          <w:sz w:val="18"/>
          <w:szCs w:val="18"/>
          <w:vertAlign w:val="superscript"/>
        </w:rPr>
        <w:footnoteReference w:id="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0"/>
      </w:r>
    </w:p>
    <w:p>
      <w:pPr>
        <w:pStyle w:val="InstatsExecBand"/>
        <w:numPr>
          <w:ilvl w:val="0"/>
          <w:numId w:val="13"/>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only </w:t>
      </w:r>
      <w:r>
        <w:rPr>
          <w:b/>
          <w:bCs/>
        </w:rPr>
        <w:t>A$1.35 billion is PRRT</w:t>
      </w:r>
      <w:r>
        <w:rPr/>
        <w:t>, and the remainder is other industry taxes. Royalties, the Australia Institute notes, are not a tax — they are “a purchase price for petroleum resources owned by the community.”</w:t>
      </w:r>
      <w:r>
        <w:rPr>
          <w:rFonts w:ascii="Inter" w:hAnsi="Inter" w:cs="Inter"/>
          <w:b/>
          <w:color w:val="3092B1"/>
          <w:position w:val="8"/>
          <w:sz w:val="18"/>
          <w:szCs w:val="18"/>
          <w:vertAlign w:val="superscript"/>
        </w:rPr>
        <w:footnoteReference w:id="11"/>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2"/>
      </w:r>
    </w:p>
    <w:p>
      <w:pPr>
        <w:pStyle w:val="InstatsExecBand"/>
        <w:rPr/>
      </w:pPr>
      <w:r>
        <w:rPr/>
        <w:t>The three points the debate consistently gets wrong:</w:t>
      </w:r>
    </w:p>
    <w:p>
      <w:pPr>
        <w:pStyle w:val="InstatsExecBand"/>
        <w:numPr>
          <w:ilvl w:val="0"/>
          <w:numId w:val="7"/>
        </w:numPr>
        <w:ind w:hanging="360" w:start="720" w:end="340"/>
        <w:rPr/>
      </w:pPr>
      <w:r>
        <w:rPr>
          <w:b/>
          <w:bCs/>
        </w:rPr>
        <w:t>PRRT is not a royalty.</w:t>
      </w:r>
      <w:r>
        <w:rPr/>
        <w:t xml:space="preserve"> It is a rent tax, designed to apply only after cost recovery + uplift. The two instruments do not substitute, and Australia is unusual in applying one without the other for offshore production.</w:t>
      </w:r>
    </w:p>
    <w:p>
      <w:pPr>
        <w:pStyle w:val="InstatsExecBand"/>
        <w:numPr>
          <w:ilvl w:val="0"/>
          <w:numId w:val="7"/>
        </w:numPr>
        <w:ind w:hanging="360" w:start="720" w:end="340"/>
        <w:rPr/>
      </w:pPr>
      <w:r>
        <w:rPr>
          <w:b/>
          <w:bCs/>
        </w:rPr>
        <w:t>Per-tonne state take, not total revenue, is the like-for-like comparison.</w:t>
      </w:r>
      <w:r>
        <w:rPr/>
        <w:t xml:space="preserve"> The conservative measure apportions each country’s total petroleum revenue by its gas-share of production volume, using RBA-verified 2026-05-11 FX rates of 1 USD = 1.384 AUD and 1 NOK = 0.130 AUD. On that basis, Norway collects roughly </w:t>
      </w:r>
      <w:r>
        <w:rPr>
          <w:b/>
          <w:bCs/>
        </w:rPr>
        <w:t>A$491 per tonne of LNG-equivalent gas</w:t>
      </w:r>
      <w:r>
        <w:rPr/>
        <w:t xml:space="preserve">, Qatar roughly </w:t>
      </w:r>
      <w:r>
        <w:rPr>
          <w:b/>
          <w:bCs/>
        </w:rPr>
        <w:t>A$725</w:t>
      </w:r>
      <w:r>
        <w:rPr/>
        <w:t xml:space="preserve">, Malaysia A$682, the United States offshore roughly A$61, and Australia roughly </w:t>
      </w:r>
      <w:r>
        <w:rPr>
          <w:b/>
          <w:bCs/>
        </w:rPr>
        <w:t>A$49</w:t>
      </w:r>
      <w:r>
        <w:rPr/>
        <w:t xml:space="preserve">. Australia’s figure combines PRRT, state royalties and the NWS Commonwealth grant; the offshore-Commonwealth-waters-only figure is closer to A$25–30/t. On total petroleum revenue divided by gas volume only — the </w:t>
      </w:r>
      <w:r>
        <w:rPr>
          <w:i/>
          <w:iCs/>
        </w:rPr>
        <w:t>upper-bound</w:t>
      </w:r>
      <w:r>
        <w:rPr/>
        <w:t xml:space="preserve"> expression — Norway reaches about A$950/t and Qatar about A$1,520/t. The qualitative ordering and the ~10–15× per-tonne ratio against Australia are robust across the methodology choices tested in the dossier.</w:t>
      </w:r>
      <w:r>
        <w:rPr>
          <w:rFonts w:ascii="Inter" w:hAnsi="Inter" w:cs="Inter"/>
          <w:b/>
          <w:color w:val="3092B1"/>
          <w:position w:val="8"/>
          <w:sz w:val="18"/>
          <w:szCs w:val="18"/>
          <w:vertAlign w:val="superscript"/>
        </w:rPr>
        <w:footnoteReference w:id="13"/>
      </w:r>
    </w:p>
    <w:p>
      <w:pPr>
        <w:pStyle w:val="InstatsExecBand"/>
        <w:numPr>
          <w:ilvl w:val="0"/>
          <w:numId w:val="7"/>
        </w:numPr>
        <w:ind w:hanging="360" w:start="720" w:end="340"/>
        <w:rPr/>
      </w:pPr>
      <w:r>
        <w:rPr>
          <w:b/>
          <w:bCs/>
        </w:rPr>
        <w:t>“</w:t>
      </w:r>
      <w:r>
        <w:rPr>
          <w:b/>
          <w:bCs/>
        </w:rPr>
        <w:t>PRRT will eventually deliver” is a defensible claim — but at the price points the Callaghan Review modelled.</w:t>
      </w:r>
      <w:r>
        <w:rPr/>
        <w:t xml:space="preserve"> The price points required to make the back-loading argument work are higher than the prices Treasury is now forecasting. That is why PRRT receipts have repeatedly missed upside forecasts since 2014-15 — through the LNG-boom build-out and again under the 2023 deductions cap — despite LNG export volumes more than quadrupling over the period.</w:t>
      </w:r>
      <w:r>
        <w:rPr>
          <w:rFonts w:ascii="Inter" w:hAnsi="Inter" w:cs="Inter"/>
          <w:b/>
          <w:color w:val="3092B1"/>
          <w:position w:val="8"/>
          <w:sz w:val="18"/>
          <w:szCs w:val="18"/>
          <w:vertAlign w:val="superscript"/>
        </w:rPr>
        <w:footnoteReference w:id="1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5"/>
      </w:r>
    </w:p>
    <w:p>
      <w:pPr>
        <w:pStyle w:val="InstatsExecBand"/>
        <w:rPr/>
      </w:pPr>
      <w:r>
        <w:rPr/>
        <w:t>The rest of this document walks through the evidence.</w:t>
      </w:r>
    </w:p>
    <w:p>
      <w:pPr>
        <w:pStyle w:val="Normal"/>
        <w:rPr/>
      </w:pPr>
      <w:r>
        <w:rPr/>
        <mc:AlternateContent>
          <mc:Choice Requires="wps">
            <w:drawing>
              <wp:inline distT="0" distB="0" distL="0" distR="0">
                <wp:extent cx="59728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p>
    <w:p>
      <w:pPr>
        <w:pStyle w:val="Heading2"/>
        <w:rPr/>
      </w:pPr>
      <w:bookmarkStart w:id="17" w:name="X1a4b3dc9aaab62b2f0f5408f14720f3b64e112f"/>
      <w:r>
        <w:rPr/>
        <w:t>Part 1 — What Australia actually collects</w:t>
      </w:r>
    </w:p>
    <w:p>
      <w:pPr>
        <w:pStyle w:val="Heading3"/>
        <w:rPr/>
      </w:pPr>
      <w:bookmarkStart w:id="18" w:name="the-four-heads-of-revenue"/>
      <w:r>
        <w:rPr/>
        <w:t>1.1 The four heads of revenue</w:t>
      </w:r>
    </w:p>
    <w:p>
      <w:pPr>
        <w:pStyle w:val="FirstParagraph"/>
        <w:rPr/>
      </w:pPr>
      <w:r>
        <w:rPr/>
        <w:t>Australia’s fiscal take from gas exports flows through four separate channels:</w:t>
      </w:r>
    </w:p>
    <w:p>
      <w:pPr>
        <w:pStyle w:val="Normal"/>
        <w:numPr>
          <w:ilvl w:val="0"/>
          <w:numId w:val="7"/>
        </w:numPr>
        <w:rPr/>
      </w:pPr>
      <w:r>
        <w:rPr>
          <w:b/>
          <w:bCs/>
        </w:rPr>
        <w:t>Petroleum Resource Rent Tax (PRRT).</w:t>
      </w:r>
      <w:r>
        <w:rPr/>
        <w:t xml:space="preserve"> A 40 per cent federal tax on the economic rents — the “super profits” — of offshore petroleum projects, after cost recovery + uplift. It applies in offshore Commonwealth waters, where royalties generally do not. After 2019, onshore Coal Seam Gas (CSG-LNG) no longer sat inside PRRT. PRRT raised </w:t>
      </w:r>
      <w:r>
        <w:rPr>
          <w:b/>
          <w:bCs/>
        </w:rPr>
        <w:t>A$1.42 billion in 2024-25</w:t>
      </w:r>
      <w:r>
        <w:rPr/>
        <w:t xml:space="preserve"> and is now estimated at A$1.40 billion in 2025-26, A$1.90 billion in 2026-27, and A$1.25 billion by 2029-30.</w:t>
      </w:r>
      <w:r>
        <w:rPr>
          <w:rFonts w:ascii="Inter" w:hAnsi="Inter" w:cs="Inter"/>
          <w:b/>
          <w:color w:val="3092B1"/>
          <w:position w:val="8"/>
          <w:sz w:val="18"/>
          <w:szCs w:val="18"/>
          <w:vertAlign w:val="superscript"/>
        </w:rPr>
        <w:footnoteReference w:id="16"/>
      </w:r>
    </w:p>
    <w:p>
      <w:pPr>
        <w:pStyle w:val="Normal"/>
        <w:numPr>
          <w:ilvl w:val="0"/>
          <w:numId w:val="7"/>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w:t>
      </w:r>
      <w:r>
        <w:rPr>
          <w:b/>
          <w:bCs/>
        </w:rPr>
        <w:t>A$13.5 billion</w:t>
      </w:r>
      <w:r>
        <w:rPr/>
        <w:t xml:space="preserve"> — up sharply from the pre-Ukraine baseline of ~A$2.6 billion/year (the trend reflects oil-indexed LNG prices, not structural reform).</w:t>
      </w:r>
      <w:r>
        <w:rPr>
          <w:rFonts w:ascii="Inter" w:hAnsi="Inter" w:cs="Inter"/>
          <w:b/>
          <w:color w:val="3092B1"/>
          <w:position w:val="8"/>
          <w:sz w:val="18"/>
          <w:szCs w:val="18"/>
          <w:vertAlign w:val="superscript"/>
        </w:rPr>
        <w:footnoteReference w:id="1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8"/>
      </w:r>
    </w:p>
    <w:p>
      <w:pPr>
        <w:pStyle w:val="Normal"/>
        <w:numPr>
          <w:ilvl w:val="0"/>
          <w:numId w:val="7"/>
        </w:numPr>
        <w:rPr/>
      </w:pPr>
      <w:r>
        <w:rPr>
          <w:b/>
          <w:bCs/>
        </w:rPr>
        <w:t>State royalties.</w:t>
      </w:r>
      <w:r>
        <w:rPr/>
        <w:t xml:space="preserve"> Queensland levies royalties on CSG-LNG (the Curtis Island plants — APLNG, QCLNG, GLNG); WA levies a state petroleum royalty on the small sliver of WA-water production; the NT levies royalties on Bayu-Undan, Blacktip, and onshore Beetaloo-region production. </w:t>
      </w:r>
      <w:r>
        <w:rPr>
          <w:b/>
          <w:bCs/>
        </w:rPr>
        <w:t>Queensland: A$1.71 billion (2023-24)</w:t>
      </w:r>
      <w:r>
        <w:rPr/>
        <w:t xml:space="preserve">, expected to decline; </w:t>
      </w:r>
      <w:r>
        <w:rPr>
          <w:b/>
          <w:bCs/>
        </w:rPr>
        <w:t>Western Australia state petroleum: A$20–33 million; NT: A$315 million (2024-25).</w:t>
      </w:r>
      <w:r>
        <w:rPr>
          <w:rFonts w:ascii="Inter" w:hAnsi="Inter" w:cs="Inter"/>
          <w:b/>
          <w:color w:val="3092B1"/>
          <w:position w:val="8"/>
          <w:sz w:val="18"/>
          <w:szCs w:val="18"/>
          <w:vertAlign w:val="superscript"/>
        </w:rPr>
        <w:footnoteReference w:id="19"/>
      </w:r>
    </w:p>
    <w:p>
      <w:pPr>
        <w:pStyle w:val="Normal"/>
        <w:numPr>
          <w:ilvl w:val="0"/>
          <w:numId w:val="7"/>
        </w:numPr>
        <w:rPr/>
      </w:pPr>
      <w:r>
        <w:rPr>
          <w:b/>
          <w:bCs/>
        </w:rPr>
        <w:t>The North West Shelf grandfathered Commonwealth royalty.</w:t>
      </w:r>
      <w:r>
        <w:rPr/>
        <w:t xml:space="preserve"> Australia’s oldest offshore LNG project (Woodside-operated, BHP/Shell/Chevron/BP/MIMI partners) was </w:t>
      </w:r>
      <w:r>
        <w:rPr>
          <w:b/>
          <w:bCs/>
        </w:rPr>
        <w:t>exempt from PRRT until 2012</w:t>
      </w:r>
      <w:r>
        <w:rPr/>
        <w:t xml:space="preserve">, when PRRT was extended to it. The Commonwealth royalty regime continues alongside, with two-thirds of the royalty granted to Western Australia under the Offshore Constitutional Settlement 1979. WA’s NWS grant has fallen from </w:t>
      </w:r>
      <w:r>
        <w:rPr>
          <w:b/>
          <w:bCs/>
        </w:rPr>
        <w:t>A$1,366 million in 2022-23 to a projected A$224 million by 2027-28</w:t>
      </w:r>
      <w:r>
        <w:rPr/>
        <w:t xml:space="preserve"> as the field declines.</w:t>
      </w:r>
      <w:r>
        <w:rPr>
          <w:rFonts w:ascii="Inter" w:hAnsi="Inter" w:cs="Inter"/>
          <w:b/>
          <w:color w:val="3092B1"/>
          <w:position w:val="8"/>
          <w:sz w:val="18"/>
          <w:szCs w:val="18"/>
          <w:vertAlign w:val="superscript"/>
        </w:rPr>
        <w:footnoteReference w:id="20"/>
      </w:r>
    </w:p>
    <w:p>
      <w:pPr>
        <w:pStyle w:val="FirstParagraph"/>
        <w:rPr/>
      </w:pPr>
      <w:r>
        <w:rPr/>
        <w:t>A residual “crude oil excise” line applies to legacy Bass Strait oil production, but is no longer a material revenue source.</w:t>
      </w:r>
      <w:bookmarkEnd w:id="18"/>
    </w:p>
    <w:p>
      <w:pPr>
        <w:pStyle w:val="Heading3"/>
        <w:rPr/>
      </w:pPr>
      <w:bookmarkStart w:id="19" w:name="Xe13845fae167eea2339b28eb35276fd556d6152"/>
      <w:r>
        <w:rPr/>
        <w:t>1.2 PRRT in detail — the headline tax that mostly doesn’t collect</w:t>
      </w:r>
    </w:p>
    <w:p>
      <w:pPr>
        <w:pStyle w:val="FirstParagraph"/>
        <w:rPr/>
      </w:pPr>
      <w:r>
        <w:rPr/>
        <w:t xml:space="preserve">PRRT was legislated in 1987 to tax economic rent — super profits —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w:t>
      </w:r>
      <w:r>
        <w:rPr>
          <w:b/>
          <w:bCs/>
        </w:rPr>
        <w:t>Bass Strait was added to PRRT scope in July 1990, at industry request; the NWS not until July 2012.</w:t>
      </w:r>
      <w:r>
        <w:rPr/>
        <w:t xml:space="preserve">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Fonts w:ascii="Inter" w:hAnsi="Inter" w:cs="Inter"/>
          <w:b/>
          <w:color w:val="3092B1"/>
          <w:position w:val="8"/>
          <w:sz w:val="18"/>
          <w:szCs w:val="18"/>
          <w:vertAlign w:val="superscript"/>
        </w:rPr>
        <w:footnoteReference w:id="21"/>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19425"/>
            <wp:effectExtent l="0" t="0" r="0" b="0"/>
            <wp:docPr id="5" name="Picture" descr="Figure 1: PRRT historical cash receipts and forward estimates, A$ million, FY2010-11 to FY20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ure 1: PRRT historical cash receipts and forward estimates, A$ million, FY2010-11 to FY2029-30"/>
                    <pic:cNvPicPr>
                      <a:picLocks noChangeAspect="1" noChangeArrowheads="1"/>
                    </pic:cNvPicPr>
                  </pic:nvPicPr>
                  <pic:blipFill>
                    <a:blip r:embed="rId6"/>
                    <a:stretch>
                      <a:fillRect/>
                    </a:stretch>
                  </pic:blipFill>
                  <pic:spPr bwMode="auto">
                    <a:xfrm>
                      <a:off x="0" y="0"/>
                      <a:ext cx="5969000" cy="3019425"/>
                    </a:xfrm>
                    <a:prstGeom prst="rect">
                      <a:avLst/>
                    </a:prstGeom>
                    <a:noFill/>
                  </pic:spPr>
                </pic:pic>
              </a:graphicData>
            </a:graphic>
          </wp:inline>
        </w:drawing>
      </w:r>
      <w:r>
        <w:rPr/>
        <w:t xml:space="preserve"> </w:t>
      </w:r>
      <w:r>
        <w:rPr>
          <w:i/>
          <w:iCs/>
        </w:rPr>
        <w:t>Figure 1. PRRT cash receipts did not rise with the LNG boom. The 2022-23 spike was an oil-price spike following Russia’s invasion of Ukraine, not structural reform. Budget 2026-27 lifts the 2026-27 estimate to A$1.90 billion on higher oil prices and production volumes, then has receipts fading to A$1.25 billion by 2029-30. Sources: Treasury Final Budget Outcomes FY2010-11 to FY2024-25; Budget Paper 1 2026-27 Statement 5 Table 5.7.</w:t>
      </w:r>
    </w:p>
    <w:p>
      <w:pPr>
        <w:pStyle w:val="BodyText"/>
        <w:rPr/>
      </w:pPr>
      <w:r>
        <w:rPr/>
        <w:t xml:space="preserve">The annual numbers tell a stark story. PRRT cash receipts averaged </w:t>
      </w:r>
      <w:r>
        <w:rPr>
          <w:b/>
          <w:bCs/>
        </w:rPr>
        <w:t>~A$1.1 billion per year through the LNG-boom era</w:t>
      </w:r>
      <w:r>
        <w:rPr/>
        <w:t xml:space="preserve"> (2014-15 to 2020-21) — </w:t>
      </w:r>
      <w:r>
        <w:rPr>
          <w:i/>
          <w:iCs/>
        </w:rPr>
        <w:t>lower</w:t>
      </w:r>
      <w:r>
        <w:rPr/>
        <w:t xml:space="preserve"> than the early 2010s average of ~A$1.4 billion — despite LNG export volumes more than quadrupling over the same period (Figure 10).</w:t>
      </w:r>
      <w:r>
        <w:rPr>
          <w:rFonts w:ascii="Inter" w:hAnsi="Inter" w:cs="Inter"/>
          <w:b/>
          <w:color w:val="3092B1"/>
          <w:position w:val="8"/>
          <w:sz w:val="18"/>
          <w:szCs w:val="18"/>
          <w:vertAlign w:val="superscript"/>
        </w:rPr>
        <w:footnoteReference w:id="22"/>
      </w:r>
    </w:p>
    <w:p>
      <w:pPr>
        <w:pStyle w:val="BodyText"/>
        <w:rPr/>
      </w:pPr>
      <w:r>
        <w:rPr/>
        <w:drawing>
          <wp:inline distT="0" distB="0" distL="0" distR="0">
            <wp:extent cx="5969000" cy="2959735"/>
            <wp:effectExtent l="0" t="0" r="0" b="0"/>
            <wp:docPr id="6"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Figure 10: Australia LNG export volume vs PRRT receipts, FY2014-15 to FY2024-25"/>
                    <pic:cNvPicPr>
                      <a:picLocks noChangeAspect="1" noChangeArrowheads="1"/>
                    </pic:cNvPicPr>
                  </pic:nvPicPr>
                  <pic:blipFill>
                    <a:blip r:embed="rId7"/>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 a quadrupling. PRRT cash receipts remained broadly flat. Sources: DISR Resources and Energy Quarterly (LNG volume); Treasury Final Budget Outcomes (PRRT cash receipts).</w:t>
      </w:r>
    </w:p>
    <w:p>
      <w:pPr>
        <w:pStyle w:val="BodyText"/>
        <w:rPr/>
      </w:pPr>
      <w:r>
        <w:rPr/>
        <w:t>Why? Three reasons.</w:t>
      </w:r>
    </w:p>
    <w:p>
      <w:pPr>
        <w:pStyle w:val="BodyText"/>
        <w:rPr/>
      </w:pPr>
      <w:r>
        <w:rPr>
          <w:b/>
          <w:bCs/>
        </w:rPr>
        <w:t>First</w:t>
      </w:r>
      <w:r>
        <w:rPr/>
        <w:t>, PRRT is back-loaded by design. It taxes economic rent only after a project has recovered its accumulated deductible expenditure. Those deductions also receive an “uplift” —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Fonts w:ascii="Inter" w:hAnsi="Inter" w:cs="Inter"/>
          <w:b/>
          <w:color w:val="3092B1"/>
          <w:position w:val="8"/>
          <w:sz w:val="18"/>
          <w:szCs w:val="18"/>
          <w:vertAlign w:val="superscript"/>
        </w:rPr>
        <w:footnoteReference w:id="23"/>
      </w:r>
    </w:p>
    <w:p>
      <w:pPr>
        <w:pStyle w:val="BodyText"/>
        <w:rPr/>
      </w:pPr>
      <w:r>
        <w:rPr>
          <w:b/>
          <w:bCs/>
        </w:rPr>
        <w:t>Second</w:t>
      </w:r>
      <w:r>
        <w:rPr/>
        <w:t xml:space="preserve">, the deduction stockpile compounded into something the system could not absorb. The Callaghan Review’s Figure 2.3 showed the industry-wide stock of carried-forward deductible expenditure climbing from about A$50 billion in 2002 to roughly </w:t>
      </w:r>
      <w:r>
        <w:rPr>
          <w:b/>
          <w:bCs/>
        </w:rPr>
        <w:t>A$300 billion by 2015-16</w:t>
      </w:r>
      <w:r>
        <w:rPr/>
        <w:t>.</w:t>
      </w:r>
      <w:r>
        <w:rPr>
          <w:rFonts w:ascii="Inter" w:hAnsi="Inter" w:cs="Inter"/>
          <w:b/>
          <w:color w:val="3092B1"/>
          <w:position w:val="8"/>
          <w:sz w:val="18"/>
          <w:szCs w:val="18"/>
          <w:vertAlign w:val="superscript"/>
        </w:rPr>
        <w:footnoteReference w:id="24"/>
      </w:r>
      <w:r>
        <w:rPr/>
        <w:t xml:space="preserve"> Each year, the unused stock grew with uplift. At LTBR + 15pp for exploration, that stock compounded faster than most reasonable project rates of return. By design, the stockpile was growing faster than the tax system could absorb.</w:t>
      </w:r>
    </w:p>
    <w:p>
      <w:pPr>
        <w:pStyle w:val="BodyText"/>
        <w:rPr/>
      </w:pPr>
      <w:r>
        <w:rPr>
          <w:b/>
          <w:bCs/>
        </w:rPr>
        <w:t>Third</w:t>
      </w:r>
      <w:r>
        <w:rPr/>
        <w:t>,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A$75 bn</w:t>
            </w:r>
            <w:r>
              <w:rPr>
                <w:rFonts w:eastAsia="ＭＳ 明朝" w:cs=""/>
                <w:kern w:val="0"/>
                <w:szCs w:val="22"/>
                <w:lang w:val="en-US" w:eastAsia="en-US" w:bidi="ar-SA"/>
              </w:rPr>
              <w:t xml:space="preserve"> (US$54 bn)</w:t>
            </w:r>
            <w:r>
              <w:rPr>
                <w:rFonts w:ascii="Inter" w:hAnsi="Inter" w:cs="Inter"/>
                <w:b/>
                <w:color w:val="3092B1"/>
                <w:position w:val="8"/>
                <w:sz w:val="18"/>
                <w:szCs w:val="18"/>
                <w:vertAlign w:val="superscript"/>
              </w:rPr>
              <w:footnoteReference w:id="25"/>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~A$62 bn</w:t>
            </w:r>
            <w:r>
              <w:rPr>
                <w:rFonts w:eastAsia="ＭＳ 明朝" w:cs=""/>
                <w:kern w:val="0"/>
                <w:szCs w:val="22"/>
                <w:lang w:val="en-US" w:eastAsia="en-US" w:bidi="ar-SA"/>
              </w:rPr>
              <w:t xml:space="preserve"> (US$45 bn)</w:t>
            </w:r>
            <w:r>
              <w:rPr>
                <w:rFonts w:ascii="Inter" w:hAnsi="Inter" w:cs="Inter"/>
                <w:b/>
                <w:color w:val="3092B1"/>
                <w:position w:val="8"/>
                <w:sz w:val="18"/>
                <w:szCs w:val="18"/>
                <w:vertAlign w:val="superscript"/>
              </w:rPr>
              <w:footnoteReference w:id="26"/>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A$47 bn</w:t>
            </w:r>
            <w:r>
              <w:rPr>
                <w:rFonts w:eastAsia="ＭＳ 明朝" w:cs=""/>
                <w:kern w:val="0"/>
                <w:szCs w:val="22"/>
                <w:lang w:val="en-US" w:eastAsia="en-US" w:bidi="ar-SA"/>
              </w:rPr>
              <w:t xml:space="preserve"> (US$34 bn)</w:t>
            </w:r>
            <w:r>
              <w:rPr>
                <w:rFonts w:ascii="Inter" w:hAnsi="Inter" w:cs="Inter"/>
                <w:b/>
                <w:color w:val="3092B1"/>
                <w:position w:val="8"/>
                <w:sz w:val="18"/>
                <w:szCs w:val="18"/>
                <w:vertAlign w:val="superscript"/>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Fonts w:ascii="Inter" w:hAnsi="Inter" w:cs="Inter"/>
                <w:b/>
                <w:color w:val="3092B1"/>
                <w:position w:val="8"/>
                <w:sz w:val="18"/>
                <w:szCs w:val="18"/>
                <w:vertAlign w:val="superscript"/>
              </w:rPr>
              <w:footnoteReference w:id="28"/>
            </w:r>
          </w:p>
        </w:tc>
      </w:tr>
    </w:tbl>
    <w:p>
      <w:pPr>
        <w:pStyle w:val="BodyText"/>
        <w:rPr/>
      </w:pPr>
      <w:r>
        <w:rPr/>
        <w:t xml:space="preserve">Across 2010–2020, Australia’s LNG buildout absorbed roughly </w:t>
      </w:r>
      <w:r>
        <w:rPr>
          <w:b/>
          <w:bCs/>
        </w:rPr>
        <w:t>A$300–350 billion of private capital</w:t>
      </w:r>
      <w:r>
        <w:rPr/>
        <w:t xml:space="preserve"> (industry figure), or about </w:t>
      </w:r>
      <w:r>
        <w:rPr>
          <w:b/>
          <w:bCs/>
        </w:rPr>
        <w:t>A$429 billion</w:t>
      </w:r>
      <w:r>
        <w:rPr/>
        <w:t xml:space="preserve"> (Wood Mackenzie’s US$310 billion estimate × 1.384). All of it deductible under PRRT.</w:t>
      </w:r>
      <w:r>
        <w:rPr>
          <w:rFonts w:ascii="Inter" w:hAnsi="Inter" w:cs="Inter"/>
          <w:b/>
          <w:color w:val="3092B1"/>
          <w:position w:val="8"/>
          <w:sz w:val="18"/>
          <w:szCs w:val="18"/>
          <w:vertAlign w:val="superscript"/>
        </w:rPr>
        <w:footnoteReference w:id="29"/>
      </w:r>
      <w:bookmarkEnd w:id="19"/>
    </w:p>
    <w:p>
      <w:pPr>
        <w:pStyle w:val="Heading3"/>
        <w:rPr/>
      </w:pPr>
      <w:bookmarkStart w:id="20" w:name="X252e17b03b81339e022f9dbd70329aefe833ba1"/>
      <w:r>
        <w:rPr/>
        <w:t>1.3 The 2023 deductions cap — a worked example in fiscal under-delivery</w:t>
      </w:r>
    </w:p>
    <w:p>
      <w:pPr>
        <w:pStyle w:val="FirstParagraph"/>
        <w:rPr/>
      </w:pPr>
      <w:r>
        <w:rPr/>
        <w:t xml:space="preserve">In the May 2023 Budget, Treasurer Jim Chalmers announced a 90 per cent cap on PRRT deductions for LNG projects, effective from 1 July 2023, with a 7-year grace period for new projects after first production. The headline revenue estimate at announcement: </w:t>
      </w:r>
      <w:r>
        <w:rPr>
          <w:b/>
          <w:bCs/>
        </w:rPr>
        <w:t>+A$2.4 billion over the forward estimates</w:t>
      </w:r>
      <w:r>
        <w:rPr/>
        <w:t>.</w:t>
      </w:r>
      <w:r>
        <w:rPr>
          <w:rFonts w:ascii="Inter" w:hAnsi="Inter" w:cs="Inter"/>
          <w:b/>
          <w:color w:val="3092B1"/>
          <w:position w:val="8"/>
          <w:sz w:val="18"/>
          <w:szCs w:val="18"/>
          <w:vertAlign w:val="superscript"/>
        </w:rPr>
        <w:footnoteReference w:id="30"/>
      </w:r>
    </w:p>
    <w:p>
      <w:pPr>
        <w:pStyle w:val="BodyText"/>
        <w:rPr/>
      </w:pPr>
      <w:r>
        <w:rPr/>
        <w:t xml:space="preserve">By MYEFO in December 2023 — seven months after the Budget — Treasury revised PRRT receipts </w:t>
      </w:r>
      <w:r>
        <w:rPr>
          <w:b/>
          <w:bCs/>
        </w:rPr>
        <w:t>down by A$0.8 billion in 2023-24 and A$2.4 billion over the four years to 2026-27.</w:t>
      </w:r>
      <w:r>
        <w:rPr/>
        <w:t xml:space="preserve"> The Australia Institute summarised the result bluntly: “the new regime will collect no new extra revenue.” And it was being assessed against </w:t>
      </w:r>
      <w:r>
        <w:rPr>
          <w:i/>
          <w:iCs/>
        </w:rPr>
        <w:t>higher</w:t>
      </w:r>
      <w:r>
        <w:rPr/>
        <w:t xml:space="preserve"> oil-price assumptions than the Budget had used.</w:t>
      </w:r>
      <w:r>
        <w:rPr>
          <w:rFonts w:ascii="Inter" w:hAnsi="Inter" w:cs="Inter"/>
          <w:b/>
          <w:color w:val="3092B1"/>
          <w:position w:val="8"/>
          <w:sz w:val="18"/>
          <w:szCs w:val="18"/>
          <w:vertAlign w:val="superscript"/>
        </w:rPr>
        <w:footnoteReference w:id="31"/>
      </w:r>
    </w:p>
    <w:p>
      <w:pPr>
        <w:pStyle w:val="BodyText"/>
        <w:rPr/>
      </w:pPr>
      <w:r>
        <w:rPr/>
        <w:t>The actual outcome for FY2023-24 was A$1,144 million in PRRT cash receipts — roughly half the original Budget forecast for the year of ~A$2.45 billion.</w:t>
      </w:r>
      <w:r>
        <w:rPr>
          <w:rFonts w:ascii="Inter" w:hAnsi="Inter" w:cs="Inter"/>
          <w:b/>
          <w:color w:val="3092B1"/>
          <w:position w:val="8"/>
          <w:sz w:val="18"/>
          <w:szCs w:val="18"/>
          <w:vertAlign w:val="superscript"/>
        </w:rPr>
        <w:footnoteReference w:id="32"/>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7"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Figure 2: PRRT receipts as a share of LNG export value, by financial year"/>
                    <pic:cNvPicPr>
                      <a:picLocks noChangeAspect="1" noChangeArrowheads="1"/>
                    </pic:cNvPicPr>
                  </pic:nvPicPr>
                  <pic:blipFill>
                    <a:blip r:embed="rId8"/>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Fonts w:ascii="Inter" w:hAnsi="Inter" w:cs="Inter"/>
          <w:b/>
          <w:color w:val="3092B1"/>
          <w:position w:val="8"/>
          <w:sz w:val="18"/>
          <w:szCs w:val="18"/>
          <w:vertAlign w:val="superscript"/>
        </w:rPr>
        <w:footnoteReference w:id="35"/>
      </w:r>
    </w:p>
    <w:p>
      <w:pPr>
        <w:pStyle w:val="BodyText"/>
        <w:rPr/>
      </w:pPr>
      <w:r>
        <w:rPr/>
        <w:t>The new regime will collect no new extra revenue. The Australia Institute, on the 2023 PRRT deductions cap, after MYEFO 2023-24 revised forward estimates downward by A$2.4 billion seven months after Budget.</w:t>
      </w:r>
      <w:bookmarkEnd w:id="20"/>
    </w:p>
    <w:p>
      <w:pPr>
        <w:pStyle w:val="Heading3"/>
        <w:rPr/>
      </w:pPr>
      <w:bookmarkStart w:id="21"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Fonts w:ascii="Inter" w:hAnsi="Inter" w:cs="Inter"/>
          <w:b/>
          <w:color w:val="3092B1"/>
          <w:position w:val="8"/>
          <w:sz w:val="18"/>
          <w:szCs w:val="18"/>
          <w:vertAlign w:val="superscript"/>
        </w:rPr>
        <w:footnoteReference w:id="36"/>
      </w:r>
      <w:r>
        <w:rPr>
          <w:i/>
          <w:iCs/>
        </w:rPr>
        <w:t>)</w:t>
      </w:r>
    </w:p>
    <w:p>
      <w:pPr>
        <w:pStyle w:val="BodyText"/>
        <w:rPr/>
      </w:pPr>
      <w:r>
        <w:rPr/>
        <w:drawing>
          <wp:inline distT="0" distB="0" distL="0" distR="0">
            <wp:extent cx="5969000" cy="3094355"/>
            <wp:effectExtent l="0" t="0" r="0" b="0"/>
            <wp:docPr id="8" name="Image4" descr="Figure 9: ATO Corporate Tax Transparency entity-level data —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Figure 9: ATO Corporate Tax Transparency entity-level data — gas-industry corporates’ tax payable vs total income"/>
                    <pic:cNvPicPr>
                      <a:picLocks noChangeAspect="1" noChangeArrowheads="1"/>
                    </pic:cNvPicPr>
                  </pic:nvPicPr>
                  <pic:blipFill>
                    <a:blip r:embed="rId9"/>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w:t>
      </w:r>
      <w:r>
        <w:rPr>
          <w:b/>
          <w:bCs/>
        </w:rPr>
        <w:t>related-party debt</w:t>
      </w:r>
      <w:r>
        <w:rPr/>
        <w:t xml:space="preserve"> under Division 13 of the ITAA 1936 / Subdivision 815-A of the ITAA 1997 — not transfer pricing on gas sales per se —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Fonts w:ascii="Inter" w:hAnsi="Inter" w:cs="Inter"/>
          <w:b/>
          <w:color w:val="3092B1"/>
          <w:position w:val="8"/>
          <w:sz w:val="18"/>
          <w:szCs w:val="18"/>
          <w:vertAlign w:val="superscript"/>
        </w:rPr>
        <w:footnoteReference w:id="3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8"/>
      </w:r>
    </w:p>
    <w:p>
      <w:pPr>
        <w:pStyle w:val="BodyText"/>
        <w:rPr/>
      </w:pPr>
      <w:r>
        <w:rPr/>
        <w:t>The Australia Institute’s accumulated framing — five APPEA members with A$138 billion of combined Australian revenue and zero income tax over seven years — is correct and directly verifiable from the ATO data.</w:t>
      </w:r>
      <w:r>
        <w:rPr>
          <w:rFonts w:ascii="Inter" w:hAnsi="Inter" w:cs="Inter"/>
          <w:b/>
          <w:color w:val="3092B1"/>
          <w:position w:val="8"/>
          <w:sz w:val="18"/>
          <w:szCs w:val="18"/>
          <w:vertAlign w:val="superscript"/>
        </w:rPr>
        <w:footnoteReference w:id="39"/>
      </w:r>
      <w:r>
        <w:rPr/>
        <w:t xml:space="preserve"> Post-2022 the headline reversed. 2024 calendar-year contributions to Australian governments — taxes, royalties and levies combined — are now substantial: Chevron A$5 bn, Woodside A$4 bn.</w:t>
      </w:r>
      <w:r>
        <w:rPr>
          <w:rFonts w:ascii="Inter" w:hAnsi="Inter" w:cs="Inter"/>
          <w:b/>
          <w:color w:val="3092B1"/>
          <w:position w:val="8"/>
          <w:sz w:val="18"/>
          <w:szCs w:val="18"/>
          <w:vertAlign w:val="superscript"/>
        </w:rPr>
        <w:footnoteReference w:id="4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1"/>
      </w:r>
      <w:r>
        <w:rPr/>
        <w:t xml:space="preserve"> But the question is whether that’s a structural lift or an oil-price spike — see Part 4.</w:t>
      </w:r>
      <w:bookmarkEnd w:id="21"/>
    </w:p>
    <w:p>
      <w:pPr>
        <w:pStyle w:val="Heading3"/>
        <w:rPr/>
      </w:pPr>
      <w:bookmarkStart w:id="22" w:name="Xdd708ad0fe4d1c3aaa8f5938836bf3565bc74e5"/>
      <w:r>
        <w:rPr/>
        <w:t>1.5 State royalties and the NWS grandfathered Commonwealth royalty</w:t>
      </w:r>
    </w:p>
    <w:p>
      <w:pPr>
        <w:pStyle w:val="FirstParagraph"/>
        <w:rPr/>
      </w:pPr>
      <w:r>
        <w:rPr/>
        <w:t xml:space="preserve">Most of Australia’s offshore LNG is in </w:t>
      </w:r>
      <w:r>
        <w:rPr>
          <w:b/>
          <w:bCs/>
        </w:rPr>
        <w:t>Commonwealth waters</w:t>
      </w:r>
      <w:r>
        <w:rPr/>
        <w:t xml:space="preserve"> where royalties do not apply (PRRT was designed to replace them). The exception is the </w:t>
      </w:r>
      <w:r>
        <w:rPr>
          <w:b/>
          <w:bCs/>
        </w:rPr>
        <w:t>North West Shelf</w:t>
      </w:r>
      <w:r>
        <w:rPr/>
        <w:t xml:space="preserve"> project —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Fonts w:ascii="Inter" w:hAnsi="Inter" w:cs="Inter"/>
          <w:b/>
          <w:color w:val="3092B1"/>
          <w:position w:val="8"/>
          <w:sz w:val="18"/>
          <w:szCs w:val="18"/>
          <w:vertAlign w:val="superscript"/>
        </w:rPr>
        <w:footnoteReference w:id="42"/>
      </w:r>
    </w:p>
    <w:p>
      <w:pPr>
        <w:pStyle w:val="BodyText"/>
        <w:rPr/>
      </w:pPr>
      <w:r>
        <w:rPr/>
        <w:t xml:space="preserve">The decline reflects field depletion: NWS production is past peak and will not be replaced. Meanwhile, </w:t>
      </w:r>
      <w:r>
        <w:rPr>
          <w:b/>
          <w:bCs/>
        </w:rPr>
        <w:t>WA’s own state petroleum royalty</w:t>
      </w:r>
      <w:r>
        <w:rPr/>
        <w:t xml:space="preserve"> — applied to the tiny share of WA gas production in state waters, not Commonwealth waters — raised just A$16 million in 2022-23, A$20 million in 2023-24, A$33 million in 2024-25. In fiscal terms, that is very small.</w:t>
      </w:r>
    </w:p>
    <w:p>
      <w:pPr>
        <w:pStyle w:val="BodyText"/>
        <w:rPr/>
      </w:pPr>
      <w:r>
        <w:rPr>
          <w:b/>
          <w:bCs/>
        </w:rPr>
        <w:t>Queensland</w:t>
      </w:r>
      <w:r>
        <w:rPr/>
        <w:t xml:space="preserve"> is materially different because of CSG-LNG. Onshore coal seam gas exported through Curtis Island (APLNG, QCLNG, GLNG) generates state royalties — A$1,705 million in 2023-24, projected to decline to A$1,083 million by 2028-29 as global LNG prices normalise.</w:t>
      </w:r>
      <w:r>
        <w:rPr>
          <w:rFonts w:ascii="Inter" w:hAnsi="Inter" w:cs="Inter"/>
          <w:b/>
          <w:color w:val="3092B1"/>
          <w:position w:val="8"/>
          <w:sz w:val="18"/>
          <w:szCs w:val="18"/>
          <w:vertAlign w:val="superscript"/>
        </w:rPr>
        <w:footnoteReference w:id="43"/>
      </w:r>
    </w:p>
    <w:p>
      <w:pPr>
        <w:pStyle w:val="BodyText"/>
        <w:rPr/>
      </w:pPr>
      <w:r>
        <w:rPr>
          <w:b/>
          <w:bCs/>
        </w:rPr>
        <w:t>The Northern Territory</w:t>
      </w:r>
      <w:r>
        <w:rPr/>
        <w:t xml:space="preserve"> raised A$315 million across all royalty categories in 2024-25 (not all from gas).</w:t>
      </w:r>
    </w:p>
    <w:p>
      <w:pPr>
        <w:pStyle w:val="BodyText"/>
        <w:rPr/>
      </w:pPr>
      <w:r>
        <w:rPr/>
        <w:t xml:space="preserve">The structural feature here is simple: </w:t>
      </w:r>
      <w:r>
        <w:rPr>
          <w:b/>
          <w:bCs/>
        </w:rPr>
        <w:t>offshore federal-waters LNG — which is the bulk of Australia’s LNG export volume — generates negligible royalty revenue.</w:t>
      </w:r>
      <w:r>
        <w:rPr/>
        <w:t xml:space="preserve"> Royalties were abolished in favour of PRRT. PRRT then collected very little from that base.</w:t>
      </w:r>
    </w:p>
    <w:p>
      <w:pPr>
        <w:pStyle w:val="Normal"/>
        <w:rPr/>
      </w:pPr>
      <w:r>
        <w:rPr/>
        <mc:AlternateContent>
          <mc:Choice Requires="wps">
            <w:drawing>
              <wp:inline distT="0" distB="0" distL="0" distR="0">
                <wp:extent cx="59728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22"/>
    </w:p>
    <w:p>
      <w:pPr>
        <w:pStyle w:val="Heading2"/>
        <w:rPr/>
      </w:pPr>
      <w:bookmarkStart w:id="23" w:name="Xd06a277a4852705eedaadaabf913589ac71c782"/>
      <w:r>
        <w:rPr/>
        <w:t>Part 2 — The Pocock comparisons (and the cleaner ones)</w:t>
      </w:r>
    </w:p>
    <w:p>
      <w:pPr>
        <w:pStyle w:val="Heading3"/>
        <w:rPr/>
      </w:pPr>
      <w:bookmarkStart w:id="24"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 PRRT —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 the line that reached a large social-media audience and became a focal point of the public debate:</w:t>
      </w:r>
    </w:p>
    <w:p>
      <w:pPr>
        <w:pStyle w:val="BlockText"/>
        <w:rPr/>
      </w:pPr>
      <w:r>
        <w:rPr>
          <w:i/>
          <w:iCs/>
        </w:rPr>
        <w:t>“</w:t>
      </w:r>
      <w:r>
        <w:rPr>
          <w:i/>
          <w:iCs/>
        </w:rPr>
        <w:t>How do we live in a country, one of the biggest gas exporters in the world, and we’re getting more tax from beer than PRRT?”</w:t>
      </w:r>
      <w:r>
        <w:rPr>
          <w:rFonts w:ascii="Inter" w:hAnsi="Inter" w:cs="Inter"/>
          <w:b/>
          <w:color w:val="3092B1"/>
          <w:position w:val="8"/>
          <w:sz w:val="18"/>
          <w:szCs w:val="18"/>
          <w:vertAlign w:val="superscript"/>
        </w:rPr>
        <w:footnoteReference w:id="44"/>
      </w:r>
    </w:p>
    <w:p>
      <w:pPr>
        <w:pStyle w:val="FirstParagraph"/>
        <w:rPr/>
      </w:pPr>
      <w:r>
        <w:rPr/>
        <w:t xml:space="preserve">The exchange became the basis for the Senate motion of 12 March 2026. That motion carried the satirical short title “Why gas companies pay less for offshore liquefied natural gas than Australians pay in beer excise”, but the body actually established was the </w:t>
      </w:r>
      <w:r>
        <w:rPr>
          <w:b/>
          <w:bCs/>
        </w:rPr>
        <w:t>Select Committee on the Taxation of Gas Resources</w:t>
      </w:r>
      <w:r>
        <w:rPr/>
        <w:t xml:space="preserve">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Fonts w:ascii="Inter" w:hAnsi="Inter" w:cs="Inter"/>
          <w:b/>
          <w:color w:val="3092B1"/>
          <w:position w:val="8"/>
          <w:sz w:val="18"/>
          <w:szCs w:val="18"/>
          <w:vertAlign w:val="superscript"/>
        </w:rPr>
        <w:footnoteReference w:id="45"/>
      </w:r>
    </w:p>
    <w:p>
      <w:pPr>
        <w:pStyle w:val="BodyText"/>
        <w:rPr/>
      </w:pPr>
      <w:r>
        <w:rPr/>
        <w:t>How do we live in a country, one of the biggest gas exporters in the world, and we’re getting more tax from beer than PRRT? Senator David Pocock, Senate Economics Estimates, February 2026</w:t>
      </w:r>
      <w:bookmarkEnd w:id="24"/>
    </w:p>
    <w:p>
      <w:pPr>
        <w:pStyle w:val="Heading3"/>
        <w:rPr/>
      </w:pPr>
      <w:bookmarkStart w:id="25" w:name="the-wider-comparator-picture"/>
      <w:r>
        <w:rPr/>
        <w:t>2.2 The wider comparator picture</w:t>
      </w:r>
    </w:p>
    <w:p>
      <w:pPr>
        <w:pStyle w:val="FirstParagraph"/>
        <w:rPr/>
      </w:pPr>
      <w:r>
        <w:rPr/>
        <w:t>Beer is the cleanest, most rhetorically effective comparator, but it is not the only one. Figure 5 plots PRRT against beer excise across the latest actual and forward-estimates window.</w:t>
      </w:r>
    </w:p>
    <w:p>
      <w:pPr>
        <w:pStyle w:val="BodyText"/>
        <w:rPr/>
      </w:pPr>
      <w:r>
        <w:rPr/>
        <w:drawing>
          <wp:inline distT="0" distB="0" distL="0" distR="0">
            <wp:extent cx="5969000" cy="2966085"/>
            <wp:effectExtent l="0" t="0" r="0" b="0"/>
            <wp:docPr id="11" name="Image5" descr="Figure 5: Beer excise vs PRRT receipts, A$ bn, FY2020-21 to FY2029-30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Figure 5: Beer excise vs PRRT receipts, A$ bn, FY2020-21 to FY2029-30 forecast"/>
                    <pic:cNvPicPr>
                      <a:picLocks noChangeAspect="1" noChangeArrowheads="1"/>
                    </pic:cNvPicPr>
                  </pic:nvPicPr>
                  <pic:blipFill>
                    <a:blip r:embed="rId10"/>
                    <a:stretch>
                      <a:fillRect/>
                    </a:stretch>
                  </pic:blipFill>
                  <pic:spPr bwMode="auto">
                    <a:xfrm>
                      <a:off x="0" y="0"/>
                      <a:ext cx="5969000" cy="2966085"/>
                    </a:xfrm>
                    <a:prstGeom prst="rect">
                      <a:avLst/>
                    </a:prstGeom>
                    <a:noFill/>
                  </pic:spPr>
                </pic:pic>
              </a:graphicData>
            </a:graphic>
          </wp:inline>
        </w:drawing>
      </w:r>
      <w:r>
        <w:rPr/>
        <w:t xml:space="preserve"> </w:t>
      </w:r>
      <w:r>
        <w:rPr>
          <w:i/>
          <w:iCs/>
        </w:rPr>
        <w:t>Figure 5. Beer excise vs PRRT, FY2020-21 to FY2029-30. Beer beats PRRT in every year shown, including narrowly in the Ukraine-spike year of 2022-23 and through the Budget 2026-27 forward estimates. Sources: Treasury Final Budget Outcomes; Budget Paper 1 2026-27 Statement 5 Table 5.7;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764155"/>
            <wp:effectExtent l="0" t="0" r="0" b="0"/>
            <wp:docPr id="12" name="Image6" descr="Figure 6: PRRT in 2026-27 vs other Australian federal revenue lines —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Figure 6: PRRT in 2026-27 vs other Australian federal revenue lines — beer excise, fuel excise, tobacco excise, HECS repayments, major bank levy"/>
                    <pic:cNvPicPr>
                      <a:picLocks noChangeAspect="1" noChangeArrowheads="1"/>
                    </pic:cNvPicPr>
                  </pic:nvPicPr>
                  <pic:blipFill>
                    <a:blip r:embed="rId11"/>
                    <a:stretch>
                      <a:fillRect/>
                    </a:stretch>
                  </pic:blipFill>
                  <pic:spPr bwMode="auto">
                    <a:xfrm>
                      <a:off x="0" y="0"/>
                      <a:ext cx="5969000" cy="2764155"/>
                    </a:xfrm>
                    <a:prstGeom prst="rect">
                      <a:avLst/>
                    </a:prstGeom>
                    <a:noFill/>
                  </pic:spPr>
                </pic:pic>
              </a:graphicData>
            </a:graphic>
          </wp:inline>
        </w:drawing>
      </w:r>
      <w:r>
        <w:rPr/>
        <w:t xml:space="preserve"> </w:t>
      </w:r>
      <w:r>
        <w:rPr>
          <w:i/>
          <w:iCs/>
        </w:rPr>
        <w:t>Figure 6. PRRT (A$1.90 bn in 2026-27) is below fuel excise, below tobacco, below total alcohol excise, below HECS/HELP repayments, below the major bank levy, and below beer excise alone. Source: Budget Paper 1 2026-27 Statement 5 Table 5.7; ATO Taxation Statistics (HECS).</w:t>
      </w:r>
      <w:bookmarkEnd w:id="25"/>
    </w:p>
    <w:p>
      <w:pPr>
        <w:pStyle w:val="Heading3"/>
        <w:rPr/>
      </w:pPr>
      <w:bookmarkStart w:id="26" w:name="X376188126d7d626b75e6957f34627b112bd5442"/>
      <w:r>
        <w:rPr/>
        <w:t>2.3 The Dissenting Report and the HECS/nurses extensions</w:t>
      </w:r>
    </w:p>
    <w:p>
      <w:pPr>
        <w:pStyle w:val="FirstParagraph"/>
        <w:rPr/>
      </w:pPr>
      <w:r>
        <w:rPr/>
        <w:t xml:space="preserve">Pocock himself anchored the original framing in his May 2024 </w:t>
      </w:r>
      <w:r>
        <w:rPr>
          <w:b/>
          <w:bCs/>
        </w:rPr>
        <w:t>Dissenting Report to the Senate Economics Legislation Committee on the Treasury Laws Amendment (Tax Accountability and Fairness) Bill 2023</w:t>
      </w:r>
      <w:r>
        <w:rPr/>
        <w:t>.</w:t>
      </w:r>
      <w:r>
        <w:rPr>
          <w:rFonts w:ascii="Inter" w:hAnsi="Inter" w:cs="Inter"/>
          <w:b/>
          <w:color w:val="3092B1"/>
          <w:position w:val="8"/>
          <w:sz w:val="18"/>
          <w:szCs w:val="18"/>
          <w:vertAlign w:val="superscript"/>
        </w:rPr>
        <w:footnoteReference w:id="46"/>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 equivalent to 168% more in tax from HECS/HELP than PRRT.”</w:t>
      </w:r>
      <w:r>
        <w:rPr>
          <w:rFonts w:ascii="Inter" w:hAnsi="Inter" w:cs="Inter"/>
          <w:b/>
          <w:color w:val="3092B1"/>
          <w:position w:val="8"/>
          <w:sz w:val="18"/>
          <w:szCs w:val="18"/>
          <w:vertAlign w:val="superscript"/>
        </w:rPr>
        <w:footnoteReference w:id="47"/>
      </w:r>
    </w:p>
    <w:p>
      <w:pPr>
        <w:pStyle w:val="FirstParagraph"/>
        <w:rPr/>
      </w:pPr>
      <w:r>
        <w:rPr/>
        <w:t xml:space="preserve">That is: a 2024 analysis found that HECS/HELP — i.e. former students paying back their education debt — had raised, in cumulative terms to 2022-23, </w:t>
      </w:r>
      <w:r>
        <w:rPr>
          <w:b/>
          <w:bCs/>
        </w:rPr>
        <w:t>2.68 times what PRRT had raised</w:t>
      </w:r>
      <w:r>
        <w:rPr/>
        <w:t xml:space="preserve"> over the preceding seven years.</w:t>
      </w:r>
    </w:p>
    <w:p>
      <w:pPr>
        <w:pStyle w:val="BodyText"/>
        <w:rPr/>
      </w:pPr>
      <w:r>
        <w:rPr/>
        <w:t>The Senator Matt Canavan rebuttal (Facebook, February 2026) — that adding Woodside’s company tax would push gas-industry total tax above beer excise — is correct only for 2022-23 (the Ukraine windfall year). Independent fact-check (</w:t>
      </w:r>
      <w:r>
        <w:rPr>
          <w:i/>
          <w:iCs/>
        </w:rPr>
        <w:t>The Point</w:t>
      </w:r>
      <w:r>
        <w:rPr/>
        <w:t xml:space="preserve">, 17 Feb 2026) verdict: </w:t>
      </w:r>
      <w:r>
        <w:rPr>
          <w:b/>
          <w:bCs/>
        </w:rPr>
        <w:t>TRUE for Pocock’s framing on a PRRT-only basis.</w:t>
      </w:r>
      <w:r>
        <w:rPr>
          <w:rFonts w:ascii="Inter" w:hAnsi="Inter" w:cs="Inter"/>
          <w:b/>
          <w:color w:val="3092B1"/>
          <w:position w:val="8"/>
          <w:sz w:val="18"/>
          <w:szCs w:val="18"/>
          <w:vertAlign w:val="superscript"/>
        </w:rPr>
        <w:footnoteReference w:id="48"/>
      </w:r>
    </w:p>
    <w:p>
      <w:pPr>
        <w:pStyle w:val="BodyText"/>
        <w:rPr/>
      </w:pPr>
      <w:r>
        <w:rPr/>
        <w:t>The bottom line for this section: every year for at least the last decade (including the 2021-23 price-spike years on a cash-receipts basis), Australians have paid more excise on their beer than the gas industry has paid in PRRT. In 2026-27, the Budget gap is A$0.91 billion; by 2029-30, Treasury expects beer excise to reach A$3.10 billion while PRRT falls to A$1.25 billion.</w:t>
      </w:r>
      <w:r>
        <w:rPr>
          <w:rFonts w:ascii="Inter" w:hAnsi="Inter" w:cs="Inter"/>
          <w:b/>
          <w:color w:val="3092B1"/>
          <w:position w:val="8"/>
          <w:sz w:val="18"/>
          <w:szCs w:val="18"/>
          <w:vertAlign w:val="superscript"/>
        </w:rPr>
        <w:footnoteReference w:id="49"/>
      </w:r>
    </w:p>
    <w:p>
      <w:pPr>
        <w:pStyle w:val="Normal"/>
        <w:rPr/>
      </w:pPr>
      <w:r>
        <w:rPr/>
        <mc:AlternateContent>
          <mc:Choice Requires="wps">
            <w:drawing>
              <wp:inline distT="0" distB="0" distL="0" distR="0">
                <wp:extent cx="59728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6"/>
    </w:p>
    <w:p>
      <w:pPr>
        <w:pStyle w:val="Heading2"/>
        <w:rPr/>
      </w:pPr>
      <w:bookmarkStart w:id="27" w:name="part-3-how-other-countries-do-this-1"/>
      <w:r>
        <w:rPr/>
        <w:t>Part 3 — How other countries do this</w:t>
      </w:r>
    </w:p>
    <w:p>
      <w:pPr>
        <w:pStyle w:val="Heading3"/>
        <w:pBdr>
          <w:left w:val="single" w:sz="4" w:space="10" w:color="D5D5D7"/>
          <w:right w:val="single" w:sz="4" w:space="10" w:color="D5D5D7"/>
        </w:pBdr>
        <w:rPr/>
      </w:pPr>
      <w:bookmarkStart w:id="28"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sharper comparison, however, is not domestic but international.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5" name="Image7" descr="Figure 3: Per-tonne state take from LNG-equivalent gas, gas-only attribution —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Figure 3: Per-tonne state take from LNG-equivalent gas, gas-only attribution — Qatar A$725, Malaysia A$682, Norway A$491, USA offshore A$61, Australia A$49"/>
                    <pic:cNvPicPr>
                      <a:picLocks noChangeAspect="1" noChangeArrowheads="1"/>
                    </pic:cNvPicPr>
                  </pic:nvPicPr>
                  <pic:blipFill>
                    <a:blip r:embed="rId12"/>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3218815"/>
            <wp:effectExtent l="0" t="0" r="0" b="0"/>
            <wp:docPr id="16" name="Image8" descr="Figure 12: Annual government petroleum revenue, A$ bn — Norway A$91.3, Qatar A$65.7, Malaysia A$25.6, USA A$22.8, Australia A$4.0 rent and roya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Figure 12: Annual government petroleum revenue, A$ bn — Norway A$91.3, Qatar A$65.7, Malaysia A$25.6, USA A$22.8, Australia A$4.0 rent and royalty"/>
                    <pic:cNvPicPr>
                      <a:picLocks noChangeAspect="1" noChangeArrowheads="1"/>
                    </pic:cNvPicPr>
                  </pic:nvPicPr>
                  <pic:blipFill>
                    <a:blip r:embed="rId13"/>
                    <a:stretch>
                      <a:fillRect/>
                    </a:stretch>
                  </pic:blipFill>
                  <pic:spPr bwMode="auto">
                    <a:xfrm>
                      <a:off x="0" y="0"/>
                      <a:ext cx="5969000" cy="32188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Including LNG-attributable corporate income tax would put Australia’s all-heads figure at approximately A$17.5 bn. Sources as in Figure 3, all converted to AUD at the rates documented in </w:t>
      </w:r>
      <w:r>
        <w:rPr>
          <w:rStyle w:val="VerbatimChar"/>
          <w:i/>
          <w:iCs/>
        </w:rPr>
        <w:t>sources/fx_rates.md</w:t>
      </w:r>
      <w:r>
        <w:rPr>
          <w:i/>
          <w:iCs/>
        </w:rPr>
        <w:t>.</w:t>
      </w:r>
      <w:bookmarkEnd w:id="28"/>
    </w:p>
    <w:p>
      <w:pPr>
        <w:pStyle w:val="Heading3"/>
        <w:rPr/>
      </w:pPr>
      <w:bookmarkStart w:id="29" w:name="norway-the-gold-standard"/>
      <w:r>
        <w:rPr/>
        <w:t>3.1 Norway — the gold standard</w:t>
      </w:r>
    </w:p>
    <w:p>
      <w:pPr>
        <w:pStyle w:val="FirstParagraph"/>
        <w:rPr/>
      </w:pPr>
      <w:r>
        <w:rPr/>
        <w:t>Norway’s regime is the most-cited and the most uncomfortable comparator for Australia. The structure:</w:t>
      </w:r>
      <w:r>
        <w:rPr>
          <w:rFonts w:ascii="Inter" w:hAnsi="Inter" w:cs="Inter"/>
          <w:b/>
          <w:color w:val="3092B1"/>
          <w:position w:val="8"/>
          <w:sz w:val="18"/>
          <w:szCs w:val="18"/>
          <w:vertAlign w:val="superscript"/>
        </w:rPr>
        <w:footnoteReference w:id="50"/>
      </w:r>
    </w:p>
    <w:p>
      <w:pPr>
        <w:pStyle w:val="Compact"/>
        <w:numPr>
          <w:ilvl w:val="0"/>
          <w:numId w:val="7"/>
        </w:numPr>
        <w:rPr/>
      </w:pPr>
      <w:r>
        <w:rPr>
          <w:b/>
          <w:bCs/>
        </w:rPr>
        <w:t>22 per cent ordinary corporate income tax.</w:t>
      </w:r>
    </w:p>
    <w:p>
      <w:pPr>
        <w:pStyle w:val="Compact"/>
        <w:numPr>
          <w:ilvl w:val="0"/>
          <w:numId w:val="7"/>
        </w:numPr>
        <w:rPr/>
      </w:pPr>
      <w:r>
        <w:rPr/>
        <w:t xml:space="preserve">Plus </w:t>
      </w:r>
      <w:r>
        <w:rPr>
          <w:b/>
          <w:bCs/>
        </w:rPr>
        <w:t>71.8 per cent special petroleum tax</w:t>
      </w:r>
      <w:r>
        <w:rPr/>
        <w:t xml:space="preserve">, a rent tax structured so the corporate tax is creditable against it. The combined marginal rate is </w:t>
      </w:r>
      <w:r>
        <w:rPr>
          <w:b/>
          <w:bCs/>
        </w:rPr>
        <w:t>78 per cent</w:t>
      </w:r>
      <w:r>
        <w:rPr/>
        <w:t xml:space="preserve"> on petroleum profits.</w:t>
      </w:r>
    </w:p>
    <w:p>
      <w:pPr>
        <w:pStyle w:val="Compact"/>
        <w:numPr>
          <w:ilvl w:val="0"/>
          <w:numId w:val="7"/>
        </w:numPr>
        <w:rPr/>
      </w:pPr>
      <w:r>
        <w:rPr>
          <w:b/>
          <w:bCs/>
        </w:rPr>
        <w:t>State’s Direct Financial Interest (SDFI)</w:t>
      </w:r>
      <w:r>
        <w:rPr/>
        <w:t xml:space="preserve"> — direct state ownership stakes in producing fields. This gives the state cash flow from the fields themselves, rather than waiting for corporate tax.</w:t>
      </w:r>
    </w:p>
    <w:p>
      <w:pPr>
        <w:pStyle w:val="Compact"/>
        <w:numPr>
          <w:ilvl w:val="0"/>
          <w:numId w:val="7"/>
        </w:numPr>
        <w:rPr/>
      </w:pPr>
      <w:r>
        <w:rPr>
          <w:b/>
          <w:bCs/>
        </w:rPr>
        <w:t>67 per cent state ownership of Equinor</w:t>
      </w:r>
      <w:r>
        <w:rPr/>
        <w:t xml:space="preserve"> — the Norwegian state directly receives that share of all dividends.</w:t>
      </w:r>
    </w:p>
    <w:p>
      <w:pPr>
        <w:pStyle w:val="Compact"/>
        <w:numPr>
          <w:ilvl w:val="0"/>
          <w:numId w:val="7"/>
        </w:numPr>
        <w:rPr/>
      </w:pPr>
      <w:r>
        <w:rPr>
          <w:b/>
          <w:bCs/>
        </w:rPr>
        <w:t>Carbon tax on offshore gas</w:t>
      </w:r>
      <w:r>
        <w:rPr/>
        <w:t xml:space="preserve"> of NOK 2.21 per Sm³ in 2025.</w:t>
      </w:r>
    </w:p>
    <w:p>
      <w:pPr>
        <w:pStyle w:val="FirstParagraph"/>
        <w:rPr/>
      </w:pPr>
      <w:r>
        <w:rPr/>
        <w:t xml:space="preserve">Critically — and this is the design point often missing from Australian comparisons — Norway’s system is </w:t>
      </w:r>
      <w:r>
        <w:rPr>
          <w:b/>
          <w:bCs/>
        </w:rPr>
        <w:t>cash-flow neutral</w:t>
      </w:r>
      <w:r>
        <w:rPr/>
        <w:t>.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Fonts w:ascii="Inter" w:hAnsi="Inter" w:cs="Inter"/>
          <w:b/>
          <w:color w:val="3092B1"/>
          <w:position w:val="8"/>
          <w:sz w:val="18"/>
          <w:szCs w:val="18"/>
          <w:vertAlign w:val="superscript"/>
        </w:rPr>
        <w:footnoteReference w:id="5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 bn</w:t>
            </w:r>
          </w:p>
        </w:tc>
      </w:tr>
    </w:tbl>
    <w:p>
      <w:pPr>
        <w:pStyle w:val="BodyText"/>
        <w:rPr/>
      </w:pPr>
      <w:r>
        <w:rPr/>
        <w:t xml:space="preserve">At the </w:t>
      </w:r>
      <w:r>
        <w:rPr>
          <w:b/>
          <w:bCs/>
        </w:rPr>
        <w:t>end of 2025, the Government Pension Fund Global was worth NOK 21,268 billion (A$2.77 trillion)</w:t>
      </w:r>
      <w:r>
        <w:rPr/>
        <w:t xml:space="preserve"> — the world’s largest single sovereign wealth fund.</w:t>
      </w:r>
      <w:r>
        <w:rPr>
          <w:rFonts w:ascii="Inter" w:hAnsi="Inter" w:cs="Inter"/>
          <w:b/>
          <w:color w:val="3092B1"/>
          <w:position w:val="8"/>
          <w:sz w:val="18"/>
          <w:szCs w:val="18"/>
          <w:vertAlign w:val="superscript"/>
        </w:rPr>
        <w:footnoteReference w:id="52"/>
      </w:r>
      <w:r>
        <w:rPr/>
        <w:t xml:space="preserve"> Per Norwegian resident (5.63 million at 1 January 2026), that’s approximately </w:t>
      </w:r>
      <w:r>
        <w:rPr>
          <w:b/>
          <w:bCs/>
        </w:rPr>
        <w:t>A$491,000</w:t>
      </w:r>
      <w:r>
        <w:rPr/>
        <w:t>.</w:t>
      </w:r>
    </w:p>
    <w:p>
      <w:pPr>
        <w:pStyle w:val="BodyText"/>
        <w:rPr/>
      </w:pPr>
      <w:r>
        <w:rPr/>
        <w:t xml:space="preserve">Australia’s Future Fund — a general-purpose fund, not built from petroleum revenue — held A$267.4 billion at 31 December 2025. Per Australian resident (27.72 million at 30 September 2025): </w:t>
      </w:r>
      <w:r>
        <w:rPr>
          <w:b/>
          <w:bCs/>
        </w:rPr>
        <w:t>A$9,646</w:t>
      </w:r>
      <w:r>
        <w:rPr/>
        <w:t>.</w:t>
      </w:r>
    </w:p>
    <w:p>
      <w:pPr>
        <w:pStyle w:val="BodyText"/>
        <w:rPr/>
      </w:pPr>
      <w:r>
        <w:rPr/>
        <w:t>At the end of 2025 the Norwegian Government Pension Fund Global was worth A$2.77 trillion — A$491,000 per Norwegian resident. Australia’s Future Fund, not built from any single resource, holds A$9,646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7" name="Image9" descr="Figure 7: Sovereign wealth fund balance per resident, A$ — Norway A$491,000 vs Australia Future Fund A$9,646 (~51×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Figure 7: Sovereign wealth fund balance per resident, A$ — Norway A$491,000 vs Australia Future Fund A$9,646 (~51× ratio)"/>
                    <pic:cNvPicPr>
                      <a:picLocks noChangeAspect="1" noChangeArrowheads="1"/>
                    </pic:cNvPicPr>
                  </pic:nvPicPr>
                  <pic:blipFill>
                    <a:blip r:embed="rId14"/>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Populations: SSB Q4 2025 / 1 January 2026 (Norway 5,627,400); ABS National, state and territory population, September 2025 release (Australia 27,724,744). The Norwegian fund was built entirely from petroleum revenue; the Australian fund was not built from any specific resource revenue.</w:t>
      </w:r>
      <w:bookmarkEnd w:id="29"/>
    </w:p>
    <w:p>
      <w:pPr>
        <w:pStyle w:val="Heading3"/>
        <w:rPr/>
      </w:pPr>
      <w:bookmarkStart w:id="30" w:name="qatar-state-ownership-replaces-tax"/>
      <w:r>
        <w:rPr/>
        <w:t>3.2 Qatar — state ownership replaces tax</w:t>
      </w:r>
    </w:p>
    <w:p>
      <w:pPr>
        <w:pStyle w:val="FirstParagraph"/>
        <w:rPr/>
      </w:pPr>
      <w:r>
        <w:rPr/>
        <w:t xml:space="preserve">Qatar’s gas-revenue capture is structurally different. QatarEnergy (the rebranded Qatar Petroleum) is 100 per cent state-owned. International oil companies — ExxonMobil, Shell, TotalEnergies, ConocoPhillips — hold minority equity in JV vehicles. They also pay corporate tax to the Qatari state at a </w:t>
      </w:r>
      <w:r>
        <w:rPr>
          <w:b/>
          <w:bCs/>
        </w:rPr>
        <w:t>statutory minimum 35 per cent rate</w:t>
      </w:r>
      <w:r>
        <w:rPr/>
        <w:t xml:space="preserve"> on petroleum operations.</w:t>
      </w:r>
      <w:r>
        <w:rPr>
          <w:rFonts w:ascii="Inter" w:hAnsi="Inter" w:cs="Inter"/>
          <w:b/>
          <w:color w:val="3092B1"/>
          <w:position w:val="8"/>
          <w:sz w:val="18"/>
          <w:szCs w:val="18"/>
          <w:vertAlign w:val="superscript"/>
        </w:rPr>
        <w:footnoteReference w:id="53"/>
      </w:r>
      <w:r>
        <w:rPr/>
        <w:t xml:space="preserve"> On top of that sit royalties (industry-tracker convention puts the gas royalty at </w:t>
      </w:r>
      <w:r>
        <w:rPr>
          <w:b/>
          <w:bCs/>
        </w:rPr>
        <w:t>10 per cent of wellhead value</w:t>
      </w:r>
      <w:r>
        <w:rPr/>
        <w:t>; the precise post-2010 schedule is confidential) and the state’s residual equity share of profit.</w:t>
      </w:r>
    </w:p>
    <w:p>
      <w:pPr>
        <w:pStyle w:val="BodyText"/>
        <w:rPr/>
      </w:pPr>
      <w:r>
        <w:rPr/>
        <w:t>The verified fiscal picture, in AUD (1 USD = 1.384 AUD, RBA F11.1 fix 2026-05-11 per colophon):</w:t>
      </w:r>
      <w:r>
        <w:rPr>
          <w:rFonts w:ascii="Inter" w:hAnsi="Inter" w:cs="Inter"/>
          <w:b/>
          <w:color w:val="3092B1"/>
          <w:position w:val="8"/>
          <w:sz w:val="18"/>
          <w:szCs w:val="18"/>
          <w:vertAlign w:val="superscript"/>
        </w:rPr>
        <w:footnoteReference w:id="54"/>
      </w:r>
    </w:p>
    <w:p>
      <w:pPr>
        <w:pStyle w:val="Compact"/>
        <w:numPr>
          <w:ilvl w:val="0"/>
          <w:numId w:val="7"/>
        </w:numPr>
        <w:rPr/>
      </w:pPr>
      <w:r>
        <w:rPr>
          <w:b/>
          <w:bCs/>
        </w:rPr>
        <w:t>Qatar 2024 total government revenue: A$81.1 billion (US$58.6 bn)</w:t>
      </w:r>
      <w:r>
        <w:rPr/>
        <w:t xml:space="preserve">, of which </w:t>
      </w:r>
      <w:r>
        <w:rPr>
          <w:b/>
          <w:bCs/>
        </w:rPr>
        <w:t>A$65.7 billion (US$47.5 bn) — 81 per cent — is hydrocarbons</w:t>
      </w:r>
      <w:r>
        <w:rPr/>
        <w:t>.</w:t>
      </w:r>
    </w:p>
    <w:p>
      <w:pPr>
        <w:pStyle w:val="Compact"/>
        <w:numPr>
          <w:ilvl w:val="0"/>
          <w:numId w:val="7"/>
        </w:numPr>
        <w:rPr/>
      </w:pPr>
      <w:r>
        <w:rPr/>
        <w:t>2023 hydrocarbon revenue: ~A$79.6 billion (US$57.5 bn).</w:t>
      </w:r>
    </w:p>
    <w:p>
      <w:pPr>
        <w:pStyle w:val="Compact"/>
        <w:numPr>
          <w:ilvl w:val="0"/>
          <w:numId w:val="7"/>
        </w:numPr>
        <w:rPr/>
      </w:pPr>
      <w:r>
        <w:rPr/>
        <w:t xml:space="preserve">Production: ~77 Mt/yr LNG today, expanding to </w:t>
      </w:r>
      <w:r>
        <w:rPr>
          <w:b/>
          <w:bCs/>
        </w:rPr>
        <w:t>142 Mt/yr by 2030</w:t>
      </w:r>
      <w:r>
        <w:rPr/>
        <w:t xml:space="preserve"> with the North Field East/South/West phases.</w:t>
      </w:r>
    </w:p>
    <w:p>
      <w:pPr>
        <w:pStyle w:val="Compact"/>
        <w:numPr>
          <w:ilvl w:val="0"/>
          <w:numId w:val="7"/>
        </w:numPr>
        <w:rPr/>
      </w:pPr>
      <w:r>
        <w:rPr>
          <w:b/>
          <w:bCs/>
        </w:rPr>
        <w:t>Qatar Investment Authority AUM: ~A$771 billion (US$557 bn, August 2025).</w:t>
      </w:r>
    </w:p>
    <w:p>
      <w:pPr>
        <w:pStyle w:val="FirstParagraph"/>
        <w:rPr/>
      </w:pPr>
      <w:r>
        <w:rPr/>
        <w:t xml:space="preserve">The Saunders &amp; Campbell paper for the Australia Institute (May 2025) put the comparison in its starkest form: in 2023, Australia and Qatar exported almost the same volume of LNG (81 Mt and 80 Mt respectively, both worth around A$83–86 billion at export value). </w:t>
      </w:r>
      <w:r>
        <w:rPr>
          <w:b/>
          <w:bCs/>
        </w:rPr>
        <w:t>Qatar collected A$56 billion in government revenue from that volume. Australia collected A$10.6 billion.</w:t>
      </w:r>
      <w:r>
        <w:rPr/>
        <w:t xml:space="preserve"> An A$45 billion annual gap.</w:t>
      </w:r>
      <w:r>
        <w:rPr>
          <w:rFonts w:ascii="Inter" w:hAnsi="Inter" w:cs="Inter"/>
          <w:b/>
          <w:color w:val="3092B1"/>
          <w:position w:val="8"/>
          <w:sz w:val="18"/>
          <w:szCs w:val="18"/>
          <w:vertAlign w:val="superscript"/>
        </w:rPr>
        <w:footnoteReference w:id="55"/>
      </w:r>
      <w:r>
        <w:rPr/>
        <w:t xml:space="preserve"> If Australia used a Qatar-style regime, it would raise an estimated </w:t>
      </w:r>
      <w:r>
        <w:rPr>
          <w:b/>
          <w:bCs/>
        </w:rPr>
        <w:t>A$27 billion a year more.</w:t>
      </w:r>
    </w:p>
    <w:p>
      <w:pPr>
        <w:pStyle w:val="BodyText"/>
        <w:rPr/>
      </w:pPr>
      <w:r>
        <w:rPr/>
        <w:t xml:space="preserve">Qatar’s per-resident hydrocarbon revenue in 2024 was </w:t>
      </w:r>
      <w:r>
        <w:rPr>
          <w:b/>
          <w:bCs/>
        </w:rPr>
        <w:t>A$21,070</w:t>
      </w:r>
      <w:r>
        <w:rPr/>
        <w:t xml:space="preserve"> (US$15,224). Per Qatari citizen (excluding the ~88 per cent non-citizen resident population), the figure is about </w:t>
      </w:r>
      <w:r>
        <w:rPr>
          <w:b/>
          <w:bCs/>
        </w:rPr>
        <w:t>A$173,000</w:t>
      </w:r>
      <w:r>
        <w:rPr/>
        <w:t xml:space="preserve"> per year (US$125,000). Australia’s per-capita PRRT take in the same year was approximately </w:t>
      </w:r>
      <w:r>
        <w:rPr>
          <w:b/>
          <w:bCs/>
        </w:rPr>
        <w:t>A$50</w:t>
      </w:r>
      <w:r>
        <w:rPr/>
        <w:t xml:space="preserve"> per person.</w:t>
      </w:r>
      <w:bookmarkEnd w:id="30"/>
    </w:p>
    <w:p>
      <w:pPr>
        <w:pStyle w:val="Heading3"/>
        <w:rPr/>
      </w:pPr>
      <w:bookmarkStart w:id="31" w:name="Xfbdcd22e88daa2f168cc1f5cb4a1f13548d89da"/>
      <w:r>
        <w:rPr/>
        <w:t>3.3 United States — federal royalty + state severance + standard corporate income tax</w:t>
      </w:r>
    </w:p>
    <w:p>
      <w:pPr>
        <w:pStyle w:val="FirstParagraph"/>
        <w:rPr/>
      </w:pPr>
      <w:r>
        <w:rPr/>
        <w:t>The US has no rent tax — no special tax on super profits — and no state-equity participation. The government does not own shares in the projects. The tax structure is conventional:</w:t>
      </w:r>
      <w:r>
        <w:rPr>
          <w:rFonts w:ascii="Inter" w:hAnsi="Inter" w:cs="Inter"/>
          <w:b/>
          <w:color w:val="3092B1"/>
          <w:position w:val="8"/>
          <w:sz w:val="18"/>
          <w:szCs w:val="18"/>
          <w:vertAlign w:val="superscript"/>
        </w:rPr>
        <w:footnoteReference w:id="56"/>
      </w:r>
    </w:p>
    <w:p>
      <w:pPr>
        <w:pStyle w:val="Compact"/>
        <w:numPr>
          <w:ilvl w:val="0"/>
          <w:numId w:val="7"/>
        </w:numPr>
        <w:rPr/>
      </w:pPr>
      <w:r>
        <w:rPr>
          <w:b/>
          <w:bCs/>
        </w:rPr>
        <w:t>Federal offshore (OCS) royalty: 12.5 per cent on legacy leases, raised to 16.67 per cent statutory minimum (max 18.75 per cent) under the Inflation Reduction Act.</w:t>
      </w:r>
    </w:p>
    <w:p>
      <w:pPr>
        <w:pStyle w:val="Compact"/>
        <w:numPr>
          <w:ilvl w:val="0"/>
          <w:numId w:val="7"/>
        </w:numPr>
        <w:rPr/>
      </w:pPr>
      <w:r>
        <w:rPr>
          <w:b/>
          <w:bCs/>
        </w:rPr>
        <w:t>Federal onshore royalty: 12.5 per cent (legacy) / 16.67 per cent (new).</w:t>
      </w:r>
    </w:p>
    <w:p>
      <w:pPr>
        <w:pStyle w:val="Compact"/>
        <w:numPr>
          <w:ilvl w:val="0"/>
          <w:numId w:val="7"/>
        </w:numPr>
        <w:rPr/>
      </w:pPr>
      <w:r>
        <w:rPr>
          <w:b/>
          <w:bCs/>
        </w:rPr>
        <w:t>State severance taxes:</w:t>
      </w:r>
      <w:r>
        <w:rPr/>
        <w:t xml:space="preserve"> 4.6–12.25 per cent depending on state (Texas 7.5 per cent on natural gas market value; Louisiana 12.5 cents/Mcf; etc.).</w:t>
      </w:r>
    </w:p>
    <w:p>
      <w:pPr>
        <w:pStyle w:val="Compact"/>
        <w:numPr>
          <w:ilvl w:val="0"/>
          <w:numId w:val="7"/>
        </w:numPr>
        <w:rPr/>
      </w:pPr>
      <w:r>
        <w:rPr>
          <w:b/>
          <w:bCs/>
        </w:rPr>
        <w:t>Corporate income tax</w:t>
      </w:r>
      <w:r>
        <w:rPr/>
        <w:t xml:space="preserve"> at the federal 21 per cent plus state CIT.</w:t>
      </w:r>
    </w:p>
    <w:p>
      <w:pPr>
        <w:pStyle w:val="FirstParagraph"/>
        <w:rPr/>
      </w:pPr>
      <w:r>
        <w:rPr/>
        <w:t xml:space="preserve">The Interior Department reported </w:t>
      </w:r>
      <w:r>
        <w:rPr>
          <w:b/>
          <w:bCs/>
        </w:rPr>
        <w:t>A$22.8 billion (US$16.45 bn) of total energy revenue disbursements</w:t>
      </w:r>
      <w:r>
        <w:rPr/>
        <w:t xml:space="preserve"> for FY2024 (A$8.7 bn to Treasury, A$5.9 bn to states, the balance to the Reclamation Fund, Tribal mineral owners and conservation funds). Of this, </w:t>
      </w:r>
      <w:r>
        <w:rPr>
          <w:b/>
          <w:bCs/>
        </w:rPr>
        <w:t>A$9.69 billion (US$7.0 bn) came from the OCS oil and gas program alone</w:t>
      </w:r>
      <w:r>
        <w:rPr/>
        <w:t>.</w:t>
      </w:r>
      <w:r>
        <w:rPr>
          <w:rFonts w:ascii="Inter" w:hAnsi="Inter" w:cs="Inter"/>
          <w:b/>
          <w:color w:val="3092B1"/>
          <w:position w:val="8"/>
          <w:sz w:val="18"/>
          <w:szCs w:val="18"/>
          <w:vertAlign w:val="superscript"/>
        </w:rPr>
        <w:footnoteReference w:id="57"/>
      </w:r>
    </w:p>
    <w:p>
      <w:pPr>
        <w:pStyle w:val="BodyText"/>
        <w:rPr/>
      </w:pPr>
      <w:r>
        <w:rPr/>
        <w:t xml:space="preserve">US LNG exports went from 16,253 MMcf in 2014 to 4.37 million MMcf in 2024 — about </w:t>
      </w:r>
      <w:r>
        <w:rPr>
          <w:b/>
          <w:bCs/>
        </w:rPr>
        <w:t>88.3 Mt</w:t>
      </w:r>
      <w:r>
        <w:rPr/>
        <w:t xml:space="preserve"> — making the US the world’s largest LNG exporter. The per-tonne gas-only-attributed federal take is approximately </w:t>
      </w:r>
      <w:r>
        <w:rPr>
          <w:b/>
          <w:bCs/>
        </w:rPr>
        <w:t>A$61/t</w:t>
      </w:r>
      <w:r>
        <w:rPr/>
        <w:t xml:space="preserve"> — still </w:t>
      </w:r>
      <w:r>
        <w:rPr>
          <w:b/>
          <w:bCs/>
        </w:rPr>
        <w:t>~1.25× Australia’s A$49/t</w:t>
      </w:r>
      <w:r>
        <w:rPr/>
        <w:t xml:space="preserve"> when Australia’s PRRT + state royalties + NWS are combined, despite the US having no rent tax and no state-equity participation.</w:t>
      </w:r>
      <w:bookmarkEnd w:id="31"/>
    </w:p>
    <w:p>
      <w:pPr>
        <w:pStyle w:val="Heading3"/>
        <w:rPr/>
      </w:pPr>
      <w:bookmarkStart w:id="32" w:name="X461e4c001d0dabd2bc5518fb53d279db5beebc5"/>
      <w:r>
        <w:rPr/>
        <w:t>3.4 United Kingdom — Ring Fence CT + Energy Profits Levy</w:t>
      </w:r>
    </w:p>
    <w:p>
      <w:pPr>
        <w:pStyle w:val="FirstParagraph"/>
        <w:rPr/>
      </w:pPr>
      <w:r>
        <w:rPr/>
        <w:t>UK petroleum activity is taxed via:</w:t>
      </w:r>
      <w:r>
        <w:rPr>
          <w:rFonts w:ascii="Inter" w:hAnsi="Inter" w:cs="Inter"/>
          <w:b/>
          <w:color w:val="3092B1"/>
          <w:position w:val="8"/>
          <w:sz w:val="18"/>
          <w:szCs w:val="18"/>
          <w:vertAlign w:val="superscript"/>
        </w:rPr>
        <w:footnoteReference w:id="58"/>
      </w:r>
    </w:p>
    <w:p>
      <w:pPr>
        <w:pStyle w:val="Compact"/>
        <w:numPr>
          <w:ilvl w:val="0"/>
          <w:numId w:val="7"/>
        </w:numPr>
        <w:rPr/>
      </w:pPr>
      <w:r>
        <w:rPr>
          <w:b/>
          <w:bCs/>
        </w:rPr>
        <w:t>Ring Fence Corporation Tax: 30 per cent</w:t>
      </w:r>
      <w:r>
        <w:rPr/>
        <w:t>, ring-fenced to UK Continental Shelf activity.</w:t>
      </w:r>
    </w:p>
    <w:p>
      <w:pPr>
        <w:pStyle w:val="Compact"/>
        <w:numPr>
          <w:ilvl w:val="0"/>
          <w:numId w:val="7"/>
        </w:numPr>
        <w:rPr/>
      </w:pPr>
      <w:r>
        <w:rPr>
          <w:b/>
          <w:bCs/>
        </w:rPr>
        <w:t>Supplementary Charge: 10 per cent</w:t>
      </w:r>
      <w:r>
        <w:rPr/>
        <w:t xml:space="preserve"> on top.</w:t>
      </w:r>
    </w:p>
    <w:p>
      <w:pPr>
        <w:pStyle w:val="Compact"/>
        <w:numPr>
          <w:ilvl w:val="0"/>
          <w:numId w:val="7"/>
        </w:numPr>
        <w:rPr/>
      </w:pPr>
      <w:r>
        <w:rPr>
          <w:b/>
          <w:bCs/>
        </w:rPr>
        <w:t>Petroleum Revenue Tax: 0 per cent</w:t>
      </w:r>
      <w:r>
        <w:rPr/>
        <w:t xml:space="preserve"> since 2016 (rate retained on the books).</w:t>
      </w:r>
    </w:p>
    <w:p>
      <w:pPr>
        <w:pStyle w:val="Compact"/>
        <w:numPr>
          <w:ilvl w:val="0"/>
          <w:numId w:val="7"/>
        </w:numPr>
        <w:rPr/>
      </w:pPr>
      <w:r>
        <w:rPr>
          <w:b/>
          <w:bCs/>
        </w:rPr>
        <w:t>Energy Profits Levy:</w:t>
      </w:r>
      <w:r>
        <w:rPr/>
        <w:t xml:space="preserve">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 xml:space="preserve">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w:t>
      </w:r>
      <w:r>
        <w:rPr>
          <w:b/>
          <w:bCs/>
        </w:rPr>
        <w:t>NOK 275 bn (~A$35.75 bn) of 2025 petroleum sector investment</w:t>
      </w:r>
      <w:r>
        <w:rPr/>
        <w:t xml:space="preserve">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Fonts w:ascii="Inter" w:hAnsi="Inter" w:cs="Inter"/>
          <w:b/>
          <w:color w:val="3092B1"/>
          <w:position w:val="8"/>
          <w:sz w:val="18"/>
          <w:szCs w:val="18"/>
          <w:vertAlign w:val="superscript"/>
        </w:rPr>
        <w:footnoteReference w:id="59"/>
      </w:r>
      <w:bookmarkEnd w:id="32"/>
    </w:p>
    <w:p>
      <w:pPr>
        <w:pStyle w:val="Heading3"/>
        <w:rPr/>
      </w:pPr>
      <w:bookmarkStart w:id="33"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Fonts w:ascii="Inter" w:hAnsi="Inter" w:cs="Inter"/>
          <w:b/>
          <w:color w:val="3092B1"/>
          <w:position w:val="8"/>
          <w:sz w:val="18"/>
          <w:szCs w:val="18"/>
          <w:vertAlign w:val="superscript"/>
        </w:rPr>
        <w:footnoteReference w:id="60"/>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A$25.6 bn</w:t>
            </w:r>
          </w:p>
        </w:tc>
      </w:tr>
    </w:tbl>
    <w:p>
      <w:pPr>
        <w:pStyle w:val="BodyText"/>
        <w:rPr/>
      </w:pPr>
      <w:r>
        <w:rPr/>
        <w:t>PETRONAS Group LNG sales in 2024: 35.7 Mt. Cumulative PETRONAS contribution to the Malaysian government since 1974: RM 1.5 trillion (</w:t>
      </w:r>
      <w:r>
        <w:rPr>
          <w:b/>
          <w:bCs/>
        </w:rPr>
        <w:t>A$530 billion</w:t>
      </w:r>
      <w:r>
        <w:rPr/>
        <w:t>).</w:t>
      </w:r>
      <w:bookmarkEnd w:id="33"/>
    </w:p>
    <w:p>
      <w:pPr>
        <w:pStyle w:val="Heading3"/>
        <w:rPr/>
      </w:pPr>
      <w:bookmarkStart w:id="34"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Fonts w:ascii="Inter" w:hAnsi="Inter" w:cs="Inter"/>
          <w:b/>
          <w:color w:val="3092B1"/>
          <w:position w:val="8"/>
          <w:sz w:val="18"/>
          <w:szCs w:val="18"/>
          <w:vertAlign w:val="superscript"/>
        </w:rPr>
        <w:footnoteReference w:id="61"/>
      </w:r>
    </w:p>
    <w:p>
      <w:pPr>
        <w:pStyle w:val="BodyText"/>
        <w:rPr/>
      </w:pPr>
      <w:r>
        <w:rPr/>
        <w:t xml:space="preserve">Japan taxes every tonne of LNG it imports. Its </w:t>
      </w:r>
      <w:r>
        <w:rPr>
          <w:b/>
          <w:bCs/>
        </w:rPr>
        <w:t>Petroleum and Coal Tax</w:t>
      </w:r>
      <w:r>
        <w:rPr/>
        <w:t xml:space="preserve"> is </w:t>
      </w:r>
      <w:r>
        <w:rPr>
          <w:b/>
          <w:bCs/>
        </w:rPr>
        <w:t>JPY 1,860 per tonne</w:t>
      </w:r>
      <w:r>
        <w:rPr/>
        <w:t>: a JPY 1,080 base + JPY 780 climate-change surcharge in force since April 2016.</w:t>
      </w:r>
      <w:r>
        <w:rPr>
          <w:rFonts w:ascii="Inter" w:hAnsi="Inter" w:cs="Inter"/>
          <w:b/>
          <w:color w:val="3092B1"/>
          <w:position w:val="8"/>
          <w:sz w:val="18"/>
          <w:szCs w:val="18"/>
          <w:vertAlign w:val="superscript"/>
        </w:rPr>
        <w:footnoteReference w:id="62"/>
      </w:r>
      <w:r>
        <w:rPr/>
        <w:t xml:space="preserve"> At 1 JPY = 0.00883 AUD (RBA F11.1 daily fix 2026-05-11), that is </w:t>
      </w:r>
      <w:r>
        <w:rPr>
          <w:b/>
          <w:bCs/>
        </w:rPr>
        <w:t>A$16.42 per tonne</w:t>
      </w:r>
      <w:r>
        <w:rPr/>
        <w:t>. In 2024 Japan imported 25.1 Mt of LNG from Australia (out of 65.9 Mt total).</w:t>
      </w:r>
      <w:r>
        <w:rPr>
          <w:rFonts w:ascii="Inter" w:hAnsi="Inter" w:cs="Inter"/>
          <w:b/>
          <w:color w:val="3092B1"/>
          <w:position w:val="8"/>
          <w:sz w:val="18"/>
          <w:szCs w:val="18"/>
          <w:vertAlign w:val="superscript"/>
        </w:rPr>
        <w:footnoteReference w:id="63"/>
      </w:r>
    </w:p>
    <w:p>
      <w:pPr>
        <w:pStyle w:val="BodyText"/>
        <w:rPr/>
      </w:pPr>
      <w:r>
        <w:rPr/>
        <w:t xml:space="preserve">Applying the JPY 1,860/tonne rate to 25.1 Mt yields approximately </w:t>
      </w:r>
      <w:r>
        <w:rPr>
          <w:b/>
          <w:bCs/>
        </w:rPr>
        <w:t>A$412 million of Japanese tax collected specifically on Australian LNG</w:t>
      </w:r>
      <w:r>
        <w:rPr/>
        <w:t xml:space="preserve">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 xml:space="preserve">In other words: </w:t>
      </w:r>
      <w:r>
        <w:rPr>
          <w:b/>
          <w:bCs/>
        </w:rPr>
        <w:t>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 and what the Institute’s argument resolves to once unpacked — is the per-tonne LNG-specific comparison:</w:t>
      </w:r>
    </w:p>
    <w:p>
      <w:pPr>
        <w:pStyle w:val="Compact"/>
        <w:numPr>
          <w:ilvl w:val="0"/>
          <w:numId w:val="7"/>
        </w:numPr>
        <w:rPr/>
      </w:pPr>
      <w:r>
        <w:rPr>
          <w:b/>
          <w:bCs/>
        </w:rPr>
        <w:t>Japan: ~A$16 per tonne</w:t>
      </w:r>
      <w:r>
        <w:rPr/>
        <w:t xml:space="preserve"> of LNG specifically, collected at import as Petroleum and Coal Tax (JPY 1,860 × 0.00883 AUD/JPY).</w:t>
      </w:r>
    </w:p>
    <w:p>
      <w:pPr>
        <w:pStyle w:val="Compact"/>
        <w:numPr>
          <w:ilvl w:val="0"/>
          <w:numId w:val="7"/>
        </w:numPr>
        <w:rPr/>
      </w:pPr>
      <w:r>
        <w:rPr>
          <w:b/>
          <w:bCs/>
        </w:rPr>
        <w:t>Australia (PRRT) from offshore LNG projects specifically: ~A$0 per tonne.</w:t>
      </w:r>
      <w:r>
        <w:rPr/>
        <w:t xml:space="preserv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cleaner than the total-PRRT-vs-total-Japan-tax comparison is that Japan’s tax is applied to LNG volume specifically, while Australia’s PRRT receipts come overwhelmingly from legacy oil-producing assets rather than from the LNG projects that produced the gas Japan is importing. Volume-weighting at the LNG-specific layer is the like-for-like comparison used here — see Figure 11.</w:t>
      </w:r>
    </w:p>
    <w:p>
      <w:pPr>
        <w:pStyle w:val="BodyText"/>
        <w:rPr/>
      </w:pPr>
      <w:r>
        <w:rPr/>
        <w:drawing>
          <wp:inline distT="0" distB="0" distL="0" distR="0">
            <wp:extent cx="5969000" cy="3091180"/>
            <wp:effectExtent l="0" t="0" r="0" b="0"/>
            <wp:docPr id="18" name="Image10" descr="Figure 11: Downstream buyer-country tax per tonne of Australian LNG, A$ —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Figure 11: Downstream buyer-country tax per tonne of Australian LNG, A$ — Japan A$16.42, South Korea A$14.80, Taiwan A$0, China A$0, Australia (upstream) A$0"/>
                    <pic:cNvPicPr>
                      <a:picLocks noChangeAspect="1" noChangeArrowheads="1"/>
                    </pic:cNvPicPr>
                  </pic:nvPicPr>
                  <pic:blipFill>
                    <a:blip r:embed="rId15"/>
                    <a:stretch>
                      <a:fillRect/>
                    </a:stretch>
                  </pic:blipFill>
                  <pic:spPr bwMode="auto">
                    <a:xfrm>
                      <a:off x="0" y="0"/>
                      <a:ext cx="5969000" cy="3091180"/>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 xml:space="preserve">The broader claim sometimes made — that all of Australia’s LNG buyers tax it more heavily than Australia does — is </w:t>
      </w:r>
      <w:r>
        <w:rPr>
          <w:b/>
          <w:bCs/>
        </w:rPr>
        <w:t>false</w:t>
      </w:r>
      <w:r>
        <w:rPr/>
        <w:t xml:space="preserv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w:t>
      </w:r>
      <w:r>
        <w:rPr>
          <w:b/>
          <w:bCs/>
        </w:rPr>
        <w:t>A$14.80/tonne</w:t>
      </w:r>
      <w:r>
        <w:rPr/>
        <w:t xml:space="preserve"> at the RBA 2026-05-11 KRW fix.</w:t>
      </w:r>
      <w:r>
        <w:rPr>
          <w:rFonts w:ascii="Inter" w:hAnsi="Inter" w:cs="Inter"/>
          <w:b/>
          <w:color w:val="3092B1"/>
          <w:position w:val="8"/>
          <w:sz w:val="18"/>
          <w:szCs w:val="18"/>
          <w:vertAlign w:val="superscript"/>
        </w:rPr>
        <w:footnoteReference w:id="64"/>
      </w:r>
      <w:r>
        <w:rPr/>
        <w:t xml:space="preserve"> Of Australia’s four major LNG markets, Japan and South Korea levy material fuel-specific charges at the import end; China and Taiwan do not.</w:t>
      </w:r>
      <w:r>
        <w:rPr>
          <w:rFonts w:ascii="Inter" w:hAnsi="Inter" w:cs="Inter"/>
          <w:b/>
          <w:color w:val="3092B1"/>
          <w:position w:val="8"/>
          <w:sz w:val="18"/>
          <w:szCs w:val="18"/>
          <w:vertAlign w:val="superscript"/>
        </w:rPr>
        <w:footnoteReference w:id="65"/>
      </w:r>
      <w:bookmarkEnd w:id="34"/>
    </w:p>
    <w:p>
      <w:pPr>
        <w:pStyle w:val="Heading3"/>
        <w:rPr/>
      </w:pPr>
      <w:bookmarkStart w:id="35" w:name="the-middle-east-lesson"/>
      <w:r>
        <w:rPr/>
        <w:t>3.7 The Middle East lesson</w:t>
      </w:r>
    </w:p>
    <w:p>
      <w:pPr>
        <w:pStyle w:val="FirstParagraph"/>
        <w:rPr/>
      </w:pPr>
      <w:r>
        <w:rPr/>
        <w:t xml:space="preserve">The Middle East dossier (Section 8 of this repository) catalogues Qatar, UAE, Saudi Arabia, Oman, Algeria, and Iraq. The structural lesson is unambiguous: </w:t>
      </w:r>
      <w:r>
        <w:rPr>
          <w:b/>
          <w:bCs/>
        </w:rPr>
        <w:t>every major Middle Eastern gas/oil exporter uses some combination of state ownership + dividends, production-sharing contracts, or high royalties stacked on corporate income tax.</w:t>
      </w:r>
      <w:r>
        <w:rPr>
          <w:rFonts w:ascii="Inter" w:hAnsi="Inter" w:cs="Inter"/>
          <w:b/>
          <w:color w:val="3092B1"/>
          <w:position w:val="8"/>
          <w:sz w:val="18"/>
          <w:szCs w:val="18"/>
          <w:vertAlign w:val="superscript"/>
        </w:rPr>
        <w:footnoteReference w:id="66"/>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 xml:space="preserve">The Saudi Aramco prospectus disclosed a sliding-scale royalty: </w:t>
      </w:r>
      <w:r>
        <w:rPr>
          <w:b/>
          <w:bCs/>
        </w:rPr>
        <w:t>15 per cent</w:t>
      </w:r>
      <w:r>
        <w:rPr/>
        <w:t xml:space="preserve"> on Brent below US$70/bbl (A$97/bbl), </w:t>
      </w:r>
      <w:r>
        <w:rPr>
          <w:b/>
          <w:bCs/>
        </w:rPr>
        <w:t>45 per cent</w:t>
      </w:r>
      <w:r>
        <w:rPr/>
        <w:t xml:space="preserve"> above US$70, </w:t>
      </w:r>
      <w:r>
        <w:rPr>
          <w:b/>
          <w:bCs/>
        </w:rPr>
        <w:t>80 per cent</w:t>
      </w:r>
      <w:r>
        <w:rPr/>
        <w:t xml:space="preserve"> above US$100 (A$138/bbl), on top of a 50 per cent upstream corporate income tax. UAE introduced a 9 per cent federal corporate income tax in June 2023 — modest — but compensates through 100 per cent state ownership of ADNOC. ADNOC Gas alone, the IPO’d subsidiary, paid A$3.4 billion in dividends to the Abu Dhabi government in 2024.</w:t>
      </w:r>
      <w:r>
        <w:rPr>
          <w:rFonts w:ascii="Inter" w:hAnsi="Inter" w:cs="Inter"/>
          <w:b/>
          <w:color w:val="3092B1"/>
          <w:position w:val="8"/>
          <w:sz w:val="18"/>
          <w:szCs w:val="18"/>
          <w:vertAlign w:val="superscript"/>
        </w:rPr>
        <w:footnoteReference w:id="67"/>
      </w:r>
    </w:p>
    <w:p>
      <w:pPr>
        <w:pStyle w:val="BodyText"/>
        <w:rPr/>
      </w:pPr>
      <w:r>
        <w:rPr/>
        <w:t xml:space="preserve">The collective UAE sovereign wealth fund AUM (ADIA + Mubadala + ADQ) is now of order </w:t>
      </w:r>
      <w:r>
        <w:rPr>
          <w:b/>
          <w:bCs/>
        </w:rPr>
        <w:t>A$2.4–2.5 trillion</w:t>
      </w:r>
      <w:r>
        <w:rPr/>
        <w:t xml:space="preserve"> (US$1.7–1.8 tn). Per resident: ~</w:t>
      </w:r>
      <w:r>
        <w:rPr>
          <w:b/>
          <w:bCs/>
        </w:rPr>
        <w:t>A$242,000</w:t>
      </w:r>
      <w:r>
        <w:rPr/>
        <w:t xml:space="preserve"> (US$175,000) — comparable to Norway. Per Qatari citizen, the QIA share is ~</w:t>
      </w:r>
      <w:r>
        <w:rPr>
          <w:b/>
          <w:bCs/>
        </w:rPr>
        <w:t>A$2.03 million</w:t>
      </w:r>
      <w:r>
        <w:rPr/>
        <w:t xml:space="preserve"> (US$1.47 m).</w:t>
      </w:r>
    </w:p>
    <w:p>
      <w:pPr>
        <w:pStyle w:val="Normal"/>
        <w:rPr/>
      </w:pPr>
      <w:r>
        <w:rPr/>
        <mc:AlternateContent>
          <mc:Choice Requires="wps">
            <w:drawing>
              <wp:inline distT="0" distB="0" distL="0" distR="0">
                <wp:extent cx="59728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35"/>
    </w:p>
    <w:p>
      <w:pPr>
        <w:pStyle w:val="Heading2"/>
        <w:rPr/>
      </w:pPr>
      <w:bookmarkStart w:id="36" w:name="Xba63d7e9976ba0de5e0ea7fcd2177cff4b3c808"/>
      <w:r>
        <w:rPr/>
        <w:t>Part 4 — The industry’s case, in its own words</w:t>
      </w:r>
    </w:p>
    <w:p>
      <w:pPr>
        <w:pStyle w:val="Heading3"/>
        <w:pBdr>
          <w:left w:val="single" w:sz="4" w:space="10" w:color="D5D5D7"/>
          <w:right w:val="single" w:sz="4" w:space="10" w:color="D5D5D7"/>
        </w:pBdr>
        <w:rPr/>
      </w:pPr>
      <w:bookmarkStart w:id="37" w:name="box-1-how-this-part-is-constructed"/>
      <w:r>
        <w:rPr/>
        <w:t>BOX 1 · How this Part is constructed</w:t>
      </w:r>
    </w:p>
    <w:p>
      <w:pPr>
        <w:pStyle w:val="InstatsCallout"/>
        <w:rPr/>
      </w:pPr>
      <w:r>
        <w:rPr/>
        <w:t xml:space="preserve">This Part sets out the industry’s strongest published defence of the current fiscal arrangements. Every claim restated below is drawn from a named primary source —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 not weaker versions of the argument.</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7"/>
    </w:p>
    <w:p>
      <w:pPr>
        <w:pStyle w:val="Heading3"/>
        <w:rPr/>
      </w:pPr>
      <w:bookmarkStart w:id="38" w:name="we-paid-for-the-infrastructure"/>
      <w:r>
        <w:rPr/>
        <w:t>4.1 “We paid for the infrastructure”</w:t>
      </w:r>
    </w:p>
    <w:p>
      <w:pPr>
        <w:pStyle w:val="FirstParagraph"/>
        <w:rPr/>
      </w:pPr>
      <w:r>
        <w:rPr/>
        <w:t xml:space="preserve">Building Australia’s LNG export industry was extremely expensive. Between 2010 and 2020, the buildout absorbed roughly </w:t>
      </w:r>
      <w:r>
        <w:rPr>
          <w:b/>
          <w:bCs/>
        </w:rPr>
        <w:t>A$300–350 billion of private capital</w:t>
      </w:r>
      <w:r>
        <w:rPr/>
        <w:t>,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Fonts w:ascii="Inter" w:hAnsi="Inter" w:cs="Inter"/>
          <w:b/>
          <w:color w:val="3092B1"/>
          <w:position w:val="8"/>
          <w:sz w:val="18"/>
          <w:szCs w:val="18"/>
          <w:vertAlign w:val="superscript"/>
        </w:rPr>
        <w:footnoteReference w:id="68"/>
      </w:r>
    </w:p>
    <w:p>
      <w:pPr>
        <w:pStyle w:val="BodyText"/>
        <w:rPr/>
      </w:pPr>
      <w:r>
        <w:rPr/>
        <w:t xml:space="preserve">Industry argues: PRRT receipts are low in the 2010s and 2020s </w:t>
      </w:r>
      <w:r>
        <w:rPr>
          <w:b/>
          <w:bCs/>
        </w:rPr>
        <w:t>by design</w:t>
      </w:r>
      <w:r>
        <w:rPr/>
        <w:t xml:space="preserve"> —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Fonts w:ascii="Inter" w:hAnsi="Inter" w:cs="Inter"/>
          <w:b/>
          <w:color w:val="3092B1"/>
          <w:position w:val="8"/>
          <w:sz w:val="18"/>
          <w:szCs w:val="18"/>
          <w:vertAlign w:val="superscript"/>
        </w:rPr>
        <w:footnoteReference w:id="69"/>
      </w:r>
    </w:p>
    <w:p>
      <w:pPr>
        <w:pStyle w:val="FirstParagraph"/>
        <w:rPr/>
      </w:pPr>
      <w:r>
        <w:rPr/>
        <w:t xml:space="preserve">Callaghan’s own modelling projected </w:t>
      </w:r>
      <w:r>
        <w:rPr>
          <w:b/>
          <w:bCs/>
        </w:rPr>
        <w:t>PRRT revenue could total around A$105 billion to 2050 at US$65/bbl; A$170 billion at US$80; A$230 billion at US$100</w:t>
      </w:r>
      <w:r>
        <w:rPr/>
        <w:t xml:space="preserve"> (page 11).</w:t>
      </w:r>
      <w:r>
        <w:rPr>
          <w:rFonts w:ascii="Inter" w:hAnsi="Inter" w:cs="Inter"/>
          <w:b/>
          <w:color w:val="3092B1"/>
          <w:position w:val="8"/>
          <w:sz w:val="18"/>
          <w:szCs w:val="18"/>
          <w:vertAlign w:val="superscript"/>
        </w:rPr>
        <w:footnoteReference w:id="70"/>
      </w:r>
      <w:bookmarkEnd w:id="38"/>
    </w:p>
    <w:p>
      <w:pPr>
        <w:pStyle w:val="Heading3"/>
        <w:rPr/>
      </w:pPr>
      <w:bookmarkStart w:id="39"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9"/>
    </w:p>
    <w:p>
      <w:pPr>
        <w:pStyle w:val="Heading3"/>
        <w:rPr/>
      </w:pPr>
      <w:bookmarkStart w:id="40"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Fonts w:ascii="Inter" w:hAnsi="Inter" w:cs="Inter"/>
          <w:b/>
          <w:color w:val="3092B1"/>
          <w:position w:val="8"/>
          <w:sz w:val="18"/>
          <w:szCs w:val="18"/>
          <w:vertAlign w:val="superscript"/>
        </w:rPr>
        <w:footnoteReference w:id="71"/>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40"/>
    </w:p>
    <w:p>
      <w:pPr>
        <w:pStyle w:val="Heading3"/>
        <w:rPr/>
      </w:pPr>
      <w:bookmarkStart w:id="41"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Fonts w:ascii="Inter" w:hAnsi="Inter" w:cs="Inter"/>
          <w:b/>
          <w:color w:val="3092B1"/>
          <w:position w:val="8"/>
          <w:sz w:val="18"/>
          <w:szCs w:val="18"/>
          <w:vertAlign w:val="superscript"/>
        </w:rPr>
        <w:footnoteReference w:id="72"/>
      </w:r>
      <w:bookmarkEnd w:id="41"/>
    </w:p>
    <w:p>
      <w:pPr>
        <w:pStyle w:val="Heading3"/>
        <w:rPr/>
      </w:pPr>
      <w:bookmarkStart w:id="42" w:name="we-do-pay-a21.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p>
    <w:p>
      <w:pPr>
        <w:pStyle w:val="BodyText"/>
        <w:rPr/>
      </w:pPr>
      <w:r>
        <w:rPr/>
        <w:t>Source note: Australian Energy Producers July 2025 media release.</w:t>
      </w:r>
      <w:r>
        <w:rPr>
          <w:rFonts w:ascii="Inter" w:hAnsi="Inter" w:cs="Inter"/>
          <w:b/>
          <w:color w:val="3092B1"/>
          <w:position w:val="8"/>
          <w:sz w:val="18"/>
          <w:szCs w:val="18"/>
          <w:vertAlign w:val="superscript"/>
        </w:rPr>
        <w:footnoteReference w:id="73"/>
      </w:r>
    </w:p>
    <w:p>
      <w:pPr>
        <w:pStyle w:val="BodyText"/>
        <w:rPr/>
      </w:pPr>
      <w:r>
        <w:rPr/>
        <w:t>Woodside Energy frames it the same way.</w:t>
      </w:r>
      <w:r>
        <w:rPr>
          <w:rFonts w:ascii="Inter" w:hAnsi="Inter" w:cs="Inter"/>
          <w:b/>
          <w:color w:val="3092B1"/>
          <w:position w:val="8"/>
          <w:sz w:val="18"/>
          <w:szCs w:val="18"/>
          <w:vertAlign w:val="superscript"/>
        </w:rPr>
        <w:footnoteReference w:id="74"/>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21" name="Image11" descr="Figure 8: Australian Energy Producers’ A$21.9 bn 2024-25 headline decomposed —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Figure 8: Australian Energy Producers’ A$21.9 bn 2024-25 headline decomposed — A$13.5 bn company income tax, A$6.6 bn state royalties + excise, A$1.35 bn PRRT, A$0.5 bn other"/>
                    <pic:cNvPicPr>
                      <a:picLocks noChangeAspect="1" noChangeArrowheads="1"/>
                    </pic:cNvPicPr>
                  </pic:nvPicPr>
                  <pic:blipFill>
                    <a:blip r:embed="rId16"/>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2"/>
    </w:p>
    <w:p>
      <w:pPr>
        <w:pStyle w:val="Heading3"/>
        <w:rPr/>
      </w:pPr>
      <w:bookmarkStart w:id="43" w:name="what-survives-the-critique"/>
      <w:r>
        <w:rPr/>
        <w:t>4.6 What survives the critique</w:t>
      </w:r>
    </w:p>
    <w:p>
      <w:pPr>
        <w:pStyle w:val="FirstParagraph"/>
        <w:rPr/>
      </w:pPr>
      <w:r>
        <w:rPr/>
        <w:t>Three industry claims survive serious examination:</w:t>
      </w:r>
    </w:p>
    <w:p>
      <w:pPr>
        <w:pStyle w:val="Compact"/>
        <w:numPr>
          <w:ilvl w:val="0"/>
          <w:numId w:val="31"/>
        </w:numPr>
        <w:rPr/>
      </w:pPr>
      <w:r>
        <w:rPr>
          <w:b/>
          <w:bCs/>
        </w:rPr>
        <w:t>PRRT is back-loaded by design</w:t>
      </w:r>
      <w:r>
        <w:rPr/>
        <w:t>, not failure. A serious reform debate must engage with the design choice, not pretend it was an accident.</w:t>
      </w:r>
    </w:p>
    <w:p>
      <w:pPr>
        <w:pStyle w:val="Compact"/>
        <w:numPr>
          <w:ilvl w:val="0"/>
          <w:numId w:val="13"/>
        </w:numPr>
        <w:rPr/>
      </w:pPr>
      <w:r>
        <w:rPr>
          <w:b/>
          <w:bCs/>
        </w:rPr>
        <w:t>Australian capex was genuinely large.</w:t>
      </w:r>
      <w:r>
        <w:rPr/>
        <w:t xml:space="preserve"> A$300+ billion of private capital in a decade did build an industry that did not exist before, and the deduction shield is the explicit price the system pays for not deterring that investment.</w:t>
      </w:r>
    </w:p>
    <w:p>
      <w:pPr>
        <w:pStyle w:val="Compact"/>
        <w:numPr>
          <w:ilvl w:val="0"/>
          <w:numId w:val="13"/>
        </w:numPr>
        <w:rPr/>
      </w:pPr>
      <w:r>
        <w:rPr>
          <w:b/>
          <w:bCs/>
        </w:rPr>
        <w:t>A flat 25 per cent revenue tax can blur headline export value with realised price.</w:t>
      </w:r>
      <w:r>
        <w:rPr/>
        <w:t xml:space="preserv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b/>
          <w:bCs/>
        </w:rPr>
        <w:t>The “A$21.9 billion” headline is real, but it is not evidence of rent capture.</w:t>
      </w:r>
      <w:r>
        <w:rPr/>
        <w:t xml:space="preserve"> Company income tax at 30 per cent is what every Australian company pays. The relevant question for the gas-tax debate is rent capture, not company tax — and on that measure (PRRT) the industry pays A$1.35 billion, not A$21.9 billion.</w:t>
      </w:r>
    </w:p>
    <w:p>
      <w:pPr>
        <w:pStyle w:val="Compact"/>
        <w:numPr>
          <w:ilvl w:val="0"/>
          <w:numId w:val="13"/>
        </w:numPr>
        <w:rPr/>
      </w:pPr>
      <w:r>
        <w:rPr>
          <w:b/>
          <w:bCs/>
        </w:rPr>
        <w:t>“</w:t>
      </w:r>
      <w:r>
        <w:rPr>
          <w:b/>
          <w:bCs/>
        </w:rPr>
        <w:t>One in ten company tax dollars” is correct but uninformative.</w:t>
      </w:r>
      <w:r>
        <w:rPr/>
        <w:t xml:space="preserve"> Same point: company tax is not the rent.</w:t>
      </w:r>
    </w:p>
    <w:p>
      <w:pPr>
        <w:pStyle w:val="Compact"/>
        <w:numPr>
          <w:ilvl w:val="0"/>
          <w:numId w:val="13"/>
        </w:numPr>
        <w:rPr/>
      </w:pPr>
      <w:r>
        <w:rPr>
          <w:b/>
          <w:bCs/>
        </w:rPr>
        <w:t>“</w:t>
      </w:r>
      <w:r>
        <w:rPr>
          <w:b/>
          <w:bCs/>
        </w:rPr>
        <w:t>Investment will flee” is structurally weak.</w:t>
      </w:r>
      <w:r>
        <w:rPr/>
        <w:t xml:space="preserve"> Norway and the UK both sit at 78 per cent total tax but with opposite investment trajectories. The variable is design, not headline rate. Australia has the option of a Norwegian-style high-rate-cash-flow-neutral design — that’s a separate question from whether the rate should rise.</w:t>
      </w:r>
    </w:p>
    <w:p>
      <w:pPr>
        <w:pStyle w:val="FirstParagraph"/>
        <w:rPr/>
      </w:pPr>
      <w:r>
        <w:rPr/>
        <w:t>The Australia Institute’s three substantive critiques of the AEP framing also stand:</w:t>
      </w:r>
      <w:r>
        <w:rPr>
          <w:rFonts w:ascii="Inter" w:hAnsi="Inter" w:cs="Inter"/>
          <w:b/>
          <w:color w:val="3092B1"/>
          <w:position w:val="8"/>
          <w:sz w:val="18"/>
          <w:szCs w:val="18"/>
          <w:vertAlign w:val="superscript"/>
        </w:rPr>
        <w:footnoteReference w:id="75"/>
      </w:r>
    </w:p>
    <w:p>
      <w:pPr>
        <w:pStyle w:val="Compact"/>
        <w:numPr>
          <w:ilvl w:val="0"/>
          <w:numId w:val="7"/>
        </w:numPr>
        <w:rPr/>
      </w:pPr>
      <w:r>
        <w:rPr>
          <w:b/>
          <w:bCs/>
        </w:rPr>
        <w:t>Royalties are not a tax.</w:t>
      </w:r>
      <w:r>
        <w:rPr/>
        <w:t xml:space="preserve"> They are a purchase price for community-owned petroleum resources. The “builder claiming the cost of bricks as a tax payment” framing is accurate.</w:t>
      </w:r>
    </w:p>
    <w:p>
      <w:pPr>
        <w:pStyle w:val="Compact"/>
        <w:numPr>
          <w:ilvl w:val="0"/>
          <w:numId w:val="7"/>
        </w:numPr>
        <w:rPr/>
      </w:pPr>
      <w:r>
        <w:rPr>
          <w:b/>
          <w:bCs/>
        </w:rPr>
        <w:t>AEP’s number is from a member survey, not ATO data.</w:t>
      </w:r>
      <w:r>
        <w:rPr/>
        <w:t xml:space="preserve"> Across 2017-18 to 2020-21, the AEP-claimed figure overstates ATO-published tax by an average of 53 per cent.</w:t>
      </w:r>
    </w:p>
    <w:p>
      <w:pPr>
        <w:pStyle w:val="Compact"/>
        <w:numPr>
          <w:ilvl w:val="0"/>
          <w:numId w:val="7"/>
        </w:numPr>
        <w:rPr/>
      </w:pPr>
      <w:r>
        <w:rPr>
          <w:b/>
          <w:bCs/>
        </w:rPr>
        <w:t>Ukraine windfall masking.</w:t>
      </w:r>
      <w:r>
        <w:rPr/>
        <w:t xml:space="preserve"> Pre-war, the oil and gas industry paid an average of A$2.6 billion in company tax per year —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43"/>
    </w:p>
    <w:p>
      <w:pPr>
        <w:pStyle w:val="Heading2"/>
        <w:rPr/>
      </w:pPr>
      <w:bookmarkStart w:id="44"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Fonts w:ascii="Inter" w:hAnsi="Inter" w:cs="Inter"/>
          <w:b/>
          <w:color w:val="3092B1"/>
          <w:position w:val="8"/>
          <w:sz w:val="18"/>
          <w:szCs w:val="18"/>
          <w:vertAlign w:val="superscript"/>
        </w:rPr>
        <w:footnoteReference w:id="76"/>
      </w:r>
      <w:r>
        <w:rPr/>
        <w:t xml:space="preserve"> This is the headline policy proposal from the Greens, the ACTU, the Australia Institute, IEEFA Australia, and most cross-bench independents (as a 25 per cent flat rate).</w:t>
      </w:r>
    </w:p>
    <w:p>
      <w:pPr>
        <w:pStyle w:val="BodyText"/>
        <w:rPr/>
      </w:pPr>
      <w:r>
        <w:rPr/>
        <w:t>Compared with Budget 2026-27, delivered by Treasurer Jim Chalmers on 12 May 2026, A$17 billion is:</w:t>
      </w:r>
      <w:r>
        <w:rPr>
          <w:rFonts w:ascii="Inter" w:hAnsi="Inter" w:cs="Inter"/>
          <w:b/>
          <w:color w:val="3092B1"/>
          <w:position w:val="8"/>
          <w:sz w:val="18"/>
          <w:szCs w:val="18"/>
          <w:vertAlign w:val="superscript"/>
        </w:rPr>
        <w:footnoteReference w:id="77"/>
      </w:r>
    </w:p>
    <w:p>
      <w:pPr>
        <w:pStyle w:val="Compact"/>
        <w:numPr>
          <w:ilvl w:val="0"/>
          <w:numId w:val="7"/>
        </w:numPr>
        <w:rPr/>
      </w:pPr>
      <w:r>
        <w:rPr>
          <w:b/>
          <w:bCs/>
        </w:rPr>
        <w:t>2.13 per cent of total Commonwealth receipts</w:t>
      </w:r>
      <w:r>
        <w:rPr/>
        <w:t xml:space="preserve"> (A$798.1 billion).</w:t>
      </w:r>
    </w:p>
    <w:p>
      <w:pPr>
        <w:pStyle w:val="Compact"/>
        <w:numPr>
          <w:ilvl w:val="0"/>
          <w:numId w:val="7"/>
        </w:numPr>
        <w:rPr/>
      </w:pPr>
      <w:r>
        <w:rPr>
          <w:b/>
          <w:bCs/>
        </w:rPr>
        <w:t>2.04 per cent of total Commonwealth expenses</w:t>
      </w:r>
      <w:r>
        <w:rPr/>
        <w:t xml:space="preserve"> (A$833.3 billion).</w:t>
      </w:r>
    </w:p>
    <w:p>
      <w:pPr>
        <w:pStyle w:val="Compact"/>
        <w:numPr>
          <w:ilvl w:val="0"/>
          <w:numId w:val="7"/>
        </w:numPr>
        <w:rPr/>
      </w:pPr>
      <w:r>
        <w:rPr>
          <w:b/>
          <w:bCs/>
        </w:rPr>
        <w:t>53.9 per cent of the 2026-27 underlying cash deficit</w:t>
      </w:r>
      <w:r>
        <w:rPr/>
        <w:t xml:space="preserve"> (A$31.5 billion).</w:t>
      </w:r>
    </w:p>
    <w:p>
      <w:pPr>
        <w:pStyle w:val="Compact"/>
        <w:numPr>
          <w:ilvl w:val="0"/>
          <w:numId w:val="7"/>
        </w:numPr>
        <w:rPr/>
      </w:pPr>
      <w:r>
        <w:rPr>
          <w:b/>
          <w:bCs/>
        </w:rPr>
        <w:t>32.7 per cent of total 2026-27 defence spending</w:t>
      </w:r>
      <w:r>
        <w:rPr/>
        <w:t xml:space="preserve"> (A$52.1 billion); ~1/5 of the AUKUS end-of-decade defence trajectory (~A$80–100 bn/yr by 2034-35).</w:t>
      </w:r>
    </w:p>
    <w:p>
      <w:pPr>
        <w:pStyle w:val="Compact"/>
        <w:numPr>
          <w:ilvl w:val="0"/>
          <w:numId w:val="7"/>
        </w:numPr>
        <w:rPr/>
      </w:pPr>
      <w:r>
        <w:rPr>
          <w:b/>
          <w:bCs/>
        </w:rPr>
        <w:t>4.8× tobacco excise</w:t>
      </w:r>
      <w:r>
        <w:rPr/>
        <w:t xml:space="preserve"> (A$3.56 billion).</w:t>
      </w:r>
    </w:p>
    <w:p>
      <w:pPr>
        <w:pStyle w:val="Compact"/>
        <w:numPr>
          <w:ilvl w:val="0"/>
          <w:numId w:val="7"/>
        </w:numPr>
        <w:rPr/>
      </w:pPr>
      <w:r>
        <w:rPr>
          <w:b/>
          <w:bCs/>
        </w:rPr>
        <w:t>8.9× current PRRT</w:t>
      </w:r>
      <w:r>
        <w:rPr/>
        <w:t xml:space="preserve"> (A$1.90 billion).</w:t>
      </w:r>
    </w:p>
    <w:p>
      <w:pPr>
        <w:pStyle w:val="Compact"/>
        <w:numPr>
          <w:ilvl w:val="0"/>
          <w:numId w:val="7"/>
        </w:numPr>
        <w:rPr/>
      </w:pPr>
      <w:r>
        <w:rPr>
          <w:b/>
          <w:bCs/>
        </w:rPr>
        <w:t>Roughly equal to total Commonwealth Child Care Subsidy spending</w:t>
      </w:r>
      <w:r>
        <w:rPr/>
        <w:t xml:space="preserve"> (A$16.9 billion).</w:t>
      </w:r>
    </w:p>
    <w:p>
      <w:pPr>
        <w:pStyle w:val="Compact"/>
        <w:numPr>
          <w:ilvl w:val="0"/>
          <w:numId w:val="7"/>
        </w:numPr>
        <w:rPr/>
      </w:pPr>
      <w:r>
        <w:rPr>
          <w:b/>
          <w:bCs/>
        </w:rPr>
        <w:t>Close to annual JobSeeker income support</w:t>
      </w:r>
      <w:r>
        <w:rPr/>
        <w:t xml:space="preserve"> (A$18.3 billion) and Support for Families (A$18.1 billion).</w:t>
      </w:r>
      <w:r>
        <w:rPr>
          <w:rFonts w:ascii="Inter" w:hAnsi="Inter" w:cs="Inter"/>
          <w:b/>
          <w:color w:val="3092B1"/>
          <w:position w:val="8"/>
          <w:sz w:val="18"/>
          <w:szCs w:val="18"/>
          <w:vertAlign w:val="superscript"/>
        </w:rPr>
        <w:footnoteReference w:id="78"/>
      </w:r>
    </w:p>
    <w:p>
      <w:pPr>
        <w:pStyle w:val="FirstParagraph"/>
        <w:rPr/>
      </w:pPr>
      <w:r>
        <w:rPr/>
        <w:t>A$17 billion a year is 2.13 per cent of Commonwealth receipts, roughly equal to annual Child Care Subsidy spending, more than half the 2026-27 underlying cash deficit, and almost nine times current PRRT. Budget 2026-27, Budget Paper 1; ACTU/Australia Institute 25 per cent LNG export levy estimate</w:t>
      </w:r>
    </w:p>
    <w:p>
      <w:pPr>
        <w:pStyle w:val="BodyText"/>
        <w:rPr/>
      </w:pPr>
      <w:r>
        <w:rPr/>
        <w:t xml:space="preserve">The substantive question is what one year’s gas tax revenue would </w:t>
      </w:r>
      <w:r>
        <w:rPr>
          <w:i/>
          <w:iCs/>
        </w:rPr>
        <w:t>mean</w:t>
      </w:r>
      <w:r>
        <w:rPr/>
        <w:t xml:space="preserve"> inside the Budget — using current Budget aggregates and primary-source costings of canonical reform proposals. The answer, in one chart:</w:t>
      </w:r>
    </w:p>
    <w:p>
      <w:pPr>
        <w:pStyle w:val="BodyText"/>
        <w:rPr/>
      </w:pPr>
      <w:r>
        <w:rPr/>
        <w:drawing>
          <wp:inline distT="0" distB="0" distL="0" distR="0">
            <wp:extent cx="5969000" cy="2689225"/>
            <wp:effectExtent l="0" t="0" r="0" b="0"/>
            <wp:docPr id="24" name="Image12" descr="Figure 4: A$17 bn/yr in the current Budget — compared with PRRT, beer excise, childcare, JobSeeker and the underlying cash def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descr="Figure 4: A$17 bn/yr in the current Budget — compared with PRRT, beer excise, childcare, JobSeeker and the underlying cash deficit"/>
                    <pic:cNvPicPr>
                      <a:picLocks noChangeAspect="1" noChangeArrowheads="1"/>
                    </pic:cNvPicPr>
                  </pic:nvPicPr>
                  <pic:blipFill>
                    <a:blip r:embed="rId17"/>
                    <a:stretch>
                      <a:fillRect/>
                    </a:stretch>
                  </pic:blipFill>
                  <pic:spPr bwMode="auto">
                    <a:xfrm>
                      <a:off x="0" y="0"/>
                      <a:ext cx="5969000" cy="2689225"/>
                    </a:xfrm>
                    <a:prstGeom prst="rect">
                      <a:avLst/>
                    </a:prstGeom>
                    <a:noFill/>
                  </pic:spPr>
                </pic:pic>
              </a:graphicData>
            </a:graphic>
          </wp:inline>
        </w:drawing>
      </w:r>
      <w:r>
        <w:rPr/>
        <w:t xml:space="preserve"> </w:t>
      </w:r>
      <w:r>
        <w:rPr>
          <w:i/>
          <w:iCs/>
        </w:rPr>
        <w:t>Figure 4. A$17 billion per year is not a marginal line item in Budget 2026-27. It is roughly equal to annual Child Care Subsidy spending, close to JobSeeker income support and Support for Families, and more than half the underlying cash deficit. Sources: Budget 2026-27, Budget Paper 1 Statements 5 and 6; ACTU/Australia Institute 25 per cent LNG export levy estimate.</w:t>
      </w:r>
    </w:p>
    <w:p>
      <w:pPr>
        <w:pStyle w:val="Heading3"/>
        <w:rPr/>
      </w:pPr>
      <w:bookmarkStart w:id="45"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t xml:space="preserve"> (September 2024) costs the universal access reform at +A$4.7 billion per year on top of the existing Child Care Subsidy base.</w:t>
      </w:r>
      <w:r>
        <w:rPr>
          <w:rFonts w:ascii="Inter" w:hAnsi="Inter" w:cs="Inter"/>
          <w:b/>
          <w:color w:val="3092B1"/>
          <w:position w:val="8"/>
          <w:sz w:val="18"/>
          <w:szCs w:val="18"/>
          <w:vertAlign w:val="superscript"/>
        </w:rPr>
        <w:footnoteReference w:id="79"/>
      </w:r>
      <w:r>
        <w:rPr/>
        <w:t xml:space="preserve"> Budget 2026-27 puts Child Care Subsidy program spending at approximately </w:t>
      </w:r>
      <w:r>
        <w:rPr>
          <w:b/>
          <w:bCs/>
        </w:rPr>
        <w:t>A$16.9 billion</w:t>
      </w:r>
      <w:r>
        <w:rPr/>
        <w:t xml:space="preserve"> in 2026-27.</w:t>
      </w:r>
      <w:r>
        <w:rPr>
          <w:rFonts w:ascii="Inter" w:hAnsi="Inter" w:cs="Inter"/>
          <w:b/>
          <w:color w:val="3092B1"/>
          <w:position w:val="8"/>
          <w:sz w:val="18"/>
          <w:szCs w:val="18"/>
          <w:vertAlign w:val="superscript"/>
        </w:rPr>
        <w:footnoteReference w:id="80"/>
      </w:r>
      <w:r>
        <w:rPr/>
        <w:t xml:space="preserve"> That means one year of the 25 per cent LNG export levy is roughly the size of the entire annual subsidy line, before any dynamic labour-force participation effects.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Fonts w:ascii="Inter" w:hAnsi="Inter" w:cs="Inter"/>
          <w:b/>
          <w:color w:val="3092B1"/>
          <w:position w:val="8"/>
          <w:sz w:val="18"/>
          <w:szCs w:val="18"/>
          <w:vertAlign w:val="superscript"/>
        </w:rPr>
        <w:footnoteReference w:id="81"/>
      </w:r>
      <w:bookmarkEnd w:id="45"/>
    </w:p>
    <w:p>
      <w:pPr>
        <w:pStyle w:val="Heading3"/>
        <w:rPr/>
      </w:pPr>
      <w:bookmarkStart w:id="46" w:name="university-tafe-and-hecs-help"/>
      <w:r>
        <w:rPr/>
        <w:t>5.2 University, TAFE, and HECS-HELP</w:t>
      </w:r>
    </w:p>
    <w:p>
      <w:pPr>
        <w:pStyle w:val="FirstParagraph"/>
        <w:rPr/>
      </w:pPr>
      <w:r>
        <w:rPr/>
        <w:t xml:space="preserve">Total HECS/HELP debt outstanding in 2023-24 was </w:t>
      </w:r>
      <w:r>
        <w:rPr>
          <w:b/>
          <w:bCs/>
        </w:rPr>
        <w:t>A$81.05 billion</w:t>
      </w:r>
      <w:r>
        <w:rPr/>
        <w:t>.</w:t>
      </w:r>
      <w:r>
        <w:rPr>
          <w:rFonts w:ascii="Inter" w:hAnsi="Inter" w:cs="Inter"/>
          <w:b/>
          <w:color w:val="3092B1"/>
          <w:position w:val="8"/>
          <w:sz w:val="18"/>
          <w:szCs w:val="18"/>
          <w:vertAlign w:val="superscript"/>
        </w:rPr>
        <w:footnoteReference w:id="82"/>
      </w:r>
      <w:r>
        <w:rPr/>
        <w:t xml:space="preserve"> The Albanese government’s 2024-25 MYEFO measure cut 20 per cent off all outstanding HELP debt — A$16+ billion erased. The higher-education comparison therefore remains a capital-stock comparison rather than a direct annual Budget line: one A$17 billion year is about one-fifth of the 2023-24 outstanding HELP balance, or roughly the size of the one-off 20 per cent HELP-debt reduction.</w:t>
      </w:r>
    </w:p>
    <w:p>
      <w:pPr>
        <w:pStyle w:val="BodyText"/>
        <w:rPr/>
      </w:pPr>
      <w:r>
        <w:rPr/>
        <w:t xml:space="preserve">The </w:t>
      </w:r>
      <w:r>
        <w:rPr>
          <w:b/>
          <w:bCs/>
        </w:rPr>
        <w:t>Universities Accord Final Report (Feb 2024)</w:t>
      </w:r>
      <w:r>
        <w:rPr/>
        <w:t xml:space="preserve"> identified the funding needed to meet the 80-per-cent-tertiary-qualification target by 2050.</w:t>
      </w:r>
      <w:r>
        <w:rPr>
          <w:rFonts w:ascii="Inter" w:hAnsi="Inter" w:cs="Inter"/>
          <w:b/>
          <w:color w:val="3092B1"/>
          <w:position w:val="8"/>
          <w:sz w:val="18"/>
          <w:szCs w:val="18"/>
          <w:vertAlign w:val="superscript"/>
        </w:rPr>
        <w:footnoteReference w:id="83"/>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b/>
          <w:bCs/>
        </w:rPr>
        <w:t>A$17 billion a year is comparable to annual Commonwealth tertiary spending.</w:t>
      </w:r>
      <w:r>
        <w:rPr/>
        <w:t xml:space="preserve"> It would cover the Accord recommendations + permanent fee-free TAFE + a substantial HECS rate reduction, or wipe out the full HECS/HELP debt balance in roughly five years.</w:t>
      </w:r>
      <w:bookmarkEnd w:id="46"/>
    </w:p>
    <w:p>
      <w:pPr>
        <w:pStyle w:val="Heading3"/>
        <w:rPr/>
      </w:pPr>
      <w:bookmarkStart w:id="47" w:name="medicare-expansion"/>
      <w:r>
        <w:rPr/>
        <w:t>5.3 Medicare expansion</w:t>
      </w:r>
    </w:p>
    <w:p>
      <w:pPr>
        <w:pStyle w:val="FirstParagraph"/>
        <w:rPr/>
      </w:pPr>
      <w:r>
        <w:rPr/>
        <w:t xml:space="preserve">Total Commonwealth health spending in 2026-27 is </w:t>
      </w:r>
      <w:r>
        <w:rPr>
          <w:b/>
          <w:bCs/>
        </w:rPr>
        <w:t>A$136.9 billion</w:t>
      </w:r>
      <w:r>
        <w:rPr/>
        <w:t xml:space="preserve"> (Budget Paper 1 Statement 6 Table 6.3). The major medical-services line is </w:t>
      </w:r>
      <w:r>
        <w:rPr>
          <w:b/>
          <w:bCs/>
        </w:rPr>
        <w:t>A$37.6 billion</w:t>
      </w:r>
      <w:r>
        <w:rPr/>
        <w:t xml:space="preserve"> and the Pharmaceutical Benefits program is </w:t>
      </w:r>
      <w:r>
        <w:rPr>
          <w:b/>
          <w:bCs/>
        </w:rPr>
        <w:t>A$23.4 billion</w:t>
      </w:r>
      <w:r>
        <w:rPr/>
        <w:t xml:space="preserve">. The federal dental-services line remains tiny by comparison, at </w:t>
      </w:r>
      <w:r>
        <w:rPr>
          <w:b/>
          <w:bCs/>
        </w:rPr>
        <w:t>A$335 million</w:t>
      </w:r>
      <w:r>
        <w:rPr/>
        <w:t xml:space="preserve"> in 2026-27.</w:t>
      </w:r>
      <w:r>
        <w:rPr>
          <w:rFonts w:ascii="Inter" w:hAnsi="Inter" w:cs="Inter"/>
          <w:b/>
          <w:color w:val="3092B1"/>
          <w:position w:val="8"/>
          <w:sz w:val="18"/>
          <w:szCs w:val="18"/>
          <w:vertAlign w:val="superscript"/>
        </w:rPr>
        <w:footnoteReference w:id="84"/>
      </w:r>
    </w:p>
    <w:p>
      <w:pPr>
        <w:pStyle w:val="BodyText"/>
        <w:rPr/>
      </w:pPr>
      <w:r>
        <w:rPr/>
        <w:t>Canonical reform costings:</w:t>
      </w:r>
    </w:p>
    <w:p>
      <w:pPr>
        <w:pStyle w:val="Compact"/>
        <w:numPr>
          <w:ilvl w:val="0"/>
          <w:numId w:val="7"/>
        </w:numPr>
        <w:rPr/>
      </w:pPr>
      <w:r>
        <w:rPr>
          <w:b/>
          <w:bCs/>
        </w:rPr>
        <w:t>Universal Dental Medicare (Greens / Parliamentary Budget Office costing ECR547, 2022 election):</w:t>
      </w:r>
      <w:r>
        <w:rPr/>
        <w:t xml:space="preserve"> A$77.6 bn over ten years = </w:t>
      </w:r>
      <w:r>
        <w:rPr>
          <w:b/>
          <w:bCs/>
        </w:rPr>
        <w:t>A$7.76 bn/year on average</w:t>
      </w:r>
      <w:r>
        <w:rPr/>
        <w:t xml:space="preserve">. The 2025-update version costs ~A$46 bn over four years = </w:t>
      </w:r>
      <w:r>
        <w:rPr>
          <w:b/>
          <w:bCs/>
        </w:rPr>
        <w:t>~A$11.5 bn/year</w:t>
      </w:r>
      <w:r>
        <w:rPr/>
        <w:t xml:space="preserve"> as the program transitions to steady state. The report uses A$8 bn/year as a long-run reference, but a faster rollout (A$11.5 bn/yr) is also plausible.</w:t>
      </w:r>
      <w:r>
        <w:rPr>
          <w:rFonts w:ascii="Inter" w:hAnsi="Inter" w:cs="Inter"/>
          <w:b/>
          <w:color w:val="3092B1"/>
          <w:position w:val="8"/>
          <w:sz w:val="18"/>
          <w:szCs w:val="18"/>
          <w:vertAlign w:val="superscript"/>
        </w:rPr>
        <w:footnoteReference w:id="85"/>
      </w:r>
    </w:p>
    <w:p>
      <w:pPr>
        <w:pStyle w:val="Compact"/>
        <w:numPr>
          <w:ilvl w:val="0"/>
          <w:numId w:val="7"/>
        </w:numPr>
        <w:rPr/>
      </w:pPr>
      <w:r>
        <w:rPr>
          <w:b/>
          <w:bCs/>
        </w:rPr>
        <w:t xml:space="preserve">90 per cent bulk-billing GP target (the </w:t>
      </w:r>
      <w:r>
        <w:rPr>
          <w:b/>
          <w:bCs/>
          <w:i/>
          <w:iCs/>
        </w:rPr>
        <w:t>Strengthening Medicare</w:t>
      </w:r>
      <w:r>
        <w:rPr>
          <w:b/>
          <w:bCs/>
        </w:rPr>
        <w:t xml:space="preserve"> package in the 2025-26 Budget):</w:t>
      </w:r>
      <w:r>
        <w:rPr/>
        <w:t xml:space="preserve"> </w:t>
      </w:r>
      <w:r>
        <w:rPr>
          <w:b/>
          <w:bCs/>
        </w:rPr>
        <w:t>A$8.4 bn over five years ≈ A$1.7 bn/year</w:t>
      </w:r>
      <w:r>
        <w:rPr/>
        <w:t>.</w:t>
      </w:r>
      <w:r>
        <w:rPr>
          <w:rFonts w:ascii="Inter" w:hAnsi="Inter" w:cs="Inter"/>
          <w:b/>
          <w:color w:val="3092B1"/>
          <w:position w:val="8"/>
          <w:sz w:val="18"/>
          <w:szCs w:val="18"/>
          <w:vertAlign w:val="superscript"/>
        </w:rPr>
        <w:footnoteReference w:id="86"/>
      </w:r>
    </w:p>
    <w:p>
      <w:pPr>
        <w:pStyle w:val="Compact"/>
        <w:numPr>
          <w:ilvl w:val="0"/>
          <w:numId w:val="7"/>
        </w:numPr>
        <w:rPr/>
      </w:pPr>
      <w:r>
        <w:rPr>
          <w:b/>
          <w:bCs/>
        </w:rPr>
        <w:t>PBS co-payment reduction from A$31.60 to A$25 (1 January 2026):</w:t>
      </w:r>
      <w:r>
        <w:rPr/>
        <w:t xml:space="preserve"> A$784.6 million over four years.</w:t>
      </w:r>
      <w:r>
        <w:rPr>
          <w:rFonts w:ascii="Inter" w:hAnsi="Inter" w:cs="Inter"/>
          <w:b/>
          <w:color w:val="3092B1"/>
          <w:position w:val="8"/>
          <w:sz w:val="18"/>
          <w:szCs w:val="18"/>
          <w:vertAlign w:val="superscript"/>
        </w:rPr>
        <w:footnoteReference w:id="87"/>
      </w:r>
    </w:p>
    <w:p>
      <w:pPr>
        <w:pStyle w:val="Compact"/>
        <w:numPr>
          <w:ilvl w:val="0"/>
          <w:numId w:val="7"/>
        </w:numPr>
        <w:rPr/>
      </w:pPr>
      <w:r>
        <w:rPr>
          <w:b/>
          <w:bCs/>
        </w:rPr>
        <w:t>Mental health Better Access expansion (10 → 20 Medicare-rebated sessions per year):</w:t>
      </w:r>
      <w:r>
        <w:rPr/>
        <w:t xml:space="preserve"> indicative estimate ~A$1.5 bn/year.</w:t>
      </w:r>
    </w:p>
    <w:p>
      <w:pPr>
        <w:pStyle w:val="FirstParagraph"/>
        <w:rPr/>
      </w:pPr>
      <w:r>
        <w:rPr>
          <w:b/>
          <w:bCs/>
        </w:rPr>
        <w:t>A$17 billion a year covers the long-run-cost version of all four</w:t>
      </w:r>
      <w:r>
        <w:rPr/>
        <w:t>, but not simultaneously at the faster dental-rollout cost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At the faster dental-rollout cost of ~A$11.5 bn/yr, the combined package would exceed A$17 bn unless another item were deferred or scaled.</w:t>
      </w:r>
      <w:bookmarkEnd w:id="47"/>
    </w:p>
    <w:p>
      <w:pPr>
        <w:pStyle w:val="Heading3"/>
        <w:rPr/>
      </w:pPr>
      <w:bookmarkStart w:id="48" w:name="housing"/>
      <w:r>
        <w:rPr/>
        <w:t>5.4 Housing</w:t>
      </w:r>
    </w:p>
    <w:p>
      <w:pPr>
        <w:pStyle w:val="FirstParagraph"/>
        <w:rPr/>
      </w:pPr>
      <w:r>
        <w:rPr/>
        <w:t xml:space="preserve">The </w:t>
      </w:r>
      <w:r>
        <w:rPr>
          <w:b/>
          <w:bCs/>
        </w:rPr>
        <w:t>Housing Australia Future Fund</w:t>
      </w:r>
      <w:r>
        <w:rPr/>
        <w:t xml:space="preserve"> is an A$10 billion capital fund delivering 30,000–40,000 social and affordable homes over five years. The National Housing Accord target of 1.2 million new homes over 2024–2029 is well behind trajectory. Building 100,000 social/affordable dwellings at A$500,000–700,000 per dwelling = </w:t>
      </w:r>
      <w:r>
        <w:rPr>
          <w:b/>
          <w:bCs/>
        </w:rPr>
        <w:t>A$50–70 billion, or roughly 3–4 years of A$17 bn</w:t>
      </w:r>
      <w:r>
        <w:rPr/>
        <w:t>.</w:t>
      </w:r>
      <w:r>
        <w:rPr>
          <w:rFonts w:ascii="Inter" w:hAnsi="Inter" w:cs="Inter"/>
          <w:b/>
          <w:color w:val="3092B1"/>
          <w:position w:val="8"/>
          <w:sz w:val="18"/>
          <w:szCs w:val="18"/>
          <w:vertAlign w:val="superscript"/>
        </w:rPr>
        <w:footnoteReference w:id="88"/>
      </w:r>
      <w:bookmarkEnd w:id="48"/>
    </w:p>
    <w:p>
      <w:pPr>
        <w:pStyle w:val="Heading3"/>
        <w:rPr/>
      </w:pPr>
      <w:bookmarkStart w:id="49"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 while gas extracted from Commonwealth waters is exported without a conventional royalty. A 25 per cent export tax would generate roughly 5–6 times the cost of the rebate scheme, every year.</w:t>
      </w:r>
      <w:bookmarkEnd w:id="49"/>
    </w:p>
    <w:p>
      <w:pPr>
        <w:pStyle w:val="Heading3"/>
        <w:rPr/>
      </w:pPr>
      <w:bookmarkStart w:id="50" w:name="Xdc4c3ed8fe230228d9cc1de49bc2b38660646af"/>
      <w:r>
        <w:rPr/>
        <w:t>5.6 The Norwegian counterfactual — a sovereign wealth fund</w:t>
      </w:r>
    </w:p>
    <w:p>
      <w:pPr>
        <w:pStyle w:val="FirstParagraph"/>
        <w:rPr/>
      </w:pPr>
      <w:r>
        <w:rPr/>
        <w:t xml:space="preserve">If A$17 billion a year were deposited into a sovereign wealth fund earning a </w:t>
      </w:r>
      <w:r>
        <w:rPr>
          <w:b/>
          <w:bCs/>
        </w:rPr>
        <w:t>4.5 per cent real return</w:t>
      </w:r>
      <w:r>
        <w:rPr/>
        <w:t>,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That is a scale benchmark, not a claim that Australia had the same production mix, prices, tax base, or investment-return path.</w:t>
      </w:r>
      <w:r>
        <w:rPr>
          <w:rFonts w:ascii="Inter" w:hAnsi="Inter" w:cs="Inter"/>
          <w:b/>
          <w:color w:val="3092B1"/>
          <w:position w:val="8"/>
          <w:sz w:val="18"/>
          <w:szCs w:val="18"/>
          <w:vertAlign w:val="superscript"/>
        </w:rPr>
        <w:footnoteReference w:id="89"/>
      </w:r>
      <w:bookmarkEnd w:id="50"/>
    </w:p>
    <w:p>
      <w:pPr>
        <w:pStyle w:val="Heading3"/>
        <w:rPr/>
      </w:pPr>
      <w:bookmarkStart w:id="51" w:name="defence-and-aukus"/>
      <w:r>
        <w:rPr/>
        <w:t>5.7 Defence and AUKUS</w:t>
      </w:r>
    </w:p>
    <w:p>
      <w:pPr>
        <w:pStyle w:val="FirstParagraph"/>
        <w:rPr/>
      </w:pPr>
      <w:r>
        <w:rPr/>
        <w:t xml:space="preserve">The 2026-27 Defence function is A$52.1 billion. AUKUS Pillar 1 — the Virginia-class and SSN-AUKUS submarine program — is a 30-year commitment, peaking at roughly A$15 billion/year by the mid-2030s. </w:t>
      </w:r>
      <w:r>
        <w:rPr>
          <w:b/>
          <w:bCs/>
        </w:rPr>
        <w:t>One A$17 billion year of gas tax revenue is 32.7 per cent of the annual Defence function and covers roughly 14 months of AUKUS Pillar 1 at the mid-2030s annual run-rate.</w:t>
      </w:r>
      <w:r>
        <w:rPr/>
        <w:t xml:space="preserve"> Framed differently, the full 30-year AUKUS commitment can be funded from roughly 22 years of A$17 billion/year.</w:t>
      </w:r>
      <w:r>
        <w:rPr>
          <w:rFonts w:ascii="Inter" w:hAnsi="Inter" w:cs="Inter"/>
          <w:b/>
          <w:color w:val="3092B1"/>
          <w:position w:val="8"/>
          <w:sz w:val="18"/>
          <w:szCs w:val="18"/>
          <w:vertAlign w:val="superscript"/>
        </w:rPr>
        <w:footnoteReference w:id="90"/>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51"/>
    </w:p>
    <w:p>
      <w:pPr>
        <w:pStyle w:val="Heading2"/>
        <w:rPr/>
      </w:pPr>
      <w:bookmarkStart w:id="52"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3" w:name="Xbf471b600eda720212757b843d5ad4f42726a33"/>
      <w:r>
        <w:rPr/>
        <w:t>6.1 If the goal is rent capture, fix the PRRT design, don’t replace it</w:t>
      </w:r>
    </w:p>
    <w:p>
      <w:pPr>
        <w:pStyle w:val="FirstParagraph"/>
        <w:rPr/>
      </w:pPr>
      <w:r>
        <w:rPr/>
        <w:t>The Henry Review (2010) recommended a 40 per cent uniform Resource Rent Tax —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7"/>
        </w:numPr>
        <w:rPr/>
      </w:pPr>
      <w:r>
        <w:rPr>
          <w:b/>
          <w:bCs/>
        </w:rPr>
        <w:t>Lower the deductions cap to 80 per cent</w:t>
      </w:r>
      <w:r>
        <w:rPr/>
        <w:t xml:space="preserve"> (Greens / Senator Pocock proposal in his 2024 Dissenting Report) or 70 per cent (Jericho’s preferred Australia Institute scenario). Jericho’s modelling shows that a 60 per cent cap would have raised A$10.8 billion more than the actual PRRT take since 2016-17.</w:t>
      </w:r>
      <w:r>
        <w:rPr>
          <w:rFonts w:ascii="Inter" w:hAnsi="Inter" w:cs="Inter"/>
          <w:b/>
          <w:color w:val="3092B1"/>
          <w:position w:val="8"/>
          <w:sz w:val="18"/>
          <w:szCs w:val="18"/>
          <w:vertAlign w:val="superscript"/>
        </w:rPr>
        <w:footnoteReference w:id="91"/>
      </w:r>
    </w:p>
    <w:p>
      <w:pPr>
        <w:pStyle w:val="Compact"/>
        <w:numPr>
          <w:ilvl w:val="0"/>
          <w:numId w:val="7"/>
        </w:numPr>
        <w:rPr/>
      </w:pPr>
      <w:r>
        <w:rPr>
          <w:b/>
          <w:bCs/>
        </w:rPr>
        <w:t>Reduce the exploration uplift rate</w:t>
      </w:r>
      <w:r>
        <w:rPr/>
        <w:t xml:space="preserve"> from LTBR + 15 percentage points to something defensible. This rate was set in 1988, before transferability between projects existed. The rationale has not survived the 1990 reform that introduced transferability.</w:t>
      </w:r>
    </w:p>
    <w:p>
      <w:pPr>
        <w:pStyle w:val="Compact"/>
        <w:numPr>
          <w:ilvl w:val="0"/>
          <w:numId w:val="7"/>
        </w:numPr>
        <w:rPr/>
      </w:pPr>
      <w:r>
        <w:rPr>
          <w:b/>
          <w:bCs/>
        </w:rPr>
        <w:t>Reform the LNG transfer-pricing methodology.</w:t>
      </w:r>
      <w:r>
        <w:rPr/>
        <w:t xml:space="preserve">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7"/>
        </w:numPr>
        <w:rPr/>
      </w:pPr>
      <w:r>
        <w:rPr>
          <w:b/>
          <w:bCs/>
        </w:rPr>
        <w:t>Apply the design to NEW projects</w:t>
      </w:r>
      <w:r>
        <w:rPr/>
        <w:t xml:space="preserve"> to honour the Callaghan principle that “any major change to the design of the PRRT should only apply to new projects.” (This is the political compromise that makes reform legally and politically tractable.)</w:t>
      </w:r>
      <w:bookmarkEnd w:id="53"/>
    </w:p>
    <w:p>
      <w:pPr>
        <w:pStyle w:val="Heading3"/>
        <w:rPr/>
      </w:pPr>
      <w:bookmarkStart w:id="54" w:name="X2a95d18314906e814850a026539732850647bc5"/>
      <w:r>
        <w:rPr/>
        <w:t>6.2 If the goal is gross revenue + simplicity, use a hybrid royalty</w:t>
      </w:r>
    </w:p>
    <w:p>
      <w:pPr>
        <w:pStyle w:val="FirstParagraph"/>
        <w:rPr/>
      </w:pPr>
      <w:r>
        <w:rPr/>
        <w:t xml:space="preserve">The simplest fix is the one many rent-design economists dislike but which produces revenue immediately: </w:t>
      </w:r>
      <w:r>
        <w:rPr>
          <w:b/>
          <w:bCs/>
        </w:rPr>
        <w:t>apply a Commonwealth royalty on offshore LNG production</w:t>
      </w:r>
      <w:r>
        <w:rPr/>
        <w:t>, sized to capture the gas that pays neither PRRT nor state royalty today. The Greens’ Robin Hood plan proposes a 10 per cent offshore royalty layered on top of PRRT.</w:t>
      </w:r>
      <w:r>
        <w:rPr>
          <w:rFonts w:ascii="Inter" w:hAnsi="Inter" w:cs="Inter"/>
          <w:b/>
          <w:color w:val="3092B1"/>
          <w:position w:val="8"/>
          <w:sz w:val="18"/>
          <w:szCs w:val="18"/>
          <w:vertAlign w:val="superscript"/>
        </w:rPr>
        <w:footnoteReference w:id="92"/>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4"/>
    </w:p>
    <w:p>
      <w:pPr>
        <w:pStyle w:val="Heading3"/>
        <w:rPr/>
      </w:pPr>
      <w:bookmarkStart w:id="55" w:name="X563b8ed265201744a32bc8898a19bba6f9043c1"/>
      <w:r>
        <w:rPr/>
        <w:t>6.3 If the goal is the cleanest political instrument, a 25 per cent export levy</w:t>
      </w:r>
    </w:p>
    <w:p>
      <w:pPr>
        <w:pStyle w:val="FirstParagraph"/>
        <w:rPr/>
      </w:pPr>
      <w:r>
        <w:rPr/>
        <w:t xml:space="preserve">This is the Australia Institute / ACTU / Greens position. </w:t>
      </w:r>
      <w:r>
        <w:rPr>
          <w:b/>
          <w:bCs/>
        </w:rPr>
        <w:t>Revenue: ~A$17 billion/year.</w:t>
      </w:r>
      <w:r>
        <w:rPr/>
        <w:t xml:space="preserve"> The industry counter-arguments are credible: oil-indexed contracts and back-loaded capex matter. But they admit of design fixes. One example is a deduction for documented contract-price-vs-spot-price gaps, with the deduction subject to ATO audit.</w:t>
      </w:r>
      <w:bookmarkEnd w:id="55"/>
    </w:p>
    <w:p>
      <w:pPr>
        <w:pStyle w:val="Heading3"/>
        <w:rPr/>
      </w:pPr>
      <w:bookmarkStart w:id="56" w:name="X0921bfae629da4642dc1a12579e0d75e1ff505c"/>
      <w:r>
        <w:rPr/>
        <w:t>6.4 Whatever else is done, fund a Norway-style sovereign wealth fund</w:t>
      </w:r>
    </w:p>
    <w:p>
      <w:pPr>
        <w:pStyle w:val="FirstParagraph"/>
        <w:rPr/>
      </w:pPr>
      <w:r>
        <w:rPr/>
        <w:t>The gap between Norway’s GPFG (</w:t>
      </w:r>
      <w:r>
        <w:rPr>
          <w:b/>
          <w:bCs/>
        </w:rPr>
        <w:t>A$2.77 trillion; A$491,000 per Norwegian resident</w:t>
      </w:r>
      <w:r>
        <w:rPr/>
        <w:t>) and Australia’s Future Fund (</w:t>
      </w:r>
      <w:r>
        <w:rPr>
          <w:b/>
          <w:bCs/>
        </w:rPr>
        <w:t>A$267.4 billion; A$9,646 per Australian resident</w:t>
      </w:r>
      <w:r>
        <w:rPr/>
        <w:t xml:space="preserve">) is </w:t>
      </w:r>
      <w:r>
        <w:rPr>
          <w:b/>
          <w:bCs/>
        </w:rPr>
        <w:t>not</w:t>
      </w:r>
      <w:r>
        <w:rPr/>
        <w:t xml:space="preserve">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 but it is general-purpose, not a resource fund. A separate Future Generations Fund — fed by gas tax receipts and walled off from current spending — would do for Australia’s mineral generation what the GPFG has done for Norway’s: convert depletable resource rent into permanent intergenerational wealth.</w:t>
      </w:r>
      <w:bookmarkEnd w:id="56"/>
    </w:p>
    <w:p>
      <w:pPr>
        <w:pStyle w:val="Heading3"/>
        <w:rPr/>
      </w:pPr>
      <w:bookmarkStart w:id="57" w:name="X4cdde95b96722cfc07e47a223890103cd7782f4"/>
      <w:r>
        <w:rPr/>
        <w:t>6.5 What the political debate keeps getting wrong</w:t>
      </w:r>
    </w:p>
    <w:p>
      <w:pPr>
        <w:pStyle w:val="Compact"/>
        <w:numPr>
          <w:ilvl w:val="0"/>
          <w:numId w:val="7"/>
        </w:numPr>
        <w:rPr/>
      </w:pPr>
      <w:r>
        <w:rPr>
          <w:b/>
          <w:bCs/>
        </w:rPr>
        <w:t>Royalties are not taxes.</w:t>
      </w:r>
      <w:r>
        <w:rPr/>
        <w:t xml:space="preserve"> They are payment for community-owned resources extracted. Bundling them into “industry contribution” figures inflates the headline.</w:t>
      </w:r>
    </w:p>
    <w:p>
      <w:pPr>
        <w:pStyle w:val="Compact"/>
        <w:numPr>
          <w:ilvl w:val="0"/>
          <w:numId w:val="7"/>
        </w:numPr>
        <w:rPr/>
      </w:pPr>
      <w:r>
        <w:rPr>
          <w:b/>
          <w:bCs/>
        </w:rPr>
        <w:t>Per-tonne state take, not total revenue, is the like-for-like comparison.</w:t>
      </w:r>
      <w:r>
        <w:rPr/>
        <w:t xml:space="preserve"> Australia is an </w:t>
      </w:r>
      <w:r>
        <w:rPr>
          <w:b/>
          <w:bCs/>
        </w:rPr>
        <w:t>A$49/tonne</w:t>
      </w:r>
      <w:r>
        <w:rPr/>
        <w:t xml:space="preserve"> outlier in a world where the cheapest credible peer (the United States offshore) collects </w:t>
      </w:r>
      <w:r>
        <w:rPr>
          <w:b/>
          <w:bCs/>
        </w:rPr>
        <w:t>A$61/tonne</w:t>
      </w:r>
      <w:r>
        <w:rPr/>
        <w:t xml:space="preserve"> and the closest analogue (Norway) collects </w:t>
      </w:r>
      <w:r>
        <w:rPr>
          <w:b/>
          <w:bCs/>
        </w:rPr>
        <w:t>A$491/tonne</w:t>
      </w:r>
      <w:r>
        <w:rPr/>
        <w:t xml:space="preserve"> — see Figure 3 for the full gas-only-attribution methodology. Norway’s per-tonne take is roughly 10× Australia’s; Qatar’s roughly 15×.</w:t>
      </w:r>
    </w:p>
    <w:p>
      <w:pPr>
        <w:pStyle w:val="Compact"/>
        <w:numPr>
          <w:ilvl w:val="0"/>
          <w:numId w:val="7"/>
        </w:numPr>
        <w:rPr/>
      </w:pPr>
      <w:r>
        <w:rPr>
          <w:b/>
          <w:bCs/>
        </w:rPr>
        <w:t>“</w:t>
      </w:r>
      <w:r>
        <w:rPr>
          <w:b/>
          <w:bCs/>
        </w:rPr>
        <w:t>PRRT works as designed” and “PRRT under-collects” can both be true.</w:t>
      </w:r>
      <w:r>
        <w:rPr/>
        <w:t xml:space="preserv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7"/>
        </w:numPr>
        <w:rPr/>
      </w:pPr>
      <w:r>
        <w:rPr>
          <w:b/>
          <w:bCs/>
        </w:rPr>
        <w:t>The “Japanese government collects more tax on our gas than we do” line is a useful slogan but the literal claim does not survive verification.</w:t>
      </w:r>
      <w:r>
        <w:rPr/>
        <w:t xml:space="preserve">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7"/>
    </w:p>
    <w:p>
      <w:pPr>
        <w:pStyle w:val="Heading2"/>
        <w:rPr/>
      </w:pPr>
      <w:bookmarkStart w:id="58" w:name="conclusion-1"/>
      <w:r>
        <w:rPr/>
        <w:t>Conclusion</w:t>
      </w:r>
    </w:p>
    <w:p>
      <w:pPr>
        <w:pStyle w:val="FirstParagraph"/>
        <w:rPr/>
      </w:pPr>
      <w:r>
        <w:rPr/>
        <w:t>Australia is the world’s second-largest LNG exporter. It collects more revenue from its citizens’ beer than it does from offshore gas. It collects less per tonne of LNG than the United States, less than Malaysia, roughly 15 times less than Qatar, and roughly 10 times less than Norway under the gas-only attribution that Part 3 lays out. Its sovereign wealth fund balance per citizen is roughly fifty-one times less than Norway’s.</w:t>
      </w:r>
    </w:p>
    <w:p>
      <w:pPr>
        <w:pStyle w:val="BodyText"/>
        <w:rPr/>
      </w:pPr>
      <w:r>
        <w:rPr/>
        <w:t>The political debate is now about three options: a deepened PRRT (a Norwegian-style cash-flow-neutral, high-rate rent tax), a royalty (the US/Qatar model), or a flat 25 per cent export levy (the ACTU / Australia Institute model). Each has trade-offs, but the answer cannot be “do nothing”. Budget 2026-27 now estimates PRRT at A$1.40 billion in 2025-26, A$1.90 billion in 2026-27, then A$1.75 billion, A$1.55 billion and A$1.25 billion over the remaining forward-estimates years.</w:t>
      </w:r>
      <w:r>
        <w:rPr>
          <w:rFonts w:ascii="Inter" w:hAnsi="Inter" w:cs="Inter"/>
          <w:b/>
          <w:color w:val="3092B1"/>
          <w:position w:val="8"/>
          <w:sz w:val="18"/>
          <w:szCs w:val="18"/>
          <w:vertAlign w:val="superscript"/>
        </w:rPr>
        <w:footnoteReference w:id="93"/>
      </w:r>
      <w:r>
        <w:rPr/>
        <w:t xml:space="preserve"> Treasury says the near-term upgrade is driven by higher oil prices and production volumes, but the forward path still fades. The 2023 PRRT deductions cap was outweighed by oil-price and FX parameter revisions at MYEFO 2023-24, so the cap did not deliver net new revenue against forward estimates —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 xml:space="preserve">The case for reform is stark: </w:t>
      </w:r>
      <w:r>
        <w:rPr>
          <w:b/>
          <w:bCs/>
        </w:rPr>
        <w:t>as an illustrative arithmetic counterfactual, not a retroactive policy proposal, a Norwegian government take per tonne of Australian LNG applied to the past five years would have funded universal childcare, universal dental, a doubled mental health Better Access expansion (indicative, and not a final program costing), and full HECS-debt elimination. It would also have left A$50 billion in a future generations fund.</w:t>
      </w:r>
    </w:p>
    <w:p>
      <w:pPr>
        <w:pStyle w:val="BodyText"/>
        <w:rPr/>
      </w:pPr>
      <w:r>
        <w:rPr/>
        <w:t xml:space="preserve">The case against immediate reform is also real: </w:t>
      </w:r>
      <w:r>
        <w:rPr>
          <w:b/>
          <w:bCs/>
        </w:rPr>
        <w:t>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Fonts w:ascii="Inter" w:hAnsi="Inter" w:cs="Inter"/>
                <w:b/>
                <w:color w:val="3092B1"/>
                <w:position w:val="8"/>
                <w:sz w:val="18"/>
                <w:szCs w:val="18"/>
                <w:vertAlign w:val="superscript"/>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2029-30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Fonts w:ascii="Inter" w:hAnsi="Inter" w:cs="Inter"/>
                <w:b/>
                <w:color w:val="3092B1"/>
                <w:position w:val="8"/>
                <w:sz w:val="18"/>
                <w:szCs w:val="18"/>
                <w:vertAlign w:val="superscript"/>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A$3.56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2026-27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A$27.88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receipts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A$798.1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5.1</w:t>
            </w:r>
            <w:r>
              <w:rPr>
                <w:rFonts w:ascii="Inter" w:hAnsi="Inter" w:cs="Inter"/>
                <w:b/>
                <w:color w:val="3092B1"/>
                <w:position w:val="8"/>
                <w:sz w:val="18"/>
                <w:szCs w:val="18"/>
                <w:vertAlign w:val="superscript"/>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expenses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A$833.3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6 Table 6.1</w:t>
            </w:r>
            <w:r>
              <w:rPr>
                <w:rFonts w:ascii="Inter" w:hAnsi="Inter" w:cs="Inter"/>
                <w:b/>
                <w:color w:val="3092B1"/>
                <w:position w:val="8"/>
                <w:sz w:val="18"/>
                <w:szCs w:val="18"/>
                <w:vertAlign w:val="superscript"/>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Underlying cash deficit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3 / Budget aggregates</w:t>
            </w:r>
            <w:r>
              <w:rPr>
                <w:rFonts w:ascii="Inter" w:hAnsi="Inter" w:cs="Inter"/>
                <w:b/>
                <w:color w:val="3092B1"/>
                <w:position w:val="8"/>
                <w:sz w:val="18"/>
                <w:szCs w:val="18"/>
                <w:vertAlign w:val="superscript"/>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Fonts w:ascii="Inter" w:hAnsi="Inter" w:cs="Inter"/>
                <w:b/>
                <w:color w:val="3092B1"/>
                <w:position w:val="8"/>
                <w:sz w:val="18"/>
                <w:szCs w:val="18"/>
                <w:vertAlign w:val="superscript"/>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Fonts w:ascii="Inter" w:hAnsi="Inter" w:cs="Inter"/>
                <w:b/>
                <w:color w:val="3092B1"/>
                <w:position w:val="8"/>
                <w:sz w:val="18"/>
                <w:szCs w:val="18"/>
                <w:vertAlign w:val="superscript"/>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Fonts w:ascii="Inter" w:hAnsi="Inter" w:cs="Inter"/>
                <w:b/>
                <w:color w:val="3092B1"/>
                <w:position w:val="8"/>
                <w:sz w:val="18"/>
                <w:szCs w:val="18"/>
                <w:vertAlign w:val="superscript"/>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Fonts w:ascii="Inter" w:hAnsi="Inter" w:cs="Inter"/>
                <w:b/>
                <w:color w:val="3092B1"/>
                <w:position w:val="8"/>
                <w:sz w:val="18"/>
                <w:szCs w:val="18"/>
                <w:vertAlign w:val="superscript"/>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Fonts w:ascii="Inter" w:hAnsi="Inter" w:cs="Inter"/>
                <w:b/>
                <w:color w:val="3092B1"/>
                <w:position w:val="8"/>
                <w:sz w:val="18"/>
                <w:szCs w:val="18"/>
                <w:vertAlign w:val="superscript"/>
              </w:rPr>
              <w:footnoteReference w:id="11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Fonts w:ascii="Inter" w:hAnsi="Inter" w:cs="Inter"/>
                <w:b/>
                <w:color w:val="3092B1"/>
                <w:position w:val="8"/>
                <w:sz w:val="18"/>
                <w:szCs w:val="18"/>
                <w:vertAlign w:val="superscript"/>
              </w:rPr>
              <w:footnoteReference w:id="11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Fonts w:ascii="Inter" w:hAnsi="Inter" w:cs="Inter"/>
                <w:b/>
                <w:color w:val="3092B1"/>
                <w:position w:val="8"/>
                <w:sz w:val="18"/>
                <w:szCs w:val="18"/>
                <w:vertAlign w:val="superscript"/>
              </w:rPr>
              <w:footnoteReference w:id="11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Fonts w:ascii="Inter" w:hAnsi="Inter" w:cs="Inter"/>
                <w:b/>
                <w:color w:val="3092B1"/>
                <w:position w:val="8"/>
                <w:sz w:val="18"/>
                <w:szCs w:val="18"/>
                <w:vertAlign w:val="superscript"/>
              </w:rPr>
              <w:footnoteReference w:id="11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Fonts w:ascii="Inter" w:hAnsi="Inter" w:cs="Inter"/>
                <w:b/>
                <w:color w:val="3092B1"/>
                <w:position w:val="8"/>
                <w:sz w:val="18"/>
                <w:szCs w:val="18"/>
                <w:vertAlign w:val="superscript"/>
              </w:rPr>
              <w:footnoteReference w:id="11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Fonts w:ascii="Inter" w:hAnsi="Inter" w:cs="Inter"/>
                <w:b/>
                <w:color w:val="3092B1"/>
                <w:position w:val="8"/>
                <w:sz w:val="18"/>
                <w:szCs w:val="18"/>
                <w:vertAlign w:val="superscript"/>
              </w:rPr>
              <w:footnoteReference w:id="116"/>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X384e946d804fbd55d9cf87b155e4639b6d2a1fa"/>
      <w:r>
        <w:rPr/>
        <w:t>Appendix B — Public audit notes and version history</w:t>
      </w:r>
    </w:p>
    <w:p>
      <w:pPr>
        <w:pStyle w:val="FirstParagraph"/>
        <w:rPr/>
      </w:pPr>
      <w:r>
        <w:rPr/>
        <w:t>This appendix records public-facing changes to the report and the audit package. The public package is limited to the material needed to inspect the report’s factual claims and rendered outputs.</w:t>
      </w:r>
    </w:p>
    <w:p>
      <w:pPr>
        <w:pStyle w:val="BodyText"/>
        <w:rPr/>
      </w:pPr>
      <w:r>
        <w:rPr>
          <w:b/>
          <w:bCs/>
        </w:rPr>
        <w:t>v3.2.4 (this version)</w:t>
      </w:r>
      <w:r>
        <w:rPr/>
        <w:t xml:space="preserve"> consolidates three in-place follow-up patches atop v3.2.3, all shipped under the same v3.2.4 release tag because no factual claim or number changes (only framing, structure, and self-identification). (a) The executive summary’s first paragraph (§The finding) was rewritten because the prior version referenced “the February 2026 Senate Estimates exchange” as if previously established — but the paragraph is the document’s opening, with no prior context to anchor that reference. The new opening lands the substantive claim directly (beer excise outstrips PRRT in every forward-estimates year through 2029-30, even after the Budget’s near-term upward PRRT revision; PRRT taper after 2026-27: </w:t>
      </w:r>
      <w:r>
        <w:rPr>
          <w:b/>
          <w:bCs/>
        </w:rPr>
        <w:t>A$1.75 bn, A$1.55 bn, A$1.25 bn</w:t>
      </w:r>
      <w:r>
        <w:rPr/>
        <w:t xml:space="preserve">) without a dangling reference. One </w:t>
      </w:r>
      <w:r>
        <w:rPr>
          <w:rStyle w:val="VerbatimChar"/>
        </w:rPr>
        <w:t>[^pocock_senate]</w:t>
      </w:r>
      <w:r>
        <w:rPr/>
        <w:t xml:space="preserve"> footnote caller was dropped from this paragraph; the footnote definition is still referenced in §The finding’s three-claims block and in §2.1 The beer-versus-PRRT exchange (DOCX footnote callers: 115; definitions after compaction: 117). (b) Appendix B narrative bumped from “v3.2.3 (this version)” to “v3.2.4 (this version)” and </w:t>
      </w:r>
      <w:r>
        <w:rPr>
          <w:rStyle w:val="VerbatimChar"/>
        </w:rPr>
        <w:t>sources/fx_rates.md</w:t>
      </w:r>
      <w:r>
        <w:rPr/>
        <w:t xml:space="preserve"> header version-string sweep extended to v3.2.4 — pure self-identification, no other change. (c) On external reviewer recommendation, the front-matter colophon was compressed from ~7 dense paragraphs (About, Read online, Citation, Public audit package, License, Currency, Methodology summary, AI assistance) to 3 short lines (Citation, License, Currency pointer); the longer “behind-the-scenes” prose moved to a new </w:t>
      </w:r>
      <w:r>
        <w:rPr>
          <w:b/>
          <w:bCs/>
        </w:rPr>
        <w:t>Appendix D — About this report</w:t>
      </w:r>
      <w:r>
        <w:rPr/>
        <w:t>, which carries the report-scope description, online-edition pointer, methodology summary, full FX rate table, and AI assistance disclosure. The executive summary §The finding gained a new audience/purpose paragraph (who this is for, what it’s for) so the report explicitly states intent before claims. No claim-level numbers or substantive analysis change.</w:t>
      </w:r>
    </w:p>
    <w:p>
      <w:pPr>
        <w:pStyle w:val="BodyText"/>
        <w:rPr/>
      </w:pPr>
      <w:r>
        <w:rPr>
          <w:b/>
          <w:bCs/>
        </w:rPr>
        <w:t>v3.2.3</w:t>
      </w:r>
      <w:r>
        <w:rPr/>
        <w:t xml:space="preserve"> consolidates three post-Budget-2026-27 patch rounds atop v3.2.0. v3.2.1 was a doc/script-polish round (</w:t>
      </w:r>
      <w:r>
        <w:rPr>
          <w:rStyle w:val="VerbatimChar"/>
        </w:rPr>
        <w:t>sources/fx_rates.md</w:t>
      </w:r>
      <w:r>
        <w:rPr/>
        <w:t xml:space="preserve"> version-header sweep, </w:t>
      </w:r>
      <w:r>
        <w:rPr>
          <w:rStyle w:val="VerbatimChar"/>
        </w:rPr>
        <w:t>CITATION.cff</w:t>
      </w:r>
      <w:r>
        <w:rPr/>
        <w:t xml:space="preserve"> date update, chart-script </w:t>
      </w:r>
      <w:r>
        <w:rPr>
          <w:rStyle w:val="VerbatimChar"/>
        </w:rPr>
        <w:t>mkdir</w:t>
      </w:r>
      <w:r>
        <w:rPr/>
        <w:t xml:space="preserve"> PNG-output-dir asymmetry fix via </w:t>
      </w:r>
      <w:r>
        <w:rPr>
          <w:rStyle w:val="VerbatimChar"/>
        </w:rPr>
        <w:t>style._ensure_output_dirs()</w:t>
      </w:r>
      <w:r>
        <w:rPr/>
        <w:t xml:space="preserve">, README final-report.html link cleanup, </w:t>
      </w:r>
      <w:r>
        <w:rPr>
          <w:rStyle w:val="VerbatimChar"/>
        </w:rPr>
        <w:t>docs/index.instats.manifest.txt</w:t>
      </w:r>
      <w:r>
        <w:rPr/>
        <w:t xml:space="preserve"> logo dedupe, Chart 09 docstring scope-distinguishing wording fix). v3.2.2 closed two findings surfaced by the verify-publication harness: Chart 11 line 52 FX-scanner false-positive marked </w:t>
      </w:r>
      <w:r>
        <w:rPr>
          <w:rStyle w:val="VerbatimChar"/>
        </w:rPr>
        <w:t># not-fx</w:t>
      </w:r>
      <w:r>
        <w:rPr/>
        <w:t xml:space="preserve">; an orphaned </w:t>
      </w:r>
      <w:r>
        <w:rPr>
          <w:rStyle w:val="VerbatimChar"/>
        </w:rPr>
        <w:t>[^budget_25_26]</w:t>
      </w:r>
      <w:r>
        <w:rPr/>
        <w:t xml:space="preserve"> footnote definition with zero inline references removed (the Budget 2025-26 content was already cited via </w:t>
      </w:r>
      <w:r>
        <w:rPr>
          <w:rStyle w:val="VerbatimChar"/>
        </w:rPr>
        <w:t>[^strengthening_medicare]</w:t>
      </w:r>
      <w:r>
        <w:rPr/>
        <w:t xml:space="preserve">, same primary source, no information loss). v3.2.3 closes the 8-reviewer final pre-publication audit findings: this Appendix B narrative bumped; </w:t>
      </w:r>
      <w:r>
        <w:rPr>
          <w:rStyle w:val="VerbatimChar"/>
        </w:rPr>
        <w:t>charts/04_what_17b_buys.py</w:t>
      </w:r>
      <w:r>
        <w:rPr/>
        <w:t xml:space="preserve"> </w:t>
      </w:r>
      <w:r>
        <w:rPr>
          <w:rStyle w:val="VerbatimChar"/>
        </w:rPr>
        <w:t># red-clusters: 2</w:t>
      </w:r>
      <w:r>
        <w:rPr/>
        <w:t xml:space="preserve"> rationale corrected (the second red cluster is the dashed </w:t>
      </w:r>
      <w:r>
        <w:rPr>
          <w:rStyle w:val="VerbatimChar"/>
        </w:rPr>
        <w:t>axvline</w:t>
      </w:r>
      <w:r>
        <w:rPr/>
        <w:t xml:space="preserve"> reference line plus its red label, not a four-program total band); </w:t>
      </w:r>
      <w:r>
        <w:rPr>
          <w:rStyle w:val="VerbatimChar"/>
        </w:rPr>
        <w:t>[^angea_factcheck]</w:t>
      </w:r>
      <w:r>
        <w:rPr/>
        <w:t xml:space="preserve"> body text aligned to the ANGEA primary source’s own framing (“taxes, royalties and levies combined”, not corporate income tax alone); </w:t>
      </w:r>
      <w:r>
        <w:rPr>
          <w:rStyle w:val="VerbatimChar"/>
        </w:rPr>
        <w:t>[^npd_2025]</w:t>
      </w:r>
      <w:r>
        <w:rPr/>
        <w:t xml:space="preserve"> URL swapped from a 404’d path (</w:t>
      </w:r>
      <w:r>
        <w:rPr>
          <w:rStyle w:val="VerbatimChar"/>
        </w:rPr>
        <w:t>nbim.no/en/the-fund/key-figures/</w:t>
      </w:r>
      <w:r>
        <w:rPr/>
        <w:t xml:space="preserve">) to the canonical </w:t>
      </w:r>
      <w:r>
        <w:rPr>
          <w:rStyle w:val="VerbatimChar"/>
        </w:rPr>
        <w:t>nbim.no/en/</w:t>
      </w:r>
      <w:r>
        <w:rPr/>
        <w:t xml:space="preserve">; the body’s SWF gap re-stated from “one-fortieth” to “roughly fifty-one times less than Norway’s” with recomputed per-resident figures; Australia’s population denominator updated to the ABS National, state and territory population September 2025 release (27,724,744 residents at 30 September 2025; released 19 March 2026) — the Future Fund per-resident figure recomputed at </w:t>
      </w:r>
      <w:r>
        <w:rPr>
          <w:b/>
          <w:bCs/>
        </w:rPr>
        <w:t>A$9,646</w:t>
      </w:r>
      <w:r>
        <w:rPr/>
        <w:t xml:space="preserve"> (previously A$10,050 against a rounded 26.6 m base); Norway’s population denominator updated to SSB Q4 2025 / 1 January 2026 (5,627,400) — GPFG per-resident recomputed at </w:t>
      </w:r>
      <w:r>
        <w:rPr>
          <w:b/>
          <w:bCs/>
        </w:rPr>
        <w:t>A$491,000</w:t>
      </w:r>
      <w:r>
        <w:rPr/>
        <w:t xml:space="preserve"> (previously A$494,000); Norway’s 2024 petroleum net cash flow figure in the international comparison dossier updated from the older NOK 680 bn estimate to the verified actual </w:t>
      </w:r>
      <w:r>
        <w:rPr>
          <w:b/>
          <w:bCs/>
        </w:rPr>
        <w:t>NOK 702.2 bn</w:t>
      </w:r>
      <w:r>
        <w:rPr/>
        <w:t xml:space="preserve">, citing </w:t>
      </w:r>
      <w:r>
        <w:rPr>
          <w:i/>
          <w:iCs/>
        </w:rPr>
        <w:t>Statsbudsjettet 2026</w:t>
      </w:r>
      <w:r>
        <w:rPr/>
        <w:t xml:space="preserve"> Meld. St. 1 (2025-2026) Table 3.5 page 28 (the body text already carried 702 from v3.2.0; only the dossier needed alignment); Figure 7 (the per-resident SWF chart) regenerated against the new populations and ratio (~51×); the AEP “all other” figure (A$0.5 bn rounded in Figure 8, A$0.49 bn precise in Appendix A) confirmed internally consistent; </w:t>
      </w:r>
      <w:r>
        <w:rPr>
          <w:rStyle w:val="VerbatimChar"/>
        </w:rPr>
        <w:t>sources/fx_rates.md</w:t>
      </w:r>
      <w:r>
        <w:rPr/>
        <w:t xml:space="preserve"> header version-string sweep extended to v3.2.3. None of these changes invalidates a factual claim in the report; they tighten precision and citation hygiene.</w:t>
      </w:r>
    </w:p>
    <w:p>
      <w:pPr>
        <w:pStyle w:val="BodyText"/>
        <w:rPr/>
      </w:pPr>
      <w:r>
        <w:rPr>
          <w:b/>
          <w:bCs/>
        </w:rPr>
        <w:t>v3.1.0</w:t>
      </w:r>
      <w:r>
        <w:rPr/>
        <w:t xml:space="preserve"> updated South Korea’s buyer-country LNG tax comparator to </w:t>
      </w:r>
      <w:r>
        <w:rPr>
          <w:b/>
          <w:bCs/>
        </w:rPr>
        <w:t>A$14.80 per tonne</w:t>
      </w:r>
      <w:r>
        <w:rPr/>
        <w:t xml:space="preserve"> on a power-generation basis, with a footnote explaining why city-gas LNG would imply a higher weighted average; placed the PRRT history series explicitly on a </w:t>
      </w:r>
      <w:r>
        <w:rPr>
          <w:b/>
          <w:bCs/>
        </w:rPr>
        <w:t>cash receipts</w:t>
      </w:r>
      <w:r>
        <w:rPr/>
        <w:t xml:space="preserve"> basis, with FY2021-22 corrected from A$2.166 billion accrual revenue to A$1.638 billion cash receipts; regenerated public charts and release artefacts; and narrowed the public repository to an evidence-and-publication package.</w:t>
      </w:r>
    </w:p>
    <w:p>
      <w:pPr>
        <w:pStyle w:val="BodyText"/>
        <w:rPr/>
      </w:pPr>
      <w:r>
        <w:rPr>
          <w:b/>
          <w:bCs/>
        </w:rPr>
        <w:t>v3.0.12 and earlier</w:t>
      </w:r>
      <w:r>
        <w:rPr/>
        <w:t xml:space="preserve"> contain the pre-v3.1 publication history. As of v3.1.0, the public package is intentionally limited to the report, source manuscript, numerical manifest, chart code/assets, source dossiers, release artefacts, and citation metadata. This preserves public accountability for factual claims while keeping the repository focused on evidence and publication.</w:t>
      </w:r>
    </w:p>
    <w:p>
      <w:pPr>
        <w:pStyle w:val="BodyText"/>
        <w:rPr/>
      </w:pPr>
      <w:r>
        <w:rPr>
          <w:b/>
          <w:bCs/>
        </w:rPr>
        <w:t>Public audit boundary.</w:t>
      </w:r>
      <w:r>
        <w:rPr/>
        <w:t xml:space="preserve"> Readers can inspect the numbers in </w:t>
      </w:r>
      <w:r>
        <w:rPr>
          <w:rStyle w:val="VerbatimChar"/>
        </w:rPr>
        <w:t>data/values.yml</w:t>
      </w:r>
      <w:r>
        <w:rPr/>
        <w:t xml:space="preserve">, the chart code and rendered chart assets in </w:t>
      </w:r>
      <w:r>
        <w:rPr>
          <w:rStyle w:val="VerbatimChar"/>
        </w:rPr>
        <w:t>charts/</w:t>
      </w:r>
      <w:r>
        <w:rPr/>
        <w:t xml:space="preserve">, the manuscript in </w:t>
      </w:r>
      <w:r>
        <w:rPr>
          <w:rStyle w:val="VerbatimChar"/>
        </w:rPr>
        <w:t>drafts/report.md</w:t>
      </w:r>
      <w:r>
        <w:rPr/>
        <w:t xml:space="preserve">, the source dossiers in </w:t>
      </w:r>
      <w:r>
        <w:rPr>
          <w:rStyle w:val="VerbatimChar"/>
        </w:rPr>
        <w:t>research/</w:t>
      </w:r>
      <w:r>
        <w:rPr/>
        <w:t xml:space="preserve">, and the release artefacts in </w:t>
      </w:r>
      <w:r>
        <w:rPr>
          <w:rStyle w:val="VerbatimChar"/>
        </w:rPr>
        <w:t>final/</w:t>
      </w:r>
      <w:r>
        <w:rPr/>
        <w:t xml:space="preserve"> and </w:t>
      </w:r>
      <w:r>
        <w:rPr>
          <w:rStyle w:val="VerbatimChar"/>
        </w:rPr>
        <w:t>docs/</w:t>
      </w:r>
      <w:r>
        <w:rPr/>
        <w:t>. Additional working files are not part of the public audit package.</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rPr/>
      </w:pPr>
      <w:bookmarkStart w:id="61" w:name="appendix-c-public-source-package-1"/>
      <w:r>
        <w:rPr/>
        <w:t>Appendix C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7"/>
        </w:numPr>
        <w:rPr/>
      </w:pPr>
      <w:r>
        <w:rPr>
          <w:rStyle w:val="VerbatimChar"/>
        </w:rPr>
        <w:t>drafts/report.md</w:t>
      </w:r>
      <w:r>
        <w:rPr/>
        <w:t xml:space="preserve"> — source manuscript for the public report;</w:t>
      </w:r>
    </w:p>
    <w:p>
      <w:pPr>
        <w:pStyle w:val="Compact"/>
        <w:numPr>
          <w:ilvl w:val="0"/>
          <w:numId w:val="7"/>
        </w:numPr>
        <w:rPr/>
      </w:pPr>
      <w:r>
        <w:rPr>
          <w:rStyle w:val="VerbatimChar"/>
        </w:rPr>
        <w:t>data/values.yml</w:t>
      </w:r>
      <w:r>
        <w:rPr/>
        <w:t xml:space="preserve"> — canonical numerical manifest for report and chart values;</w:t>
      </w:r>
    </w:p>
    <w:p>
      <w:pPr>
        <w:pStyle w:val="Compact"/>
        <w:numPr>
          <w:ilvl w:val="0"/>
          <w:numId w:val="7"/>
        </w:numPr>
        <w:rPr/>
      </w:pPr>
      <w:r>
        <w:rPr>
          <w:rStyle w:val="VerbatimChar"/>
        </w:rPr>
        <w:t>charts/</w:t>
      </w:r>
      <w:r>
        <w:rPr/>
        <w:t xml:space="preserve"> — chart scripts plus rendered PNG/SVG outputs;</w:t>
      </w:r>
    </w:p>
    <w:p>
      <w:pPr>
        <w:pStyle w:val="Compact"/>
        <w:numPr>
          <w:ilvl w:val="0"/>
          <w:numId w:val="7"/>
        </w:numPr>
        <w:rPr/>
      </w:pPr>
      <w:r>
        <w:rPr>
          <w:rStyle w:val="VerbatimChar"/>
        </w:rPr>
        <w:t>research/</w:t>
      </w:r>
      <w:r>
        <w:rPr/>
        <w:t xml:space="preserve"> — cleaned evidence dossiers with primary URLs retained in footnotes;</w:t>
      </w:r>
    </w:p>
    <w:p>
      <w:pPr>
        <w:pStyle w:val="Compact"/>
        <w:numPr>
          <w:ilvl w:val="0"/>
          <w:numId w:val="7"/>
        </w:numPr>
        <w:rPr/>
      </w:pPr>
      <w:r>
        <w:rPr>
          <w:rStyle w:val="VerbatimChar"/>
        </w:rPr>
        <w:t>sources/</w:t>
      </w:r>
      <w:r>
        <w:rPr/>
        <w:t xml:space="preserve"> — public source tables used by the evidence package;</w:t>
      </w:r>
    </w:p>
    <w:p>
      <w:pPr>
        <w:pStyle w:val="Compact"/>
        <w:numPr>
          <w:ilvl w:val="0"/>
          <w:numId w:val="7"/>
        </w:numPr>
        <w:rPr/>
      </w:pPr>
      <w:r>
        <w:rPr>
          <w:rStyle w:val="VerbatimChar"/>
        </w:rPr>
        <w:t>final/</w:t>
      </w:r>
      <w:r>
        <w:rPr/>
        <w:t xml:space="preserve"> and </w:t>
      </w:r>
      <w:r>
        <w:rPr>
          <w:rStyle w:val="VerbatimChar"/>
        </w:rPr>
        <w:t>docs/</w:t>
      </w:r>
      <w:r>
        <w:rPr/>
        <w:t xml:space="preserve"> —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1"/>
    </w:p>
    <w:p>
      <w:pPr>
        <w:pStyle w:val="Heading2"/>
        <w:rPr/>
      </w:pPr>
      <w:bookmarkStart w:id="62" w:name="appendix-d-about-this-report-1"/>
      <w:r>
        <w:rPr/>
        <w:t>Appendix D — About this report</w:t>
      </w:r>
    </w:p>
    <w:p>
      <w:pPr>
        <w:pStyle w:val="FirstParagraph"/>
        <w:rPr/>
      </w:pPr>
      <w:r>
        <w:rPr>
          <w:i/>
          <w:iCs/>
        </w:rPr>
        <w:t>Australia’s Gas Export Tax Revenue: The Definitive Accounting</w:t>
      </w:r>
      <w:r>
        <w:rPr/>
        <w:t xml:space="preserve"> is published by Instats as a public-interest policy document. It draws together the main public source materials on Australia’s offshore-gas fiscal regime — Treasury Final Budget Outcomes, ATO Corporate Tax Transparency, DISR Resources and Energy Quarterly, the Callaghan and Henry Reviews, Senate Estimates Hansard, Budget 2026-27, and the equivalent fiscal-architecture documents for Norway, Qatar, the United States, the United Kingdom, Malaysia, Japan and the broader Middle East — and sets the result against the current Commonwealth Budget.</w:t>
      </w:r>
    </w:p>
    <w:p>
      <w:pPr>
        <w:pStyle w:val="BodyText"/>
        <w:rPr/>
      </w:pPr>
      <w:r>
        <w:rPr/>
        <w:t xml:space="preserve">A live web edition of this report — same content, same charts — is hosted at </w:t>
      </w:r>
      <w:hyperlink r:id="rId18">
        <w:r>
          <w:rPr>
            <w:rStyle w:val="Hyperlink"/>
          </w:rPr>
          <w:t>https://mzyphur.github.io/gas-tax/</w:t>
        </w:r>
      </w:hyperlink>
      <w:r>
        <w:rPr/>
        <w:t xml:space="preserve">. It opens in any browser and can be shared as a link. The </w:t>
      </w:r>
      <w:hyperlink r:id="rId19">
        <w:r>
          <w:rPr>
            <w:rStyle w:val="Hyperlink"/>
          </w:rPr>
          <w:t>latest GitHub Release</w:t>
        </w:r>
      </w:hyperlink>
      <w:r>
        <w:rPr/>
        <w:t xml:space="preserve"> packages the report in Microsoft Word, HTML, and PDF formats. The full enumerated public audit package is described in Appendix C above.</w:t>
      </w:r>
    </w:p>
    <w:p>
      <w:pPr>
        <w:pStyle w:val="BodyText"/>
        <w:rPr/>
      </w:pPr>
      <w:r>
        <w:rPr>
          <w:b/>
          <w:bCs/>
        </w:rPr>
        <w:t>Methodology.</w:t>
      </w:r>
      <w:r>
        <w:rPr/>
        <w:t xml:space="preserve"> Public audit materials include the source manuscript, numerical manifest, chart scripts, rendered charts, source dossiers, and primary-source footnotes. The author is responsible for every numerical claim, interpretation, and recommendation.</w:t>
      </w:r>
    </w:p>
    <w:p>
      <w:pPr>
        <w:pStyle w:val="BodyText"/>
        <w:rPr/>
      </w:pPr>
      <w:r>
        <w:rPr>
          <w:b/>
          <w:bCs/>
        </w:rPr>
        <w:t>Currency and FX.</w:t>
      </w:r>
      <w:r>
        <w:rPr/>
        <w:t xml:space="preserve"> All figures in Australian dollars (A$) unless explicitly marked. Foreign-currency primary-source figures are converted at the RBA F11.1 daily fix on 2026-05-11: </w:t>
      </w:r>
      <w:r>
        <w:rPr>
          <w:b/>
          <w:bCs/>
        </w:rPr>
        <w:t>1 USD = 1.384 AUD; 1 NOK = 0.130 AUD; 1 GBP = 1.879 AUD; 1 JPY = 0.00883 AUD; 1 KRW = 0.0009365 AUD; 1 RM = 0.353 AUD</w:t>
      </w:r>
      <w:r>
        <w:rPr/>
        <w:t xml:space="preserve"> (NOK cross-derived via Norges Bank — not in the RBA daily-fix table).</w:t>
      </w:r>
    </w:p>
    <w:p>
      <w:pPr>
        <w:pStyle w:val="BodyText"/>
        <w:rPr/>
      </w:pPr>
      <w:r>
        <w:rPr/>
        <w:t>Same rates in tabular form for quick reference: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Currency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Rate (A$ per 1 unit)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USD</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GBP</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1.879</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JPY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0.00883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RM (Malaysian ringgit)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0.353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KRW (Korean won)</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0.0009365</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NOK</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Cross-rate via Norges Bank — not in the RBA daily-fix table</w:t>
            </w:r>
          </w:p>
        </w:tc>
      </w:tr>
    </w:tbl>
    <w:p>
      <w:pPr>
        <w:pStyle w:val="BodyText"/>
        <w:rPr/>
      </w:pPr>
      <w:r>
        <w:rPr/>
        <w:t xml:space="preserve">Native figures are retained in parentheses where the audit trail benefits. Qualitative findings are robust to ±10 per cent FX variation. The full FX dossier (verification chain, v1.1 correction history, worked examples) is in </w:t>
      </w:r>
      <w:r>
        <w:rPr>
          <w:rStyle w:val="VerbatimChar"/>
        </w:rPr>
        <w:t>sources/fx_rates.md</w:t>
      </w:r>
      <w:r>
        <w:rPr/>
        <w:t xml:space="preserve"> in the public repository.</w:t>
      </w:r>
    </w:p>
    <w:p>
      <w:pPr>
        <w:pStyle w:val="BodyText"/>
        <w:rPr/>
      </w:pPr>
      <w:r>
        <w:rPr>
          <w:b/>
          <w:bCs/>
        </w:rPr>
        <w:t>AI assistance disclosure.</w:t>
      </w:r>
      <w:r>
        <w:rPr/>
        <w:t xml:space="preserve"> Research review, drafting, code/release checks, and copy-editing used assistance from OpenAI GPT-5.5/Codex, Anthropic Claude Opus 4.7/Claude Code agents, and Google Gemini 3 Flash Preview. The author is responsible for all claims, source interpretation, caveats, calculations, and final wording.</w:t>
      </w:r>
    </w:p>
    <w:p>
      <w:pPr>
        <w:pStyle w:val="Normal"/>
        <w:rPr/>
      </w:pPr>
      <w:r>
        <w:rPr/>
        <mc:AlternateContent>
          <mc:Choice Requires="wps">
            <w:drawing>
              <wp:inline distT="0" distB="0" distL="0" distR="0">
                <wp:extent cx="59728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2"/>
    </w:p>
    <w:p>
      <w:pPr>
        <w:pStyle w:val="Heading2"/>
        <w:keepNext w:val="true"/>
        <w:keepLines/>
        <w:spacing w:lineRule="auto" w:line="288" w:before="360" w:after="120"/>
        <w:rPr/>
      </w:pPr>
      <w:bookmarkStart w:id="63" w:name="sources-and-footnotes-1"/>
      <w:r>
        <w:rPr/>
        <w:t>Sources and footnotes</w:t>
      </w:r>
      <w:bookmarkEnd w:id="2"/>
      <w:bookmarkEnd w:id="63"/>
    </w:p>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4">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 confirmed A$17 bn/year flow estimate; A$63.8 bn cumulative since 1 July 2022. Underlying paper: Saunders &amp; Campbell, </w:t>
      </w:r>
      <w:r>
        <w:rPr>
          <w:i/>
          <w:iCs/>
        </w:rPr>
        <w:t>Government revenue from LNG exports: Australia vs Qatar</w:t>
      </w:r>
      <w:r>
        <w:rPr/>
        <w:t xml:space="preserve"> (May 2025).</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7">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8">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1">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2">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6">
    <w:p>
      <w:r>
        <w:t xml:space="preserve">Repeated source: Budget Paper 1 2026-27, Statement 5, Table 5.7 “Australian Government general governmen...</w:t>
      </w:r>
    </w:p>
  </w:footnote>
  <w:footnote w:id="17">
    <w:p>
      <w:r>
        <w:t xml:space="preserve">Repeated source: Australian Energy Producers, “Media release: Australian oil &amp;amp; gas industry delivers...</w:t>
      </w:r>
    </w:p>
  </w:footnote>
  <w:footnote w:id="18">
    <w:p>
      <w:r>
        <w:t xml:space="preserve">Repeated source: Rod Campbell, Gas industry claims debunked: Tax payment claims in context, Australia In...</w:t>
      </w:r>
    </w:p>
  </w:footnote>
  <w:footnote w:id="19">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20">
    <w:p>
      <w:r>
        <w:t xml:space="preserve">Repeated source: Primary sources: ATO Corporate Tax Transparency reports (machine-readable releases at h...</w:t>
      </w:r>
    </w:p>
  </w:footnote>
  <w:footnote w:id="21">
    <w:p>
      <w:r>
        <w:t xml:space="preserve">Repeated source: Mike Callaghan AM, Petroleum Resource Rent Tax Review: Final Report, Australian Treasur...</w:t>
      </w:r>
    </w:p>
  </w:footnote>
  <w:footnote w:id="22">
    <w:p>
      <w:r>
        <w:t xml:space="preserve">Repeated source: Primary sources: Treasury Final Budget Outcome reports FY2010-11 to FY2024-25 (archived...</w:t>
      </w:r>
    </w:p>
  </w:footnote>
  <w:footnote w:id="23">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4">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 series rises from ~A$50 bn in 2002 to ~A$300 bn in 2015-16.</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research/05_industry_case.md</w:t>
      </w:r>
      <w:r>
        <w:rPr/>
        <w:t>.</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research/05_industry_case.md</w:t>
      </w:r>
      <w:r>
        <w:rPr/>
        <w:t>.</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research/05_industry_case.md</w:t>
      </w:r>
      <w:r>
        <w:rPr/>
        <w:t>.</w:t>
      </w:r>
    </w:p>
  </w:footnote>
  <w:footnote w:id="28">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research/05_industry_case.md</w:t>
      </w:r>
      <w:r>
        <w:rPr/>
        <w:t>.</w:t>
      </w:r>
    </w:p>
  </w:footnote>
  <w:footnote w:id="29">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research/05_industry_case.md</w:t>
      </w:r>
      <w:r>
        <w:rPr/>
        <w:t>.</w:t>
      </w:r>
    </w:p>
  </w:footnote>
  <w:footnote w:id="30">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31">
    <w:p>
      <w:r>
        <w:t xml:space="preserve">Repeated source: Primary sources: Treasury Final Budget Outcome reports FY2010-11 to FY2024-25 (archived...</w:t>
      </w:r>
    </w:p>
  </w:footnote>
  <w:footnote w:id="32">
    <w:p>
      <w:r>
        <w:t xml:space="preserve">Repeated source: Primary sources: Treasury Final Budget Outcome reports FY2010-11 to FY2024-25 (archived...</w:t>
      </w:r>
    </w:p>
  </w:footnote>
  <w:footnote w:id="33">
    <w:p>
      <w:r>
        <w:t xml:space="preserve">Repeated source: Primary sources: Treasury Final Budget Outcome reports FY2010-11 to FY2024-25 (archived...</w:t>
      </w:r>
    </w:p>
  </w:footnote>
  <w:footnote w:id="34">
    <w:p>
      <w:r>
        <w:t xml:space="preserve">Repeated source: ATO Corporate Tax Transparency Report 2023-24; Chevron Australia disclosure. Dossier 01...</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36">
    <w:p>
      <w:r>
        <w:t xml:space="preserve">Repeated source: Primary sources: ATO Corporate Tax Transparency reports (machine-readable releases at h...</w:t>
      </w:r>
    </w:p>
  </w:footnote>
  <w:footnote w:id="37">
    <w:p>
      <w:r>
        <w:t xml:space="preserve">Repeated source: Primary sources: ATO Corporate Tax Transparency reports (machine-readable releases at h...</w:t>
      </w:r>
    </w:p>
  </w:footnote>
  <w:footnote w:id="38">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39">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40">
    <w:p>
      <w:r>
        <w:t xml:space="preserve">Repeated source: Australian Energy Producers, “Media release: Australian oil &amp;amp; gas industry delivers...</w:t>
      </w:r>
    </w:p>
  </w:footnote>
  <w:footnote w:id="41">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 frames Chevron Australia A$5 bn (2024) and Woodside A$4 bn (2024) as total contributions to Australian governments (taxes, royalties and levies combined), not as corporate income tax alone. https://angeassociation.com/fact-check/do-lng-pay-tax-in-australia/</w:t>
      </w:r>
    </w:p>
  </w:footnote>
  <w:footnote w:id="42">
    <w:p>
      <w:r>
        <w:t xml:space="preserve">Repeated source: Primary sources: ATO Corporate Tax Transparency reports (machine-readable releases at h...</w:t>
      </w:r>
    </w:p>
  </w:footnote>
  <w:footnote w:id="43">
    <w:p>
      <w:r>
        <w:t xml:space="preserve">Repeated source: Primary sources: ATO Corporate Tax Transparency reports (machine-readable releases at h...</w:t>
      </w:r>
    </w:p>
  </w:footnote>
  <w:footnote w:id="44">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2">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45">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46">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47">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48">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49">
    <w:p>
      <w:r>
        <w:t xml:space="preserve">Repeated source: Budget Paper 1 2026-27, Statement 5, Table 5.7 “Australian Government general governmen...</w:t>
      </w:r>
    </w:p>
  </w:footnote>
  <w:footnote w:id="50">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51">
    <w:p>
      <w:r>
        <w:t xml:space="preserve">Repeated source: Primary sources: Norwegian Petroleum Directorate (annual state petroleum cash-flow tabl...</w:t>
      </w:r>
    </w:p>
  </w:footnote>
  <w:footnote w:id="52">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w:t>
      </w:r>
    </w:p>
  </w:footnote>
  <w:footnote w:id="53">
    <w:p>
      <w:pPr>
        <w:pStyle w:val="FootnoteText"/>
        <w:widowControl/>
        <w:bidi w:val="0"/>
        <w:spacing w:lineRule="auto" w:line="312" w:before="0" w:after="80"/>
        <w:jc w:val="start"/>
        <w:rPr/>
      </w:pPr>
      <w:r>
        <w:rPr>
          <w:rStyle w:val="FootnoteCharacters"/>
        </w:rPr>
        <w:footnoteRef/>
      </w:r>
      <w:r>
        <w:rPr/>
        <w:t xml:space="preserve"> </w:t>
      </w:r>
      <w:r>
        <w:rPr/>
        <w:t>PwC Tax Summaries — Qatar, citing Law No. 24 of 2018 and Law No. 3 of 2007 (35% rate on oil/gas operations). https://taxsummaries.pwc.com/qatar</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56">
    <w:p>
      <w:r>
        <w:t xml:space="preserve">Repeated source: Primary sources: Norwegian Petroleum Directorate (annual state petroleum cash-flow tabl...</w:t>
      </w:r>
    </w:p>
  </w:footnote>
  <w:footnote w:id="57">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58">
    <w:p>
      <w:r>
        <w:t xml:space="preserve">Repeated source: Primary sources: Norwegian Petroleum Directorate (annual state petroleum cash-flow tabl...</w:t>
      </w:r>
    </w:p>
  </w:footnote>
  <w:footnote w:id="59">
    <w:p>
      <w:r>
        <w:t xml:space="preserve">Repeated source: Primary sources: Australian Energy Producers (AEP), Tax factsheet 2024-25 (July 2025, h...</w:t>
      </w:r>
    </w:p>
  </w:footnote>
  <w:footnote w:id="60">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61">
    <w:p>
      <w:r>
        <w:t xml:space="preserve">Repeated source: Primary sources: Australia Institute, Taxing gas in Australia and Japan (April 2026), h...</w:t>
      </w:r>
    </w:p>
  </w:footnote>
  <w:footnote w:id="62">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63">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64">
    <w:p>
      <w:pPr>
        <w:pStyle w:val="FootnoteText"/>
        <w:widowControl/>
        <w:bidi w:val="0"/>
        <w:spacing w:lineRule="auto" w:line="312" w:before="0" w:after="80"/>
        <w:jc w:val="start"/>
        <w:rPr/>
      </w:pPr>
      <w:r>
        <w:rPr>
          <w:rStyle w:val="FootnoteCharacters"/>
        </w:rPr>
        <w:footnoteRef/>
      </w:r>
      <w:r>
        <w:rPr/>
        <w:t xml:space="preserve"> </w:t>
      </w:r>
      <w:r>
        <w:rPr/>
        <w:t xml:space="preserve">The Korean per-tonne figure of A$14.80 is the importer-level tax stack on </w:t>
      </w:r>
      <w:r>
        <w:rPr>
          <w:b/>
          <w:bCs/>
        </w:rPr>
        <w:t>power-generation LNG only</w:t>
      </w:r>
      <w:r>
        <w:rPr/>
        <w:t xml:space="preserve">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65">
    <w:p>
      <w:r>
        <w:t xml:space="preserve">Repeated source: Primary sources: Australia Institute, Taxing gas in Australia and Japan (April 2026), h...</w:t>
      </w:r>
    </w:p>
  </w:footnote>
  <w:footnote w:id="66">
    <w:p>
      <w:r>
        <w:t xml:space="preserve">Repeated source: Primary sources: Australia Institute, Government revenue from LNG exports — Australia v...</w:t>
      </w:r>
    </w:p>
  </w:footnote>
  <w:footnote w:id="67">
    <w:p>
      <w:r>
        <w:t xml:space="preserve">Repeated source: Primary sources: Australia Institute, Government revenue from LNG exports — Australia v...</w:t>
      </w:r>
    </w:p>
  </w:footnote>
  <w:footnote w:id="68">
    <w:p>
      <w:r>
        <w:t xml:space="preserve">Repeated source: Mike Callaghan AM, Petroleum Resource Rent Tax Review: Final Report, Australian Treasur...</w:t>
      </w:r>
    </w:p>
  </w:footnote>
  <w:footnote w:id="69">
    <w:p>
      <w:r>
        <w:t xml:space="preserve">Repeated source: Mike Callaghan AM, Petroleum Resource Rent Tax Review: Final Report, Australian Treasur...</w:t>
      </w:r>
    </w:p>
  </w:footnote>
  <w:footnote w:id="70">
    <w:p>
      <w:r>
        <w:t xml:space="preserve">Repeated source: Mike Callaghan AM, Petroleum Resource Rent Tax Review: Final Report, Australian Treasur...</w:t>
      </w:r>
    </w:p>
  </w:footnote>
  <w:footnote w:id="71">
    <w:p>
      <w:r>
        <w:t xml:space="preserve">Repeated source: Primary sources: Australian Energy Producers (AEP), Tax factsheet 2024-25 (July 2025, h...</w:t>
      </w:r>
    </w:p>
  </w:footnote>
  <w:footnote w:id="72">
    <w:p>
      <w:r>
        <w:t xml:space="preserve">Repeated source: Treasurer Jim Chalmers, “Changes to the Petroleum Resource Rent Tax”, media release. ht...</w:t>
      </w:r>
    </w:p>
  </w:footnote>
  <w:footnote w:id="73">
    <w:p>
      <w:r>
        <w:t xml:space="preserve">Repeated source: Primary sources: Australian Energy Producers (AEP), Tax factsheet 2024-25 (July 2025, h...</w:t>
      </w:r>
    </w:p>
  </w:footnote>
  <w:footnote w:id="74">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research/05_industry_case.md</w:t>
      </w:r>
      <w:r>
        <w:rPr/>
        <w:t xml:space="preserve"> line 107. The 46 per cent figure aggregates company income tax (A$2.26 bn), PRRT (A$795.5 m), and state royalties; the rent-only sub-component is the A$795.5 m PRRT line.</w:t>
      </w:r>
    </w:p>
  </w:footnote>
  <w:footnote w:id="75">
    <w:p>
      <w:r>
        <w:t xml:space="preserve">Repeated source: Rod Campbell, Gas industry claims debunked: Tax payment claims in context, Australia In...</w:t>
      </w:r>
    </w:p>
  </w:footnote>
  <w:footnote w:id="76">
    <w:p>
      <w:r>
        <w:t xml:space="preserve">Repeated source: Australia Institute live tracker, https://gas.australiainstitute.org.au/ — confirmed A$...</w:t>
      </w:r>
    </w:p>
  </w:footnote>
  <w:footnote w:id="77">
    <w:p>
      <w:r>
        <w:t xml:space="preserve">Repeated source: Commonwealth of Australia, Budget 2026-27, delivered 12 May 2026. Budget homepage: http...</w:t>
      </w:r>
    </w:p>
  </w:footnote>
  <w:footnote w:id="78">
    <w:p>
      <w:r>
        <w:t xml:space="preserve">Repeated source: Budget Paper 1 2026-27, Statement 6. Expense comparators use tables as appropriate: Tab...</w:t>
      </w:r>
    </w:p>
  </w:footnote>
  <w:footnote w:id="79">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0">
    <w:p>
      <w:r>
        <w:t xml:space="preserve">Repeated source: Budget Paper 1 2026-27, Statement 6. Expense comparators use tables as appropriate: Tab...</w:t>
      </w:r>
    </w:p>
  </w:footnote>
  <w:footnote w:id="81">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82">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83">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84">
    <w:p>
      <w:pPr>
        <w:pStyle w:val="FootnoteText"/>
        <w:widowControl/>
        <w:bidi w:val="0"/>
        <w:spacing w:lineRule="auto" w:line="312" w:before="0" w:after="80"/>
        <w:jc w:val="start"/>
        <w:rPr/>
      </w:pPr>
      <w:r>
        <w:rPr>
          <w:rStyle w:val="FootnoteCharacters"/>
        </w:rPr>
        <w:footnoteRef/>
      </w:r>
      <w:r>
        <w:rPr/>
        <w:t xml:space="preserve"> </w:t>
      </w:r>
      <w:r>
        <w:rPr/>
        <w:t>Budget Paper 1 2026-27 Statement 6 Tables 6.1.3, 6.3 and 6.8 — Commonwealth health spending breakdown. Medical Benefits program/component = A$37.563bn; Pharmaceutical Benefits program = A$23.448bn; the broader pharmaceutical benefits and services subfunction = A$24.636bn; dental services = A$335m; total Health function = A$136.918bn. Direct PDF: https://budget.gov.au/content/bp1/download/bp1_bs-6.pdf</w:t>
      </w:r>
    </w:p>
  </w:footnote>
  <w:footnote w:id="85">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86">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 A$8.4 bn over 5 years.</w:t>
      </w:r>
    </w:p>
  </w:footnote>
  <w:footnote w:id="87">
    <w:p>
      <w:r>
        <w:t xml:space="preserve">Repeated source: Budget Paper 1 2025-26 Statement 3 p. 67; Strengthening Medicare package — A$8.4 bn ove...</w:t>
      </w:r>
    </w:p>
  </w:footnote>
  <w:footnote w:id="88">
    <w:p>
      <w:pPr>
        <w:pStyle w:val="FootnoteText"/>
        <w:widowControl/>
        <w:bidi w:val="0"/>
        <w:spacing w:lineRule="auto" w:line="312" w:before="0" w:after="80"/>
        <w:jc w:val="start"/>
        <w:rPr/>
      </w:pPr>
      <w:r>
        <w:rPr>
          <w:rStyle w:val="FootnoteCharacters"/>
        </w:rPr>
        <w:footnoteRef/>
      </w:r>
      <w:r>
        <w:rPr/>
        <w:t xml:space="preserve"> </w:t>
      </w:r>
      <w:r>
        <w:rPr/>
        <w:t xml:space="preserve">Primary sources: Budget 2026-27 Budget Paper 1 Statements 3, 5 and 6 (https://budget.gov.au/);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89">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90">
    <w:p>
      <w:r>
        <w:t xml:space="preserve">Repeated source: Primary sources: Budget 2026-27 Budget Paper 1 Statements 3, 5 and 6 (https://budget.go...</w:t>
      </w:r>
    </w:p>
  </w:footnote>
  <w:footnote w:id="91">
    <w:p>
      <w:r>
        <w:t xml:space="preserve">Repeated source: Greg Jericho, A stronger PRRT cap: A fairer way to tax gas super profits, Australia Ins...</w:t>
      </w:r>
    </w:p>
  </w:footnote>
  <w:footnote w:id="92">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93">
    <w:p>
      <w:r>
        <w:t xml:space="preserve">Repeated source: Budget Paper 1 2026-27, Statement 5, Table 5.7 “Australian Government general governmen...</w:t>
      </w:r>
    </w:p>
  </w:footnote>
  <w:footnote w:id="94">
    <w:p>
      <w:r>
        <w:t xml:space="preserve">Repeated source: Budget Paper 1 2026-27, Statement 5, Table 5.7 “Australian Government general governmen...</w:t>
      </w:r>
    </w:p>
  </w:footnote>
  <w:footnote w:id="95">
    <w:p>
      <w:r>
        <w:t xml:space="preserve">Repeated source: Budget Paper 1 2026-27, Statement 5, Table 5.7 “Australian Government general governmen...</w:t>
      </w:r>
    </w:p>
  </w:footnote>
  <w:footnote w:id="96">
    <w:p>
      <w:r>
        <w:t xml:space="preserve">Repeated source: Primary sources: Treasury Final Budget Outcome reports FY2010-11 to FY2024-25 (archived...</w:t>
      </w:r>
    </w:p>
  </w:footnote>
  <w:footnote w:id="97">
    <w:p>
      <w:r>
        <w:t xml:space="preserve">Repeated source: Budget Paper 1 2026-27, Statement 5, Table 5.7 “Australian Government general governmen...</w:t>
      </w:r>
    </w:p>
  </w:footnote>
  <w:footnote w:id="98">
    <w:p>
      <w:r>
        <w:t xml:space="preserve">Repeated source: Budget Paper 1 2026-27, Statement 5, Table 5.7 “Australian Government general governmen...</w:t>
      </w:r>
    </w:p>
  </w:footnote>
  <w:footnote w:id="99">
    <w:p>
      <w:r>
        <w:t xml:space="preserve">Repeated source: Primary sources: Norwegian Petroleum Directorate (annual state petroleum cash-flow tabl...</w:t>
      </w:r>
    </w:p>
  </w:footnote>
  <w:footnote w:id="100">
    <w:p>
      <w:r>
        <w:t xml:space="preserve">Repeated source: Budget Paper 1 2026-27, Statement 5, Table 5.7 “Australian Government general governmen...</w:t>
      </w:r>
    </w:p>
  </w:footnote>
  <w:footnote w:id="101">
    <w:p>
      <w:r>
        <w:t xml:space="preserve">Repeated source: Budget Paper 1 2026-27, Statement 5, Table 5.7 “Australian Government general governmen...</w:t>
      </w:r>
    </w:p>
  </w:footnote>
  <w:footnote w:id="102">
    <w:p>
      <w:r>
        <w:t xml:space="preserve">Repeated source: Commonwealth of Australia, Budget 2026-27, delivered 12 May 2026. Budget homepage: http...</w:t>
      </w:r>
    </w:p>
  </w:footnote>
  <w:footnote w:id="103">
    <w:p>
      <w:r>
        <w:t xml:space="preserve">Repeated source: Budget Paper 1 2026-27, Statement 6. Expense comparators use tables as appropriate: Tab...</w:t>
      </w:r>
    </w:p>
  </w:footnote>
  <w:footnote w:id="104">
    <w:p>
      <w:r>
        <w:t xml:space="preserve">Repeated source: Commonwealth of Australia, Budget 2026-27, delivered 12 May 2026. Budget homepage: http...</w:t>
      </w:r>
    </w:p>
  </w:footnote>
  <w:footnote w:id="105">
    <w:p>
      <w:r>
        <w:t xml:space="preserve">Repeated source: Primary sources: Treasury Final Budget Outcome reports FY2010-11 to FY2024-25 (archived...</w:t>
      </w:r>
    </w:p>
  </w:footnote>
  <w:footnote w:id="106">
    <w:p>
      <w:r>
        <w:t xml:space="preserve">Repeated source: Primary sources: Treasury Final Budget Outcome reports FY2010-11 to FY2024-25 (archived...</w:t>
      </w:r>
    </w:p>
  </w:footnote>
  <w:footnote w:id="107">
    <w:p>
      <w:r>
        <w:t xml:space="preserve">Repeated source: Australian Energy Producers, “Media release: Australian oil &amp;amp; gas industry delivers...</w:t>
      </w:r>
    </w:p>
  </w:footnote>
  <w:footnote w:id="108">
    <w:p>
      <w:r>
        <w:t xml:space="preserve">Repeated source: Primary sources: Norwegian Petroleum Directorate (annual state petroleum cash-flow tabl...</w:t>
      </w:r>
    </w:p>
  </w:footnote>
  <w:footnote w:id="109">
    <w:p>
      <w:r>
        <w:t xml:space="preserve">Repeated source: NBIM, Government Pension Fund Global market value at 31 December 2025. https://www.nbim...</w:t>
      </w:r>
    </w:p>
  </w:footnote>
  <w:footnote w:id="110">
    <w:p>
      <w:r>
        <w:t xml:space="preserve">Repeated source: Primary sources: Australia Institute, Government revenue from LNG exports — Australia v...</w:t>
      </w:r>
    </w:p>
  </w:footnote>
  <w:footnote w:id="111">
    <w:p>
      <w:r>
        <w:t xml:space="preserve">Repeated source: Primary sources: Australia Institute, Government revenue from LNG exports — Australia v...</w:t>
      </w:r>
    </w:p>
  </w:footnote>
  <w:footnote w:id="112">
    <w:p>
      <w:r>
        <w:t xml:space="preserve">Repeated source: Japan Ministry of Finance, Petroleum and Coal Tax rate schedule (document 333.pdf). htt...</w:t>
      </w:r>
    </w:p>
  </w:footnote>
  <w:footnote w:id="113">
    <w:p>
      <w:r>
        <w:t xml:space="preserve">Repeated source: Cited via Australia Institute (Denniss et al., Taxing gas in Australia and Japan, April...</w:t>
      </w:r>
    </w:p>
  </w:footnote>
  <w:footnote w:id="114">
    <w:p>
      <w:r>
        <w:t xml:space="preserve">Repeated source: Richard Denniss et al., Taxing gas in Australia and Japan, Australia Institute, April 2...</w:t>
      </w:r>
    </w:p>
  </w:footnote>
  <w:footnote w:id="115">
    <w:p>
      <w:r>
        <w:t xml:space="preserve">Repeated source: Australia Institute live tracker, https://gas.australiainstitute.org.au/ — confirmed A$...</w:t>
      </w:r>
    </w:p>
  </w:footnote>
  <w:footnote w:id="116">
    <w:p>
      <w:r>
        <w:t xml:space="preserve">Repeated source: Australia Institute live tracker, https://gas.australiainstitute.org.au/ — confirmed A$...</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 (v3.2.4)</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13"/>
    <w:lvlOverride w:ilvl="0">
      <w:startOverride w:val="1"/>
    </w:lvlOverride>
  </w:num>
  <w:num w:numId="31">
    <w:abstractNumId w:val="13"/>
    <w:lvlOverride w:ilvl="0">
      <w:startOverride w:val="1"/>
    </w:lvlOverride>
  </w:num>
  <w:num w:numId="32">
    <w:abstractNumId w:val="1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gas-tax" TargetMode="External"/><Relationship Id="rId5" Type="http://schemas.openxmlformats.org/officeDocument/2006/relationships/hyperlink" Target="https://orcid.org/0000-0003-3237-7892" TargetMode="Externa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hyperlink" Target="https://mzyphur.github.io/gas-tax/" TargetMode="External"/><Relationship Id="rId19" Type="http://schemas.openxmlformats.org/officeDocument/2006/relationships/hyperlink" Target="https://github.com/mzyphur/gas-tax/releases/latest" TargetMode="Externa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notes" Target="footnotes.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Relationship Id="rId2"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2026-05-17T08:48:20Z</dcterms:created>
  <dc:creator/>
  <dc:description/>
  <dc:language>en-AU</dc:language>
  <cp:lastModifiedBy/>
  <dcterms:modified xsi:type="dcterms:W3CDTF">2026-05-17T08:48:20Z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file>