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t>[Project Lead Name]</w:t>
        <w:br/>
      </w:r>
      <w:r>
        <w:t>Australian Political Influence Transparency Project</w:t>
        <w:br/>
      </w:r>
      <w:r>
        <w:t>[Street Address]</w:t>
        <w:br/>
      </w:r>
      <w:r>
        <w:t>[Suburb] [State] [Postcode]</w:t>
        <w:br/>
      </w:r>
      <w:r>
        <w:t>[Email] · [Phone]</w:t>
      </w:r>
    </w:p>
    <w:p>
      <w:pPr>
        <w:spacing w:before="120" w:after="360"/>
        <w:jc w:val="right"/>
      </w:pPr>
      <w:r>
        <w:rPr>
          <w:b w:val="0"/>
        </w:rPr>
        <w:t>[Date]</w:t>
      </w:r>
    </w:p>
    <w:p>
      <w:pPr>
        <w:spacing w:after="120"/>
      </w:pPr>
      <w:r>
        <w:t>AEC GIS Section / AEC Electorate Mapping</w:t>
        <w:br/>
      </w:r>
      <w:r>
        <w:t>Australian Electoral Commission</w:t>
        <w:br/>
      </w:r>
      <w:r>
        <w:t>Locked Bag 4007</w:t>
        <w:br/>
      </w:r>
      <w:r>
        <w:t>Canberra ACT 2601</w:t>
      </w:r>
    </w:p>
    <w:p>
      <w:pPr>
        <w:spacing w:before="240" w:after="240"/>
      </w:pPr>
      <w:r>
        <w:rPr>
          <w:b/>
        </w:rPr>
        <w:t>Re: Public-redistribution clarification — AEC GIS data (End-user Licence, Derivative Product permission)</w:t>
      </w:r>
    </w:p>
    <w:p>
      <w:pPr>
        <w:spacing w:after="120"/>
      </w:pPr>
      <w:r>
        <w:rPr>
          <w:b w:val="0"/>
        </w:rPr>
        <w:t>Dear Sir / Madam,</w:t>
      </w:r>
    </w:p>
    <w:p>
      <w:pPr>
        <w:spacing w:after="200"/>
      </w:pPr>
      <w:r>
        <w:rPr>
          <w:b w:val="0"/>
        </w:rPr>
        <w:t>I am the lead on the Australian Political Influence Transparency project, a public-interest, source-backed transparency tool that publishes a reproducible link from disclosed federal political records back to the original public source documents.</w:t>
      </w:r>
    </w:p>
    <w:p>
      <w:pPr>
        <w:spacing w:after="200"/>
      </w:pPr>
      <w:r>
        <w:rPr>
          <w:b w:val="0"/>
        </w:rPr>
        <w:t>The project ingests the AEC's federal electorate boundary shapefile and serves it as a runtime map layer in the project's public app. Specifically:</w:t>
      </w:r>
    </w:p>
    <w:p>
      <w:pPr>
        <w:pStyle w:val="ListNumber"/>
        <w:spacing w:after="40"/>
      </w:pPr>
      <w:r>
        <w:t>we download the official current national federal electorate ESRI shapefile from https://www.aec.gov.au/electorates/gis/...;</w:t>
      </w:r>
    </w:p>
    <w:p>
      <w:pPr>
        <w:pStyle w:val="ListNumber"/>
        <w:spacing w:after="40"/>
      </w:pPr>
      <w:r>
        <w:t>we re-project the geometry from GDA94 to EPSG:4326 (GeoJSON / PostGIS) and serve it as vector tiles from a server the project operates;</w:t>
      </w:r>
    </w:p>
    <w:p>
      <w:pPr>
        <w:pStyle w:val="ListNumber"/>
        <w:spacing w:after="40"/>
      </w:pPr>
      <w:r>
        <w:t>the public app renders those tiles with the verbatim attribution "© Commonwealth of Australia (Australian Electoral Commission) [year]", linked to the AEC GIS licence page; and</w:t>
      </w:r>
    </w:p>
    <w:p>
      <w:pPr>
        <w:pStyle w:val="ListNumber"/>
        <w:spacing w:after="200"/>
      </w:pPr>
      <w:r>
        <w:t>the AEC's official boundary geometry is unchanged in storage (the only display-time variation is a coastline clip layered on top, sourced separately).</w:t>
      </w:r>
    </w:p>
    <w:p>
      <w:pPr>
        <w:spacing w:after="200"/>
      </w:pPr>
      <w:r>
        <w:rPr>
          <w:b w:val="0"/>
        </w:rPr>
        <w:t>We treat this combined treatment as a Derivative Product within the AEC's GIS End-user Licence permission. Could the AEC please confirm:</w:t>
      </w:r>
    </w:p>
    <w:p>
      <w:pPr>
        <w:pStyle w:val="ListNumber"/>
        <w:spacing w:after="40"/>
      </w:pPr>
      <w:r>
        <w:t>Whether the AEC considers our re-projected, vector-tiled, publicly-served treatment of the boundary geometry a Derivative Product within the meaning of the End-user Licence;</w:t>
      </w:r>
    </w:p>
    <w:p>
      <w:pPr>
        <w:pStyle w:val="ListNumber"/>
        <w:spacing w:after="40"/>
      </w:pPr>
      <w:r>
        <w:t>Whether the AEC's standard attribution string suffices, or whether the AEC would like an additional or different attribution form; and</w:t>
      </w:r>
    </w:p>
    <w:p>
      <w:pPr>
        <w:pStyle w:val="ListNumber"/>
        <w:spacing w:after="200"/>
      </w:pPr>
      <w:r>
        <w:t>Whether the AEC has any other conditions the project should apply before public launch (we explicitly preserve the warranty disclaimer the licence states; we do not assert AEC endorsement in any UI surface; and we link the original AEC source documents alongside the rendered map).</w:t>
      </w:r>
    </w:p>
    <w:p>
      <w:pPr>
        <w:spacing w:after="200"/>
      </w:pPr>
      <w:r>
        <w:rPr>
          <w:b w:val="0"/>
        </w:rPr>
        <w:t>Our reproducibility policy is at docs/reproducibility.md in the project repository, and the per-source licence audit is at docs/source_licences.md. We would welcome any conditions the AEC considers appropriate.</w:t>
      </w:r>
    </w:p>
    <w:p>
      <w:pPr>
        <w:spacing w:before="120" w:after="720"/>
      </w:pPr>
      <w:r>
        <w:rPr>
          <w:b w:val="0"/>
        </w:rPr>
        <w:t>Yours faithfully,</w:t>
      </w:r>
    </w:p>
    <w:p>
      <w:pPr>
        <w:spacing w:after="120"/>
      </w:pPr>
      <w:r>
        <w:t>Yours faithfully,</w:t>
        <w:br/>
      </w:r>
      <w:r>
        <w:br/>
      </w:r>
      <w:r>
        <w:br/>
      </w:r>
      <w:r>
        <w:br/>
      </w:r>
      <w:r>
        <w:t>[Project Lead Name]</w:t>
        <w:br/>
      </w:r>
      <w:r>
        <w:t>Project Lead, Australian Political Influence Transparency Project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