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read online</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 2026 Instats. Licensed under Creative Commons Attribution-NonCommercial-NoDerivatives 4.0 International (CC BY-NC-ND 4.0): share in full, with attribution, for non-commercial purposes; no adapted or modified redistribution; commercial reuse by written permission from Instats.</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potential feature, not as their primary research function. The right question of any such tool is not who wrote the output but whether the use is ethical, valid, reproducible, and transparent. No one treats SPSS output as plagiarism when it appears in a manuscript. No one treats Whisper-transcribed interviews as fraudulent so long as the researcher verifies them against the audio. The institutional move to treat AI use as a plagiarism question is a category error driven by surface mimicry rather than underlying function. This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student conduct in the form of writing as the central issue rather than the validity, replicability, and ethical defensibility of AI-augmented research itself. Reproducibility, hallucination, validation,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defensible from indefensible AI-augmented research is not which tool researchers can use, but which research tasks the researchers decide to give AI, which ones they decide to keep, and how they verify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only six institutions whose AI policies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w:t>
      </w:r>
      <w:r>
        <w:rPr>
          <w:rFonts w:ascii="Inter" w:hAnsi="Inter" w:cs="Inter"/>
          <w:b/>
          <w:color w:val="3092B1"/>
          <w:position w:val="8"/>
          <w:sz w:val="18"/>
          <w:szCs w:val="18"/>
          <w:vertAlign w:val="superscript"/>
        </w:rPr>
        <w:footnoteReference w:id="2"/>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1">
        <w:bookmarkStart w:id="5" w:name="part-1-the-factual-baseline"/>
        <w:r>
          <w:rPr>
            <w:rStyle w:val="Hyperlink"/>
          </w:rPr>
          <w:t>Part 1 — The factual baseline</w:t>
        </w:r>
      </w:hyperlink>
    </w:p>
    <w:p>
      <w:pPr>
        <w:pStyle w:val="Compact"/>
        <w:numPr>
          <w:ilvl w:val="0"/>
          <w:numId w:val="7"/>
        </w:numPr>
        <w:rPr/>
      </w:pPr>
      <w:hyperlink w:anchor="X25f912980d44fa8a235942a34c9340eb32a665f">
        <w:r>
          <w:rPr>
            <w:rStyle w:val="Hyperlink"/>
          </w:rPr>
          <w:t>1.1   The shift in research practice, 2022 to 2026</w:t>
        </w:r>
      </w:hyperlink>
    </w:p>
    <w:p>
      <w:pPr>
        <w:pStyle w:val="Compact"/>
        <w:numPr>
          <w:ilvl w:val="0"/>
          <w:numId w:val="7"/>
        </w:numPr>
        <w:rPr/>
      </w:pPr>
      <w:hyperlink w:anchor="X2560ded8103a952a7c82b7b0eaacab37c19c5b3">
        <w:r>
          <w:rPr>
            <w:rStyle w:val="Hyperlink"/>
          </w:rPr>
          <w:t>1.2   “Responsible AI use” still lacks an operational definition</w:t>
        </w:r>
      </w:hyperlink>
    </w:p>
    <w:p>
      <w:pPr>
        <w:pStyle w:val="Compact"/>
        <w:numPr>
          <w:ilvl w:val="0"/>
          <w:numId w:val="7"/>
        </w:numPr>
        <w:rPr/>
      </w:pPr>
      <w:hyperlink w:anchor="the-institutional-baseline-in-2026">
        <w:r>
          <w:rPr>
            <w:rStyle w:val="Hyperlink"/>
          </w:rPr>
          <w:t>1.3   The institutional baseline in 2026</w:t>
        </w:r>
      </w:hyperlink>
      <w:bookmarkEnd w:id="5"/>
    </w:p>
    <w:p>
      <w:pPr>
        <w:pStyle w:val="Heading4"/>
        <w:rPr/>
      </w:pPr>
      <w:hyperlink w:anchor="X5539dbe61e1486b6995668c51a0ef1c8e045a94">
        <w:bookmarkStart w:id="6" w:name="X50b37e5fe9ce7efff6f54829b1659bce63095d4"/>
        <w:r>
          <w:rPr>
            <w:rStyle w:val="Hyperlink"/>
          </w:rPr>
          <w:t>Part 2 — A five-dimension competency framework</w:t>
        </w:r>
      </w:hyperlink>
    </w:p>
    <w:p>
      <w:pPr>
        <w:pStyle w:val="Compact"/>
        <w:numPr>
          <w:ilvl w:val="0"/>
          <w:numId w:val="7"/>
        </w:numPr>
        <w:rPr/>
      </w:pPr>
      <w:hyperlink w:anchor="dimension-1-human-in-the-loop-discipline">
        <w:r>
          <w:rPr>
            <w:rStyle w:val="Hyperlink"/>
          </w:rPr>
          <w:t>2.1   Dimension 1 — Human-in-the-loop discipline</w:t>
        </w:r>
      </w:hyperlink>
    </w:p>
    <w:p>
      <w:pPr>
        <w:pStyle w:val="Compact"/>
        <w:numPr>
          <w:ilvl w:val="0"/>
          <w:numId w:val="7"/>
        </w:numPr>
        <w:rPr/>
      </w:pPr>
      <w:hyperlink w:anchor="dimension-2-responsible-use-in-practice">
        <w:r>
          <w:rPr>
            <w:rStyle w:val="Hyperlink"/>
          </w:rPr>
          <w:t>2.2   Dimension 2 — Responsible use in practice</w:t>
        </w:r>
      </w:hyperlink>
    </w:p>
    <w:p>
      <w:pPr>
        <w:pStyle w:val="Compact"/>
        <w:numPr>
          <w:ilvl w:val="0"/>
          <w:numId w:val="7"/>
        </w:numPr>
        <w:rPr/>
      </w:pPr>
      <w:hyperlink w:anchor="X805c1c6013402fdf28df478a2e33eeb31711dbe">
        <w:r>
          <w:rPr>
            <w:rStyle w:val="Hyperlink"/>
          </w:rPr>
          <w:t>2.3   Dimension 3 — Tooling that promotes responsible use</w:t>
        </w:r>
      </w:hyperlink>
    </w:p>
    <w:p>
      <w:pPr>
        <w:pStyle w:val="Compact"/>
        <w:numPr>
          <w:ilvl w:val="0"/>
          <w:numId w:val="7"/>
        </w:numPr>
        <w:rPr/>
      </w:pPr>
      <w:hyperlink w:anchor="dimension-4-ai-literate-humans">
        <w:r>
          <w:rPr>
            <w:rStyle w:val="Hyperlink"/>
          </w:rPr>
          <w:t>2.4   Dimension 4 — AI-literate humans</w:t>
        </w:r>
      </w:hyperlink>
    </w:p>
    <w:p>
      <w:pPr>
        <w:pStyle w:val="Compact"/>
        <w:numPr>
          <w:ilvl w:val="0"/>
          <w:numId w:val="7"/>
        </w:numPr>
        <w:rPr/>
      </w:pPr>
      <w:hyperlink w:anchor="X04c51b46a89726e63cb47cb909f3f41f147c501">
        <w:r>
          <w:rPr>
            <w:rStyle w:val="Hyperlink"/>
          </w:rPr>
          <w:t>2.5   Dimension 5 — Institutional benchmarking grid</w:t>
        </w:r>
      </w:hyperlink>
      <w:bookmarkEnd w:id="6"/>
    </w:p>
    <w:p>
      <w:pPr>
        <w:pStyle w:val="Heading4"/>
        <w:rPr/>
      </w:pPr>
      <w:hyperlink w:anchor="Xd1a73a0edba9ddda1e0d20cf1ed0ad021cf16f3">
        <w:bookmarkStart w:id="7" w:name="Xdc77c75a62b621fcf7c8fe71c969742e2e32c4d"/>
        <w:r>
          <w:rPr>
            <w:rStyle w:val="Hyperlink"/>
          </w:rPr>
          <w:t>Part 3 — What the international evidence shows</w:t>
        </w:r>
      </w:hyperlink>
    </w:p>
    <w:p>
      <w:pPr>
        <w:pStyle w:val="Compact"/>
        <w:numPr>
          <w:ilvl w:val="0"/>
          <w:numId w:val="7"/>
        </w:numPr>
        <w:rPr/>
      </w:pPr>
      <w:hyperlink w:anchor="national-research-funder-positions">
        <w:r>
          <w:rPr>
            <w:rStyle w:val="Hyperlink"/>
          </w:rPr>
          <w:t>3.1   National research-funder positions</w:t>
        </w:r>
      </w:hyperlink>
    </w:p>
    <w:p>
      <w:pPr>
        <w:pStyle w:val="Compact"/>
        <w:numPr>
          <w:ilvl w:val="0"/>
          <w:numId w:val="7"/>
        </w:numPr>
        <w:rPr/>
      </w:pPr>
      <w:hyperlink w:anchor="X02ed1aa3513dc0bebac80dd57b4494edf619a91">
        <w:r>
          <w:rPr>
            <w:rStyle w:val="Hyperlink"/>
          </w:rPr>
          <w:t>3.2   Top-tier university institutional policies</w:t>
        </w:r>
      </w:hyperlink>
    </w:p>
    <w:p>
      <w:pPr>
        <w:pStyle w:val="Compact"/>
        <w:numPr>
          <w:ilvl w:val="0"/>
          <w:numId w:val="7"/>
        </w:numPr>
        <w:rPr/>
      </w:pPr>
      <w:hyperlink w:anchor="publisher-and-journal-policies">
        <w:r>
          <w:rPr>
            <w:rStyle w:val="Hyperlink"/>
          </w:rPr>
          <w:t>3.3   Publisher and journal policies</w:t>
        </w:r>
      </w:hyperlink>
    </w:p>
    <w:p>
      <w:pPr>
        <w:pStyle w:val="Compact"/>
        <w:numPr>
          <w:ilvl w:val="0"/>
          <w:numId w:val="7"/>
        </w:numPr>
        <w:rPr/>
      </w:pPr>
      <w:hyperlink w:anchor="Xca4da2d26c3d4406d6d5f02dafc313a2e0f1372">
        <w:r>
          <w:rPr>
            <w:rStyle w:val="Hyperlink"/>
          </w:rPr>
          <w:t>3.4   Existing AI-literacy and researcher-development frameworks</w:t>
        </w:r>
      </w:hyperlink>
      <w:bookmarkEnd w:id="7"/>
    </w:p>
    <w:p>
      <w:pPr>
        <w:pStyle w:val="Heading4"/>
        <w:rPr/>
      </w:pPr>
      <w:hyperlink w:anchor="part-4-the-maturity-grid-1">
        <w:bookmarkStart w:id="8" w:name="part-4-the-maturity-grid"/>
        <w:r>
          <w:rPr>
            <w:rStyle w:val="Hyperlink"/>
          </w:rPr>
          <w:t>Part 4 — The maturity grid</w:t>
        </w:r>
      </w:hyperlink>
    </w:p>
    <w:p>
      <w:pPr>
        <w:pStyle w:val="Compact"/>
        <w:numPr>
          <w:ilvl w:val="0"/>
          <w:numId w:val="7"/>
        </w:numPr>
        <w:rPr/>
      </w:pPr>
      <w:hyperlink w:anchor="the-five-by-four-grid">
        <w:r>
          <w:rPr>
            <w:rStyle w:val="Hyperlink"/>
          </w:rPr>
          <w:t>4.1   The five-by-four grid</w:t>
        </w:r>
      </w:hyperlink>
    </w:p>
    <w:p>
      <w:pPr>
        <w:pStyle w:val="Compact"/>
        <w:numPr>
          <w:ilvl w:val="0"/>
          <w:numId w:val="7"/>
        </w:numPr>
        <w:rPr/>
      </w:pPr>
      <w:hyperlink w:anchor="what-ready-looks-like-by-dimension">
        <w:r>
          <w:rPr>
            <w:rStyle w:val="Hyperlink"/>
          </w:rPr>
          <w:t>4.2   What “ready” looks like by dimension</w:t>
        </w:r>
      </w:hyperlink>
    </w:p>
    <w:p>
      <w:pPr>
        <w:pStyle w:val="Compact"/>
        <w:numPr>
          <w:ilvl w:val="0"/>
          <w:numId w:val="7"/>
        </w:numPr>
        <w:rPr/>
      </w:pPr>
      <w:hyperlink w:anchor="worked-institutional-examples">
        <w:r>
          <w:rPr>
            <w:rStyle w:val="Hyperlink"/>
          </w:rPr>
          <w:t>4.3   Worked institutional examples</w:t>
        </w:r>
      </w:hyperlink>
      <w:bookmarkEnd w:id="8"/>
    </w:p>
    <w:p>
      <w:pPr>
        <w:pStyle w:val="Heading4"/>
        <w:rPr/>
      </w:pPr>
      <w:hyperlink w:anchor="X84b8053bd241840a3d62bcee5726c3dbee3ed04">
        <w:bookmarkStart w:id="9" w:name="Xade74cb8c91f1bbf3902d8c6c15257bafa8604c"/>
        <w:r>
          <w:rPr>
            <w:rStyle w:val="Hyperlink"/>
          </w:rPr>
          <w:t>Part 5 — Recommendations for university research leadership</w:t>
        </w:r>
      </w:hyperlink>
    </w:p>
    <w:p>
      <w:pPr>
        <w:pStyle w:val="Compact"/>
        <w:numPr>
          <w:ilvl w:val="0"/>
          <w:numId w:val="7"/>
        </w:numPr>
        <w:rPr/>
      </w:pPr>
      <w:hyperlink w:anchor="for-executive-research-leadership">
        <w:r>
          <w:rPr>
            <w:rStyle w:val="Hyperlink"/>
          </w:rPr>
          <w:t>5.1   For executive research leadership</w:t>
        </w:r>
      </w:hyperlink>
    </w:p>
    <w:p>
      <w:pPr>
        <w:pStyle w:val="Compact"/>
        <w:numPr>
          <w:ilvl w:val="0"/>
          <w:numId w:val="7"/>
        </w:numPr>
        <w:rPr/>
      </w:pPr>
      <w:hyperlink w:anchor="Xfe35cd0e7334cb7c73c4edbd7515c9376f22755">
        <w:r>
          <w:rPr>
            <w:rStyle w:val="Hyperlink"/>
          </w:rPr>
          <w:t>5.2   For faculty deans and associate deans of research</w:t>
        </w:r>
      </w:hyperlink>
    </w:p>
    <w:p>
      <w:pPr>
        <w:pStyle w:val="Compact"/>
        <w:numPr>
          <w:ilvl w:val="0"/>
          <w:numId w:val="7"/>
        </w:numPr>
        <w:rPr/>
      </w:pPr>
      <w:hyperlink w:anchor="Xc5c7e67c2b686b79a10b44fe001854c04336b11">
        <w:r>
          <w:rPr>
            <w:rStyle w:val="Hyperlink"/>
          </w:rPr>
          <w:t>5.3   For deans of graduate schools and A/Deans of research training</w:t>
        </w:r>
      </w:hyperlink>
    </w:p>
    <w:p>
      <w:pPr>
        <w:pStyle w:val="Compact"/>
        <w:numPr>
          <w:ilvl w:val="0"/>
          <w:numId w:val="7"/>
        </w:numPr>
        <w:rPr/>
      </w:pPr>
      <w:hyperlink w:anchor="Xf8e6fc39c3d0ddc0391c79039db452b3c38372d">
        <w:r>
          <w:rPr>
            <w:rStyle w:val="Hyperlink"/>
          </w:rPr>
          <w:t>5.4   For higher-degrees committees and research-integrity committees</w:t>
        </w:r>
      </w:hyperlink>
    </w:p>
    <w:p>
      <w:pPr>
        <w:pStyle w:val="Compact"/>
        <w:numPr>
          <w:ilvl w:val="0"/>
          <w:numId w:val="7"/>
        </w:numPr>
        <w:rPr/>
      </w:pPr>
      <w:hyperlink w:anchor="for-peak-bodies-for-graduate-students">
        <w:r>
          <w:rPr>
            <w:rStyle w:val="Hyperlink"/>
          </w:rPr>
          <w:t>5.5   For peak bodies for graduate students</w:t>
        </w:r>
      </w:hyperlink>
      <w:bookmarkEnd w:id="9"/>
    </w:p>
    <w:p>
      <w:pPr>
        <w:pStyle w:val="Heading4"/>
        <w:rPr/>
      </w:pPr>
      <w:hyperlink w:anchor="conclusion-1">
        <w:bookmarkStart w:id="10" w:name="conclusion"/>
        <w:r>
          <w:rPr>
            <w:rStyle w:val="Hyperlink"/>
          </w:rPr>
          <w:t>Conclusion</w:t>
        </w:r>
      </w:hyperlink>
      <w:bookmarkEnd w:id="10"/>
    </w:p>
    <w:p>
      <w:pPr>
        <w:pStyle w:val="Heading4"/>
        <w:rPr/>
      </w:pPr>
      <w:hyperlink w:anchor="Xe68ee8087a0fb6c54faf307f3bd4ef6aae1293d">
        <w:bookmarkStart w:id="11" w:name="Xacafc5f6c5affb2bcbe0c710c92c025823d84b1"/>
        <w:r>
          <w:rPr>
            <w:rStyle w:val="Hyperlink"/>
          </w:rPr>
          <w:t>Appendix A — The maturity grid, full version</w:t>
        </w:r>
      </w:hyperlink>
      <w:bookmarkEnd w:id="11"/>
    </w:p>
    <w:p>
      <w:pPr>
        <w:pStyle w:val="Heading4"/>
        <w:rPr/>
      </w:pPr>
      <w:hyperlink w:anchor="Xa84783782a8a542074362876906e23e4f0078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1">
        <w:bookmarkStart w:id="13" w:name="appendix-c-glossary-of-ai-tool-classes"/>
        <w:r>
          <w:rPr>
            <w:rStyle w:val="Hyperlink"/>
          </w:rPr>
          <w:t>Appendix C — Glossary of AI tool classes</w:t>
        </w:r>
      </w:hyperlink>
      <w:bookmarkEnd w:id="13"/>
    </w:p>
    <w:p>
      <w:pPr>
        <w:pStyle w:val="Heading4"/>
        <w:rPr/>
      </w:pPr>
      <w:hyperlink w:anchor="appendix-d-about-this-report-1">
        <w:bookmarkStart w:id="14" w:name="appendix-d-about-this-report"/>
        <w:r>
          <w:rPr>
            <w:rStyle w:val="Hyperlink"/>
          </w:rPr>
          <w:t>Appendix D — About this report</w:t>
        </w:r>
      </w:hyperlink>
      <w:bookmarkEnd w:id="14"/>
    </w:p>
    <w:p>
      <w:pPr>
        <w:pStyle w:val="Heading4"/>
        <w:rPr/>
      </w:pPr>
      <w:hyperlink w:anchor="appendix-e-sources-1">
        <w:bookmarkStart w:id="15" w:name="appendix-e-sources"/>
        <w:r>
          <w:rPr>
            <w:rStyle w:val="Hyperlink"/>
          </w:rPr>
          <w:t>Appendix E — Sources</w:t>
        </w:r>
      </w:hyperlink>
      <w:bookmarkEnd w:id="15"/>
    </w:p>
    <w:p>
      <w:pPr>
        <w:pStyle w:val="Heading4"/>
        <w:rPr/>
      </w:pPr>
      <w:hyperlink w:anchor="appendix-f-regional-adaptation-note-1">
        <w:bookmarkStart w:id="16" w:name="appendix-f-regional-adaptation-note"/>
        <w:r>
          <w:rPr>
            <w:rStyle w:val="Hyperlink"/>
          </w:rPr>
          <w:t>Appendix F — Regional-adaptation note</w:t>
        </w:r>
      </w:hyperlink>
      <w:bookmarkEnd w:id="16"/>
    </w:p>
    <w:p>
      <w:pPr>
        <w:pStyle w:val="Heading4"/>
        <w:rPr/>
      </w:pPr>
      <w:hyperlink w:anchor="X17285a873e63ccb0cca26e646af65800f47b2e1">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3"/>
      </w:r>
    </w:p>
    <w:p>
      <w:pPr>
        <w:pStyle w:val="BodyText"/>
        <w:rPr/>
      </w:pPr>
      <w:r>
        <w:rPr/>
        <w:t>The policy speed was unusually fast compared with the years-long convergence of prior publisher-policy adoptions on other issues.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4"/>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5"/>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6"/>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7"/>
      </w:r>
      <w:r>
        <w:rPr/>
        <w:t xml:space="preserve"> The disclosure rate is low, but the trajectory is positive; the gap between how widely AI is used and how rarely that use is disclosed is the structural signal that research practice is outrunning the disclosure regimes built to govern it.</w:t>
      </w:r>
    </w:p>
    <w:p>
      <w:pPr>
        <w:pStyle w:val="BodyText"/>
        <w:rPr/>
      </w:pPr>
      <w:r>
        <w:rPr/>
        <w:t>That is the gap this report addresses: research practice has changed faster than university policy has defined responsible AI use in PhD training, and faster than virtually all academic researchers have been able to cope with in terms of understanding what responsible AI use might look like for their own research and their PhD student supervision practices.</w:t>
      </w:r>
      <w:bookmarkEnd w:id="19"/>
    </w:p>
    <w:p>
      <w:pPr>
        <w:pStyle w:val="Heading3"/>
        <w:rPr/>
      </w:pPr>
      <w:bookmarkStart w:id="20" w:name="X2560ded8103a952a7c82b7b0eaacab37c19c5b3"/>
      <w:r>
        <w:rPr/>
        <w:t>1.2 “Responsible AI use” still lacks an operational definition</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8"/>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9"/>
      </w:r>
      <w:r>
        <w:rPr/>
        <w:t xml:space="preserve"> Both formulations are unobjectionable, but neither tells a PhD candidate or a PhD supervisor what to do on Monday morning when an AI tool returns a plausible-looking citation list, a plausible-looking explanation of a statistical assumption, a plausible-looking interpretation of an experimental result, or a plausible summary of a paper or book.</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10"/>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1"/>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2"/>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3"/>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4"/>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5"/>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6"/>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7"/>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8"/>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9"/>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20"/>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1"/>
      </w:r>
    </w:p>
    <w:p>
      <w:pPr>
        <w:pStyle w:val="BodyText"/>
        <w:rPr/>
      </w:pPr>
      <w:r>
        <w:rPr/>
        <w:t>Operationally, the dimension demarcates the research task at a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 and certainly not by any of the public hype surrounding it.</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example: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2"/>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council/colleagues for planning implementation (or, more likely, deliberation and debate).</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w:t>
      </w:r>
      <w:r>
        <w:rPr>
          <w:rFonts w:ascii="Inter" w:hAnsi="Inter" w:cs="Inter"/>
          <w:b/>
          <w:color w:val="3092B1"/>
          <w:position w:val="8"/>
          <w:sz w:val="18"/>
          <w:szCs w:val="18"/>
          <w:vertAlign w:val="superscript"/>
        </w:rPr>
        <w:footnoteReference w:id="26"/>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8"/>
      </w:r>
      <w:r>
        <w:rPr/>
        <w:t xml:space="preserve">, </w:t>
      </w:r>
      <w:r>
        <w:rPr>
          <w:rFonts w:ascii="Inter" w:hAnsi="Inter" w:cs="Inter"/>
          <w:b/>
          <w:color w:val="3092B1"/>
          <w:position w:val="8"/>
          <w:sz w:val="18"/>
          <w:szCs w:val="18"/>
          <w:vertAlign w:val="superscript"/>
        </w:rPr>
        <w:footnoteReference w:id="29"/>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the institutional level.</w:t>
      </w:r>
      <w:r>
        <w:rPr>
          <w:rFonts w:ascii="Inter" w:hAnsi="Inter" w:cs="Inter"/>
          <w:b/>
          <w:color w:val="3092B1"/>
          <w:position w:val="8"/>
          <w:sz w:val="18"/>
          <w:szCs w:val="18"/>
          <w:vertAlign w:val="superscript"/>
        </w:rPr>
        <w:footnoteReference w:id="30"/>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1"/>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2"/>
      </w:r>
      <w:r>
        <w:rPr/>
        <w:t xml:space="preserve"> These principles are unobjectionable, but they do not translate to research-task-level rules.</w:t>
      </w:r>
    </w:p>
    <w:p>
      <w:pPr>
        <w:pStyle w:val="BodyText"/>
        <w:rPr/>
      </w:pPr>
      <w:r>
        <w:rPr/>
        <w:t>The Dimension 2 contribution is to specify responsible use at the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3"/>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frontier-model AI family than the one that produced the original argument (Dimension 4’s model-heterogeneity discipline). Treat agreement with the user’s framing as a potential sycophancy signal, not as a validation signal.</w:t>
      </w:r>
      <w:r>
        <w:rPr>
          <w:rFonts w:ascii="Inter" w:hAnsi="Inter" w:cs="Inter"/>
          <w:b/>
          <w:color w:val="3092B1"/>
          <w:position w:val="8"/>
          <w:sz w:val="18"/>
          <w:szCs w:val="18"/>
          <w:vertAlign w:val="superscript"/>
        </w:rPr>
        <w:footnoteReference w:id="3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7"/>
      </w:r>
    </w:p>
    <w:p>
      <w:pPr>
        <w:pStyle w:val="Compact"/>
        <w:numPr>
          <w:ilvl w:val="0"/>
          <w:numId w:val="7"/>
        </w:numPr>
        <w:rPr/>
      </w:pPr>
      <w:r>
        <w:rPr>
          <w:i/>
          <w:iCs/>
        </w:rPr>
        <w:t>Tutor.</w:t>
      </w:r>
      <w:r>
        <w:rPr/>
        <w:t xml:space="preserve"> Use corpus-grounded tutoring (RAG over the supervisor’s reading list, institutional knowledge bases) in preference to free-form chat to improve structure and replicability.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an empty phrase rather than a concrete and locally operationalised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8"/>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9"/>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40"/>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1"/>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2"/>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3"/>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5"/>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6"/>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7"/>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8"/>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9"/>
      </w:r>
      <w:r>
        <w:rPr/>
        <w:t xml:space="preserve"> A PhD researcher trained on that pre-AI canon brings the foundation for AI-augmented research: reproducibility, validity, and scepticism; however, the AI-era competencies extend that foundation and point to the need for AI-centric upskilling in the form of rigorous AI-related research training.</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an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5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1"/>
      </w:r>
      <w:r>
        <w:rPr/>
        <w:t xml:space="preserve">, </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3"/>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4"/>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can break down because the same parameters produce both the original answer and the critique.</w:t>
      </w:r>
      <w:r>
        <w:rPr>
          <w:rFonts w:ascii="Inter" w:hAnsi="Inter" w:cs="Inter"/>
          <w:b/>
          <w:color w:val="3092B1"/>
          <w:position w:val="8"/>
          <w:sz w:val="18"/>
          <w:szCs w:val="18"/>
          <w:vertAlign w:val="superscript"/>
        </w:rPr>
        <w:footnoteReference w:id="5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7"/>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9"/>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60"/>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1"/>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itself.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2"/>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3"/>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4"/>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5"/>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6"/>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7"/>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8"/>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9"/>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70"/>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1"/>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2"/>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3"/>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4"/>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e68ee8087a0fb6c54faf307f3bd4ef6aae1293d">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5"/>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6"/>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7"/>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8"/>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9"/>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8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1"/>
      </w:r>
      <w:r>
        <w:rPr/>
        <w:t xml:space="preserve">, </w:t>
      </w:r>
      <w:r>
        <w:rPr>
          <w:rFonts w:ascii="Inter" w:hAnsi="Inter" w:cs="Inter"/>
          <w:b/>
          <w:color w:val="3092B1"/>
          <w:position w:val="8"/>
          <w:sz w:val="18"/>
          <w:szCs w:val="18"/>
          <w:vertAlign w:val="superscript"/>
        </w:rPr>
        <w:footnoteReference w:id="82"/>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3"/>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4"/>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5"/>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footnote>
  <w:footnote w:id="3">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4">
    <w:p>
      <w:pPr>
        <w:pStyle w:val="FootnoteText"/>
        <w:widowControl/>
        <w:bidi w:val="0"/>
        <w:spacing w:lineRule="auto" w:line="312" w:before="0" w:after="80"/>
        <w:jc w:val="start"/>
        <w:rPr/>
      </w:pPr>
      <w:r>
        <w:rPr>
          <w:rStyle w:val="FootnoteCharacters"/>
        </w:rPr>
        <w:footnoteRef/>
      </w:r>
      <w:r>
        <w:rPr/>
        <w:t xml:space="preserve"> </w:t>
      </w:r>
      <w:r>
        <w:rPr/>
        <w:t>Synthesised across the eighteen-entry publisher-policy dossier (</w:t>
      </w:r>
      <w:r>
        <w:rPr>
          <w:rStyle w:val="VerbatimChar"/>
        </w:rPr>
        <w:t>research/dossier_04_publisher_policies.md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6">
    <w:p>
      <w:pPr>
        <w:pStyle w:val="FootnoteText"/>
        <w:widowControl/>
        <w:bidi w:val="0"/>
        <w:spacing w:lineRule="auto" w:line="312" w:before="0" w:after="80"/>
        <w:jc w:val="start"/>
        <w:rPr/>
      </w:pPr>
      <w:r>
        <w:rPr>
          <w:rStyle w:val="FootnoteCharacters"/>
        </w:rPr>
        <w:footnoteRef/>
      </w:r>
      <w:r>
        <w:rPr/>
        <w:t xml:space="preserve"> </w:t>
      </w:r>
      <w:r>
        <w:rPr/>
        <w:t>arXiv internal moderation findings reported in 2025; methodology and threshold detailed in the publisher-policy dossier (</w:t>
      </w:r>
      <w:r>
        <w:rPr>
          <w:rStyle w:val="VerbatimChar"/>
        </w:rPr>
        <w:t>research/dossier_04_publisher_policies.md</w:t>
      </w:r>
      <w:r>
        <w:rPr/>
        <w:t>).</w:t>
      </w:r>
    </w:p>
  </w:footnote>
  <w:footnote w:id="7">
    <w:p>
      <w:pPr>
        <w:pStyle w:val="FootnoteText"/>
        <w:widowControl/>
        <w:bidi w:val="0"/>
        <w:spacing w:lineRule="auto" w:line="312" w:before="0" w:after="80"/>
        <w:jc w:val="start"/>
        <w:rPr/>
      </w:pPr>
      <w:r>
        <w:rPr>
          <w:rStyle w:val="FootnoteCharacters"/>
        </w:rPr>
        <w:footnoteRef/>
      </w:r>
      <w:r>
        <w:rPr/>
        <w:t xml:space="preserve"> </w:t>
      </w:r>
      <w:r>
        <w:rPr/>
        <w:t>BMJ Author Hub, “AI policy and submission form disclosure,” April 2024; 2025 Peer Review Congress disclosure-rate report. URL: https://authors.bmj.com/policies/bmj-policy-on-artificial-intelligence/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w:t>
      </w:r>
    </w:p>
  </w:footnote>
  <w:footnote w:id="12">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7">
    <w:p>
      <w:pPr>
        <w:pStyle w:val="FootnoteText"/>
        <w:widowControl/>
        <w:bidi w:val="0"/>
        <w:spacing w:lineRule="auto" w:line="312" w:before="0" w:after="80"/>
        <w:jc w:val="start"/>
        <w:rPr/>
      </w:pPr>
      <w:r>
        <w:rPr>
          <w:rStyle w:val="FootnoteCharacters"/>
        </w:rPr>
        <w:footnoteRef/>
      </w:r>
      <w:r>
        <w:rPr/>
        <w:t xml:space="preserve"> </w:t>
      </w:r>
      <w:r>
        <w:rPr/>
        <w:t>Thirty-eight-university sample; class distribution A=4, B=11, C=17, D=6 (38 total), from the per-institution policy classifications in the institutional-policy dossier (</w:t>
      </w:r>
      <w:r>
        <w:rPr>
          <w:rStyle w:val="VerbatimChar"/>
        </w:rPr>
        <w:t>research/dossier_02_university_policies.md</w:t>
      </w:r>
      <w:r>
        <w:rPr/>
        <w:t>).</w:t>
      </w:r>
    </w:p>
  </w:footnote>
  <w:footnote w:id="18">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9">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2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1">
    <w:p>
      <w:pPr>
        <w:pStyle w:val="FootnoteText"/>
      </w:pPr>
      <w:r>
        <w:rPr>
          <w:rStyle w:val="FootnoteCharacters"/>
        </w:rPr>
        <w:footnoteRef/>
      </w:r>
      <w:r>
        <w:rPr/>
        <w:t xml:space="preserve"> </w:t>
      </w:r>
      <w:r>
        <w:rPr/>
        <w:t xml:space="preserve">As cited above: Blau, W. et al., “Protecting scientific integrity in an age of generative AI,” PNAS, 21 May 2024. DOI: 10.1073/pnas.2407886121. URL…</w:t>
      </w:r>
    </w:p>
  </w:footnote>
  <w:footnote w:id="22">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24">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5">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7">
    <w:p>
      <w:pPr>
        <w:pStyle w:val="FootnoteText"/>
      </w:pPr>
      <w:r>
        <w:rPr>
          <w:rStyle w:val="FootnoteCharacters"/>
        </w:rPr>
        <w:footnoteRef/>
      </w:r>
      <w:r>
        <w:rPr/>
        <w:t xml:space="preserve"> </w:t>
      </w:r>
      <w:r>
        <w:rPr/>
        <w:t xml:space="preserve">As cited above: Elsevier publisher-wide policy on the use of generative AI and AI-assisted technologies in scientific writing. URL…</w:t>
      </w:r>
    </w:p>
  </w:footnote>
  <w:footnote w:id="28">
    <w:p>
      <w:pPr>
        <w:pStyle w:val="FootnoteText"/>
      </w:pPr>
      <w:r>
        <w:rPr>
          <w:rStyle w:val="FootnoteCharacters"/>
        </w:rPr>
        <w:footnoteRef/>
      </w:r>
      <w:r>
        <w:rPr/>
        <w:t xml:space="preserve"> </w:t>
      </w:r>
      <w:r>
        <w:rPr/>
        <w:t xml:space="preserve">As cited above: JAMA Network policy on the use of AI in scholarly publication, formal Guidance issued 27 July 2023. URL…</w:t>
      </w:r>
    </w:p>
  </w:footnote>
  <w:footnote w:id="29">
    <w:p>
      <w:pPr>
        <w:pStyle w:val="FootnoteText"/>
      </w:pPr>
      <w:r>
        <w:rPr>
          <w:rStyle w:val="FootnoteCharacters"/>
        </w:rPr>
        <w:footnoteRef/>
      </w:r>
      <w:r>
        <w:rPr/>
        <w:t xml:space="preserve"> </w:t>
      </w:r>
      <w:r>
        <w:rPr/>
        <w:t xml:space="preserve">As cited above: Public Library of Science, “The promise and perils of AI use in peer review,” The PLOS Blog, September 2025. URL…</w:t>
      </w:r>
    </w:p>
  </w:footnote>
  <w:footnote w:id="30">
    <w:p>
      <w:pPr>
        <w:pStyle w:val="FootnoteText"/>
      </w:pPr>
      <w:r>
        <w:rPr>
          <w:rStyle w:val="FootnoteCharacters"/>
        </w:rPr>
        <w:footnoteRef/>
      </w:r>
      <w:r>
        <w:rPr/>
        <w:t xml:space="preserve"> </w:t>
      </w:r>
      <w:r>
        <w:rPr/>
        <w:t xml:space="preserve">As cited above: Council of Graduate Schools and Institut national de la recherche scientifique, Global Action Agenda for Using AI to Improve Graduate Education and…</w:t>
      </w:r>
    </w:p>
  </w:footnote>
  <w:footnote w:id="31">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32">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4">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7">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8">
    <w:p>
      <w:pPr>
        <w:pStyle w:val="FootnoteText"/>
      </w:pPr>
      <w:r>
        <w:rPr>
          <w:rStyle w:val="FootnoteCharacters"/>
        </w:rPr>
        <w:footnoteRef/>
      </w:r>
      <w:r>
        <w:rPr/>
        <w:t xml:space="preserve"> </w:t>
      </w:r>
      <w:r>
        <w:rPr/>
        <w:t xml:space="preserve">As cited above: Synthesised across the eleven-class AI tool taxonomy dossier; see research/dossier_05_ai_tool_taxonomy.md and Appendix C of this report. The 8…</w:t>
      </w:r>
    </w:p>
  </w:footnote>
  <w:footnote w:id="39">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40">
    <w:p>
      <w:pPr>
        <w:pStyle w:val="FootnoteText"/>
      </w:pPr>
      <w:r>
        <w:rPr>
          <w:rStyle w:val="FootnoteCharacters"/>
        </w:rPr>
        <w:footnoteRef/>
      </w:r>
      <w:r>
        <w:rPr/>
        <w:t xml:space="preserve"> </w:t>
      </w:r>
      <w:r>
        <w:rPr/>
        <w:t xml:space="preserve">As cited above: Jaźwińska, K., &amp;amp; Chandrasekar, A. (2025). “AI Search Has A Citation Problem.” Tow Center for Digital Journalism, 6 March 2025. Eight consumer AI…</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4">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6">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7">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48">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9">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0">
    <w:p>
      <w:pPr>
        <w:pStyle w:val="FootnoteText"/>
      </w:pPr>
      <w:r>
        <w:rPr>
          <w:rStyle w:val="FootnoteCharacters"/>
        </w:rPr>
        <w:footnoteRef/>
      </w:r>
      <w:r>
        <w:rPr/>
        <w:t xml:space="preserve"> </w:t>
      </w:r>
      <w:r>
        <w:rPr/>
        <w:t xml:space="preserve">As cited above: Walters, W. H., &amp;amp; Wilder, E. I. (2023). “Fabrication and errors in the bibliographic citations generated by ChatGPT.” Scientific Reports…</w:t>
      </w:r>
    </w:p>
  </w:footnote>
  <w:footnote w:id="51">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2">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3">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4">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6">
    <w:p>
      <w:pPr>
        <w:pStyle w:val="FootnoteText"/>
      </w:pPr>
      <w:r>
        <w:rPr>
          <w:rStyle w:val="FootnoteCharacters"/>
        </w:rPr>
        <w:footnoteRef/>
      </w:r>
      <w:r>
        <w:rPr/>
        <w:t xml:space="preserve"> </w:t>
      </w:r>
      <w:r>
        <w:rPr/>
        <w:t xml:space="preserve">As cited above: Huang, J., et al. (2024). “Large Language Models Cannot Self-Correct Reasoning Yet.” Transactions of the Association for Computational Linguistics…</w:t>
      </w:r>
    </w:p>
  </w:footnote>
  <w:footnote w:id="57">
    <w:p>
      <w:pPr>
        <w:pStyle w:val="FootnoteText"/>
      </w:pPr>
      <w:r>
        <w:rPr>
          <w:rStyle w:val="FootnoteCharacters"/>
        </w:rPr>
        <w:footnoteRef/>
      </w:r>
      <w:r>
        <w:rPr/>
        <w:t xml:space="preserve"> </w:t>
      </w:r>
      <w:r>
        <w:rPr/>
        <w:t xml:space="preserve">As cited above: Wynn, S., Satija, T., &amp;amp; Hadfield, G. (2025). “Talk Isn’t Always Cheap: Understanding Failure Modes in Multi-Agent Debate.” arXiv 2509.05396…</w:t>
      </w:r>
    </w:p>
  </w:footnote>
  <w:footnote w:id="58">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9">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60">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61">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2">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3">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5">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6">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7">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68">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69">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7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1">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2">
    <w:p>
      <w:pPr>
        <w:pStyle w:val="FootnoteText"/>
      </w:pPr>
      <w:r>
        <w:rPr>
          <w:rStyle w:val="FootnoteCharacters"/>
        </w:rPr>
        <w:footnoteRef/>
      </w:r>
      <w:r>
        <w:rPr/>
        <w:t xml:space="preserve"> </w:t>
      </w:r>
      <w:r>
        <w:rPr/>
        <w:t xml:space="preserve">As cited above: BMJ Author Hub, “AI policy and submission form disclosure,” April 2024; 2025 Peer Review Congress disclosure-rate report. URL…</w:t>
      </w:r>
    </w:p>
  </w:footnote>
  <w:footnote w:id="73">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4">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5">
    <w:p>
      <w:pPr>
        <w:pStyle w:val="FootnoteText"/>
      </w:pPr>
      <w:r>
        <w:rPr>
          <w:rStyle w:val="FootnoteCharacters"/>
        </w:rPr>
        <w:footnoteRef/>
      </w:r>
      <w:r>
        <w:rPr/>
        <w:t xml:space="preserve"> </w:t>
      </w:r>
      <w:r>
        <w:rPr/>
        <w:t xml:space="preserve">As cited above: UK Research and Innovation, “UKRI AI Research and Innovation Strategic Framework.” 19 February 2026. URL…</w:t>
      </w:r>
    </w:p>
  </w:footnote>
  <w:footnote w:id="76">
    <w:p>
      <w:pPr>
        <w:pStyle w:val="FootnoteText"/>
      </w:pPr>
      <w:r>
        <w:rPr>
          <w:rStyle w:val="FootnoteCharacters"/>
        </w:rPr>
        <w:footnoteRef/>
      </w:r>
      <w:r>
        <w:rPr/>
        <w:t xml:space="preserve"> </w:t>
      </w:r>
      <w:r>
        <w:rPr/>
        <w:t xml:space="preserve">As cited above: National Institutes of Health, “Apply Responsibly: Policy on AI Use in NIH Research Applications and Limiting Submissions Per PI” (NOT-OD-25-132)…</w:t>
      </w:r>
    </w:p>
  </w:footnote>
  <w:footnote w:id="77">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78">
    <w:p>
      <w:pPr>
        <w:pStyle w:val="FootnoteText"/>
      </w:pPr>
      <w:r>
        <w:rPr>
          <w:rStyle w:val="FootnoteCharacters"/>
        </w:rPr>
        <w:footnoteRef/>
      </w:r>
      <w:r>
        <w:rPr/>
        <w:t xml:space="preserve"> </w:t>
      </w:r>
      <w:r>
        <w:rPr/>
        <w:t xml:space="preserve">As cited above: Deutsche Forschungsgemeinschaft, Executive Committee statement on the use of generative models in research, 21 September 2023. URL…</w:t>
      </w:r>
    </w:p>
  </w:footnote>
  <w:footnote w:id="79">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0">
    <w:p>
      <w:pPr>
        <w:pStyle w:val="FootnoteText"/>
      </w:pPr>
      <w:r>
        <w:rPr>
          <w:rStyle w:val="FootnoteCharacters"/>
        </w:rPr>
        <w:footnoteRef/>
      </w:r>
      <w:r>
        <w:rPr/>
        <w:t xml:space="preserve"> </w:t>
      </w:r>
      <w:r>
        <w:rPr/>
        <w:t xml:space="preserve">As cited above: European Data Protection Board, Opinion 28/2024 on certain data protection aspects related to the processing of personal data in the context of AI…</w:t>
      </w:r>
    </w:p>
  </w:footnote>
  <w:footnote w:id="81">
    <w:p>
      <w:pPr>
        <w:pStyle w:val="FootnoteText"/>
      </w:pPr>
      <w:r>
        <w:rPr>
          <w:rStyle w:val="FootnoteCharacters"/>
        </w:rPr>
        <w:footnoteRef/>
      </w:r>
      <w:r>
        <w:rPr/>
        <w:t xml:space="preserve"> </w:t>
      </w:r>
      <w:r>
        <w:rPr/>
        <w:t xml:space="preserve">As cited above: Commission Nationale de l’Informatique et des Libertés (CNIL). “AI system development: CNIL’s recommendations to comply with the GDPR.” 19 June 2025…</w:t>
      </w:r>
    </w:p>
  </w:footnote>
  <w:footnote w:id="82">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8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4">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5">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4"/>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4"/>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4"/>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2026-06-20T14:26:15Z</dcterms:created>
  <dc:creator/>
  <dc:description/>
  <dc:language>en-AU</dc:language>
  <cp:lastModifiedBy/>
  <dcterms:modified xsi:type="dcterms:W3CDTF">2026-06-20T14:26:15Z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