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D01672" w14:textId="77777777" w:rsidR="00170D13" w:rsidRDefault="00170D13">
      <w:pPr>
        <w:pStyle w:val="FirstParagraph"/>
      </w:pPr>
    </w:p>
    <w:p w14:paraId="49F9BB6D" w14:textId="77777777" w:rsidR="00170D13" w:rsidRDefault="00000000">
      <w:pPr>
        <w:pStyle w:val="BodyText"/>
      </w:pPr>
      <w:r>
        <w:t xml:space="preserve">INSTATS POLICY </w:t>
      </w:r>
      <w:proofErr w:type="gramStart"/>
      <w:r>
        <w:t>SERIES  ·</w:t>
      </w:r>
      <w:proofErr w:type="gramEnd"/>
      <w:r>
        <w:t>  May 2026</w:t>
      </w:r>
    </w:p>
    <w:p w14:paraId="0C981E4B" w14:textId="77777777" w:rsidR="00170D13" w:rsidRDefault="00000000">
      <w:pPr>
        <w:pStyle w:val="Heading1"/>
      </w:pPr>
      <w:bookmarkStart w:id="0" w:name="responsible-ai-in-academic-research"/>
      <w:r>
        <w:t>Responsible AI in Academic Research</w:t>
      </w:r>
    </w:p>
    <w:p w14:paraId="42CECC15" w14:textId="77777777" w:rsidR="00170D13" w:rsidRDefault="00000000">
      <w:pPr>
        <w:pStyle w:val="Heading2"/>
      </w:pPr>
      <w:bookmarkStart w:id="1" w:name="X2fb842355ac54787f42696b927d479d64be5772"/>
      <w:r>
        <w:rPr>
          <w:i/>
          <w:iCs/>
        </w:rPr>
        <w:t>A Competency Framework for Research Training</w:t>
      </w:r>
    </w:p>
    <w:p w14:paraId="12781B3F" w14:textId="77777777" w:rsidR="00170D13" w:rsidRDefault="00000000">
      <w:pPr>
        <w:pStyle w:val="InstatsAbstract"/>
      </w:pPr>
      <w: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w:t>
      </w:r>
      <w:proofErr w:type="gramStart"/>
      <w:r>
        <w:t>actually train</w:t>
      </w:r>
      <w:proofErr w:type="gramEnd"/>
      <w:r>
        <w:t xml:space="preserve">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14:paraId="24B9FCA8" w14:textId="77777777" w:rsidR="00170D13" w:rsidRDefault="00000000">
      <w:pPr>
        <w:pStyle w:val="BodyText"/>
      </w:pPr>
      <w:r>
        <w:rPr>
          <w:b/>
          <w:bCs/>
        </w:rPr>
        <w:t>Michael J. Zyphur, PhD</w:t>
      </w:r>
      <w:r>
        <w:t xml:space="preserve"> </w:t>
      </w:r>
      <w:proofErr w:type="gramStart"/>
      <w:r>
        <w:t>Instats  ·</w:t>
      </w:r>
      <w:proofErr w:type="gramEnd"/>
      <w:r>
        <w:t xml:space="preserve">  </w:t>
      </w:r>
      <w:hyperlink r:id="rId7">
        <w:r w:rsidR="00170D13">
          <w:rPr>
            <w:rStyle w:val="Hyperlink1"/>
          </w:rPr>
          <w:t>instats.org</w:t>
        </w:r>
      </w:hyperlink>
      <w:r>
        <w:t xml:space="preserve">  ·  </w:t>
      </w:r>
      <w:hyperlink r:id="rId8">
        <w:r w:rsidR="00170D13">
          <w:rPr>
            <w:rStyle w:val="Hyperlink1"/>
          </w:rPr>
          <w:t>support@instats.org</w:t>
        </w:r>
      </w:hyperlink>
    </w:p>
    <w:p w14:paraId="0E1E786D" w14:textId="77777777" w:rsidR="00170D13" w:rsidRDefault="00000000">
      <w:pPr>
        <w:pStyle w:val="BodyText"/>
      </w:pPr>
      <w:r>
        <w:t>INSTATS-PS-2026-04</w:t>
      </w:r>
    </w:p>
    <w:p w14:paraId="41FE9456" w14:textId="77777777" w:rsidR="00170D13" w:rsidRDefault="00000000">
      <w:pPr>
        <w:pStyle w:val="InstatsCoverBand"/>
      </w:pPr>
      <w:r>
        <w:t>INSTATS-PS-2026-04</w:t>
      </w:r>
    </w:p>
    <w:p w14:paraId="5E8D7D8F" w14:textId="77777777" w:rsidR="00170D13" w:rsidRDefault="00000000">
      <w:pPr>
        <w:pStyle w:val="InstatsColophon"/>
      </w:pPr>
      <w:r>
        <w:rPr>
          <w:b/>
          <w:bCs/>
        </w:rPr>
        <w:t>Citation.</w:t>
      </w:r>
      <w:r>
        <w:t xml:space="preserve"> Zyphur, M. J. (2026). </w:t>
      </w:r>
      <w:r>
        <w:rPr>
          <w:i/>
          <w:iCs/>
        </w:rPr>
        <w:t>Responsible AI in Academic Research: A Competency Framework for Research Training.</w:t>
      </w:r>
      <w:r>
        <w:t xml:space="preserve"> Instats Policy Series. </w:t>
      </w:r>
      <w:hyperlink r:id="rId9">
        <w:r w:rsidR="00170D13">
          <w:rPr>
            <w:rStyle w:val="Hyperlink1"/>
          </w:rPr>
          <w:t>github.com/</w:t>
        </w:r>
        <w:proofErr w:type="spellStart"/>
        <w:r w:rsidR="00170D13">
          <w:rPr>
            <w:rStyle w:val="Hyperlink1"/>
          </w:rPr>
          <w:t>mzyphur</w:t>
        </w:r>
        <w:proofErr w:type="spellEnd"/>
        <w:r w:rsidR="00170D13">
          <w:rPr>
            <w:rStyle w:val="Hyperlink1"/>
          </w:rPr>
          <w:t>/responsible-ai-in-research-training</w:t>
        </w:r>
      </w:hyperlink>
      <w:r>
        <w:t xml:space="preserve">. ORCID: </w:t>
      </w:r>
      <w:hyperlink r:id="rId10">
        <w:r w:rsidR="00170D13">
          <w:rPr>
            <w:rStyle w:val="Hyperlink1"/>
          </w:rPr>
          <w:t>0000-0003-3237-7892</w:t>
        </w:r>
      </w:hyperlink>
      <w:r>
        <w:t>. DOI: 10.61700/t31oy23grr.</w:t>
      </w:r>
    </w:p>
    <w:p w14:paraId="7516BA60" w14:textId="77777777" w:rsidR="00170D13" w:rsidRDefault="00000000">
      <w:pPr>
        <w:pStyle w:val="InstatsColophon"/>
      </w:pPr>
      <w:r>
        <w:rPr>
          <w:b/>
          <w:bCs/>
        </w:rPr>
        <w:lastRenderedPageBreak/>
        <w:t>Available as</w:t>
      </w:r>
      <w:r>
        <w:t xml:space="preserve"> </w:t>
      </w:r>
      <w:r>
        <w:rPr>
          <w:b/>
          <w:bCs/>
        </w:rPr>
        <w:t>HTML</w:t>
      </w:r>
      <w:r>
        <w:t xml:space="preserve"> (</w:t>
      </w:r>
      <w:hyperlink r:id="rId11">
        <w:r w:rsidR="00170D13">
          <w:rPr>
            <w:rStyle w:val="Hyperlink1"/>
          </w:rPr>
          <w:t>read online</w:t>
        </w:r>
      </w:hyperlink>
      <w:r>
        <w:t xml:space="preserve">), </w:t>
      </w:r>
      <w:r>
        <w:rPr>
          <w:b/>
          <w:bCs/>
        </w:rPr>
        <w:t>PDF</w:t>
      </w:r>
      <w:r>
        <w:t xml:space="preserve"> (</w:t>
      </w:r>
      <w:hyperlink r:id="rId12">
        <w:r w:rsidR="00170D13">
          <w:rPr>
            <w:rStyle w:val="Hyperlink1"/>
          </w:rPr>
          <w:t>direct download</w:t>
        </w:r>
      </w:hyperlink>
      <w:r>
        <w:t xml:space="preserve">), </w:t>
      </w:r>
      <w:r>
        <w:rPr>
          <w:b/>
          <w:bCs/>
        </w:rPr>
        <w:t>Word</w:t>
      </w:r>
      <w:r>
        <w:t xml:space="preserve"> (</w:t>
      </w:r>
      <w:hyperlink r:id="rId13">
        <w:r w:rsidR="00170D13">
          <w:rPr>
            <w:rStyle w:val="Hyperlink1"/>
          </w:rPr>
          <w:t>direct download</w:t>
        </w:r>
      </w:hyperlink>
      <w:r>
        <w:t xml:space="preserve">), and </w:t>
      </w:r>
      <w:r>
        <w:rPr>
          <w:b/>
          <w:bCs/>
        </w:rPr>
        <w:t>source repository</w:t>
      </w:r>
      <w:r>
        <w:t xml:space="preserve"> (</w:t>
      </w:r>
      <w:hyperlink r:id="rId14">
        <w:r w:rsidR="00170D13">
          <w:rPr>
            <w:rStyle w:val="Hyperlink1"/>
          </w:rPr>
          <w:t>GitHub</w:t>
        </w:r>
      </w:hyperlink>
      <w:r>
        <w:t>).</w:t>
      </w:r>
    </w:p>
    <w:p w14:paraId="03F8F681" w14:textId="77777777" w:rsidR="00170D13" w:rsidRDefault="00000000">
      <w:pPr>
        <w:pStyle w:val="InstatsColophon"/>
      </w:pPr>
      <w:r>
        <w:rPr>
          <w:b/>
          <w:bCs/>
        </w:rPr>
        <w:t>License.</w:t>
      </w:r>
      <w:r>
        <w:t xml:space="preserve"> © 2026 Instats. Licensed under Creative Commons Attribution-</w:t>
      </w:r>
      <w:proofErr w:type="spellStart"/>
      <w:r>
        <w:t>NonCommercial</w:t>
      </w:r>
      <w:proofErr w:type="spellEnd"/>
      <w:r>
        <w:t>-</w:t>
      </w:r>
      <w:proofErr w:type="spellStart"/>
      <w:r>
        <w:t>NoDerivatives</w:t>
      </w:r>
      <w:proofErr w:type="spellEnd"/>
      <w:r>
        <w:t xml:space="preserve"> 4.0 International (CC BY-NC-ND 4.0): share in full, with attribution, for non-commercial purposes; no adapted or modified redistribution; commercial reuse by written permission from Instats.</w:t>
      </w:r>
    </w:p>
    <w:p w14:paraId="01156F7C" w14:textId="77777777" w:rsidR="00170D13" w:rsidRDefault="00000000">
      <w:pPr>
        <w:pStyle w:val="InstatsExecBand"/>
      </w:pPr>
      <w:r>
        <w:t>Executive summary</w:t>
      </w:r>
      <w:bookmarkEnd w:id="1"/>
    </w:p>
    <w:p w14:paraId="2E629980" w14:textId="77777777" w:rsidR="00170D13" w:rsidRDefault="00000000">
      <w:pPr>
        <w:pStyle w:val="Heading2"/>
        <w:shd w:val="clear" w:color="auto" w:fill="F5F5F7"/>
      </w:pPr>
      <w:bookmarkStart w:id="2" w:name="the-finding"/>
      <w:r>
        <w:t>The finding</w:t>
      </w:r>
    </w:p>
    <w:p w14:paraId="17A798D9" w14:textId="77777777" w:rsidR="00170D13" w:rsidRDefault="00000000">
      <w:pPr>
        <w:pStyle w:val="InstatsExecBand"/>
      </w:pPr>
      <w:r>
        <w:t xml:space="preserve">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w:t>
      </w:r>
      <w:proofErr w:type="spellStart"/>
      <w:r>
        <w:t>AILit</w:t>
      </w:r>
      <w:proofErr w:type="spellEnd"/>
      <w:r>
        <w:t xml:space="preserve"> Framework, the Council of Graduate Schools and INRS Global Action Agenda, the US National Academies’ five-principles editorial.</w:t>
      </w:r>
    </w:p>
    <w:p w14:paraId="139F778B" w14:textId="77777777" w:rsidR="00170D13" w:rsidRDefault="00000000">
      <w:pPr>
        <w:pStyle w:val="InstatsExecBand"/>
      </w:pPr>
      <w:r>
        <w:t xml:space="preserve">Universities themselves — the institutions that </w:t>
      </w:r>
      <w:proofErr w:type="gramStart"/>
      <w:r>
        <w:t>actually train</w:t>
      </w:r>
      <w:proofErr w:type="gramEnd"/>
      <w:r>
        <w:t xml:space="preserve"> PhD researchers — have not caught up. Across thirty-eight top-tier doctoral universities in fifteen countries and jurisdictions, the modal institutional posture in 2026 is an AI-</w:t>
      </w:r>
      <w:r>
        <w:lastRenderedPageBreak/>
        <w:t>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14:paraId="67B9BBE4" w14:textId="77777777" w:rsidR="00170D13" w:rsidRDefault="00000000">
      <w:pPr>
        <w:pStyle w:val="InstatsExecBand"/>
      </w:pPr>
      <w:r>
        <w:t>LLMs are best understood as agentic research tools: task-directed systems that produce usable outputs, in the same family as statistical packages, transcription engines, code-generation assistants, and data-cleaning pipelines. They mimic human writing as a potential feature, not as their primary research function. The right question of any such tool is not who wrote the output but whether the use is ethical, valid, reproducible, and transparent. No one treats SPSS output as plagiarism when it appears in a manuscript. No one treats Whisper-transcribed interviews as fraudulent so long as the researcher verifies them against the audio. The institutional move to treat AI use as a plagiarism question is a category error driven by surface mimicry rather than underlying function. This category error has three concrete consequences for institutional practice:</w:t>
      </w:r>
    </w:p>
    <w:p w14:paraId="5B69F859" w14:textId="77777777" w:rsidR="00170D13" w:rsidRDefault="00000000">
      <w:pPr>
        <w:pStyle w:val="InstatsExecBand"/>
        <w:numPr>
          <w:ilvl w:val="0"/>
          <w:numId w:val="7"/>
        </w:numPr>
      </w:pPr>
      <w:r>
        <w:rPr>
          <w:i/>
          <w:iCs/>
        </w:rPr>
        <w:t>Responsible AI use is a research-integrity question, not an academic-integrity question.</w:t>
      </w:r>
      <w:r>
        <w:t xml:space="preserve"> Framing responsible AI use at the PhD level as a plagiarism issue </w:t>
      </w:r>
      <w:r>
        <w:lastRenderedPageBreak/>
        <w:t>treats student conduct in the form of writing as the central issue rather than the validity, replicability, and ethical defensibility of AI-augmented research itself. Reproducibility, hallucination, validation, and adversarial-review competencies are research-integrity competencies. None of them is reducible to “do not present AI output as your own.”</w:t>
      </w:r>
    </w:p>
    <w:p w14:paraId="0B6960C0" w14:textId="77777777" w:rsidR="00170D13" w:rsidRDefault="00000000">
      <w:pPr>
        <w:pStyle w:val="InstatsExecBand"/>
        <w:numPr>
          <w:ilvl w:val="0"/>
          <w:numId w:val="7"/>
        </w:numPr>
      </w:pPr>
      <w:r>
        <w:rPr>
          <w:i/>
          <w:iCs/>
        </w:rPr>
        <w:t>AI literacy at the PhD level is not a tooling-skills problem; it is a judgement problem.</w:t>
      </w:r>
      <w:r>
        <w:t xml:space="preserve"> The competency that distinguishes defensible from indefensible AI-augmented research is not which tool researchers can use, but which research tasks the researchers decide to give AI, which ones they decide to keep, and how they verify whichever side carries the AI contribution. Tools change every six months; the judgement does not.</w:t>
      </w:r>
    </w:p>
    <w:p w14:paraId="64B1673C" w14:textId="77777777" w:rsidR="00170D13" w:rsidRDefault="00000000">
      <w:pPr>
        <w:pStyle w:val="InstatsExecBand"/>
        <w:numPr>
          <w:ilvl w:val="0"/>
          <w:numId w:val="7"/>
        </w:numPr>
      </w:pPr>
      <w:r>
        <w:rPr>
          <w:i/>
          <w:iCs/>
        </w:rPr>
        <w:t>Policy alone is not the competency.</w:t>
      </w:r>
      <w: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14:paraId="04D25F90" w14:textId="77777777" w:rsidR="00170D13" w:rsidRDefault="00000000">
      <w:pPr>
        <w:pStyle w:val="InstatsExecBand"/>
      </w:pPr>
      <w:r>
        <w:t xml:space="preserve">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w:t>
      </w:r>
      <w:proofErr w:type="gramStart"/>
      <w:r>
        <w:t>policies, and</w:t>
      </w:r>
      <w:proofErr w:type="gramEnd"/>
      <w:r>
        <w:t xml:space="preserve"> not bolt-</w:t>
      </w:r>
      <w:proofErr w:type="spellStart"/>
      <w:r>
        <w:t>ons</w:t>
      </w:r>
      <w:proofErr w:type="spellEnd"/>
      <w:r>
        <w:t xml:space="preserve"> to researcher-development frameworks designed for a pre-2022 world. The </w:t>
      </w:r>
      <w:proofErr w:type="gramStart"/>
      <w:r>
        <w:lastRenderedPageBreak/>
        <w:t>ultimate goal</w:t>
      </w:r>
      <w:proofErr w:type="gramEnd"/>
      <w:r>
        <w:t xml:space="preserve"> of such frameworks is excellent research, achieved through excellent research training. The framework measures whether an institution can develop the judgement that separates defensible from indefensible AI use.</w:t>
      </w:r>
    </w:p>
    <w:p w14:paraId="15A8C6F8" w14:textId="77777777" w:rsidR="00170D13" w:rsidRDefault="00000000">
      <w:pPr>
        <w:pStyle w:val="InstatsExecBand"/>
      </w:pPr>
      <w: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14:paraId="06E5DFA7" w14:textId="77777777" w:rsidR="00170D13" w:rsidRDefault="00000000">
      <w:pPr>
        <w:pStyle w:val="InstatsExecBand"/>
      </w:pPr>
      <w:r>
        <w:t>The evidence supports a five-dimension competency framework, a maturity grid for institutional self-diagnosis, and audience-specific recommendations for the five leadership audiences named above.</w:t>
      </w:r>
    </w:p>
    <w:p w14:paraId="3BC1CF0D" w14:textId="77777777" w:rsidR="00170D13" w:rsidRDefault="00000000">
      <w:pPr>
        <w:pStyle w:val="BodyText"/>
      </w:pPr>
      <w:r>
        <w:rPr>
          <w:noProof/>
        </w:rPr>
        <w:lastRenderedPageBreak/>
        <w:drawing>
          <wp:inline distT="0" distB="0" distL="0" distR="0" wp14:anchorId="1761AABE">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5"/>
                    <a:stretch>
                      <a:fillRect/>
                    </a:stretch>
                  </pic:blipFill>
                  <pic:spPr bwMode="auto">
                    <a:xfrm>
                      <a:off x="0" y="0"/>
                      <a:ext cx="5969000" cy="2451735"/>
                    </a:xfrm>
                    <a:prstGeom prst="rect">
                      <a:avLst/>
                    </a:prstGeom>
                    <a:noFill/>
                  </pic:spPr>
                </pic:pic>
              </a:graphicData>
            </a:graphic>
          </wp:inline>
        </w:drawing>
      </w:r>
    </w:p>
    <w:p w14:paraId="15310735" w14:textId="77777777" w:rsidR="00170D13" w:rsidRDefault="00000000">
      <w:pPr>
        <w:pStyle w:val="BodyText"/>
      </w:pPr>
      <w:r>
        <w:rPr>
          <w:b/>
          <w:bCs/>
        </w:rPr>
        <w:t>Figure 1.</w:t>
      </w:r>
      <w:r>
        <w:t xml:space="preserve"> </w:t>
      </w:r>
      <w:r>
        <w:rPr>
          <w:i/>
          <w:iCs/>
        </w:rPr>
        <w:t>Publishers responded in months. National research funders responded over years. Universities still mostly haven’t.</w:t>
      </w:r>
      <w:r>
        <w:t xml:space="preserve"> The six dots in the universities lane are the only six institutions whose AI policies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w:t>
      </w:r>
      <w:r>
        <w:rPr>
          <w:rFonts w:ascii="Inter" w:hAnsi="Inter" w:cs="Inter"/>
          <w:b/>
          <w:color w:val="3092B1"/>
          <w:position w:val="8"/>
          <w:sz w:val="18"/>
          <w:szCs w:val="18"/>
          <w:vertAlign w:val="superscript"/>
        </w:rPr>
        <w:footnoteReference w:id="1"/>
      </w:r>
      <w:bookmarkEnd w:id="0"/>
      <w:bookmarkEnd w:id="2"/>
    </w:p>
    <w:p w14:paraId="14EE3BCC" w14:textId="77777777" w:rsidR="00170D13" w:rsidRDefault="00000000">
      <w:pPr>
        <w:pStyle w:val="Heading1"/>
      </w:pPr>
      <w:bookmarkStart w:id="3" w:name="contents"/>
      <w:r>
        <w:t>Contents</w:t>
      </w:r>
    </w:p>
    <w:p w14:paraId="1278B5C9" w14:textId="77777777" w:rsidR="00170D13" w:rsidRDefault="00170D13">
      <w:pPr>
        <w:pStyle w:val="Heading4"/>
      </w:pPr>
      <w:hyperlink w:anchor="the-finding">
        <w:bookmarkStart w:id="4" w:name="executive-summary"/>
        <w:r>
          <w:rPr>
            <w:rStyle w:val="Hyperlink1"/>
          </w:rPr>
          <w:t>Executive summary</w:t>
        </w:r>
      </w:hyperlink>
      <w:bookmarkEnd w:id="4"/>
    </w:p>
    <w:p w14:paraId="3BE2AE18" w14:textId="77777777" w:rsidR="00170D13" w:rsidRDefault="00170D13">
      <w:pPr>
        <w:pStyle w:val="Heading4"/>
      </w:pPr>
      <w:hyperlink w:anchor="part-1-the-factual-baseline-1">
        <w:bookmarkStart w:id="5" w:name="part-1-the-factual-baseline"/>
        <w:r>
          <w:rPr>
            <w:rStyle w:val="Hyperlink1"/>
          </w:rPr>
          <w:t>Part 1 — The factual baseline</w:t>
        </w:r>
      </w:hyperlink>
    </w:p>
    <w:p w14:paraId="023DB2E7" w14:textId="77777777" w:rsidR="00170D13" w:rsidRDefault="00170D13">
      <w:pPr>
        <w:pStyle w:val="Compact"/>
        <w:numPr>
          <w:ilvl w:val="0"/>
          <w:numId w:val="7"/>
        </w:numPr>
      </w:pPr>
      <w:hyperlink w:anchor="X25f912980d44fa8a235942a34c9340eb32a665f">
        <w:r>
          <w:rPr>
            <w:rStyle w:val="Hyperlink1"/>
          </w:rPr>
          <w:t>1.1   The shift in research practice, 2022 to 2026</w:t>
        </w:r>
      </w:hyperlink>
    </w:p>
    <w:p w14:paraId="1404F5C7" w14:textId="77777777" w:rsidR="00170D13" w:rsidRDefault="00170D13">
      <w:pPr>
        <w:pStyle w:val="Compact"/>
        <w:numPr>
          <w:ilvl w:val="0"/>
          <w:numId w:val="7"/>
        </w:numPr>
      </w:pPr>
      <w:hyperlink w:anchor="X2560ded8103a952a7c82b7b0eaacab37c19c5b3">
        <w:r>
          <w:rPr>
            <w:rStyle w:val="Hyperlink1"/>
          </w:rPr>
          <w:t>1.2</w:t>
        </w:r>
        <w:proofErr w:type="gramStart"/>
        <w:r>
          <w:rPr>
            <w:rStyle w:val="Hyperlink1"/>
          </w:rPr>
          <w:t xml:space="preserve">   “</w:t>
        </w:r>
        <w:proofErr w:type="gramEnd"/>
        <w:r>
          <w:rPr>
            <w:rStyle w:val="Hyperlink1"/>
          </w:rPr>
          <w:t>Responsible AI use” still lacks an operational definition</w:t>
        </w:r>
      </w:hyperlink>
    </w:p>
    <w:p w14:paraId="1D558D11" w14:textId="77777777" w:rsidR="00170D13" w:rsidRDefault="00170D13">
      <w:pPr>
        <w:pStyle w:val="Compact"/>
        <w:numPr>
          <w:ilvl w:val="0"/>
          <w:numId w:val="7"/>
        </w:numPr>
      </w:pPr>
      <w:hyperlink w:anchor="the-institutional-baseline-in-2026">
        <w:r>
          <w:rPr>
            <w:rStyle w:val="Hyperlink1"/>
          </w:rPr>
          <w:t>1.3   The institutional baseline in 2026</w:t>
        </w:r>
      </w:hyperlink>
      <w:bookmarkEnd w:id="5"/>
    </w:p>
    <w:p w14:paraId="76119160" w14:textId="77777777" w:rsidR="00170D13" w:rsidRDefault="00170D13">
      <w:pPr>
        <w:pStyle w:val="Heading4"/>
      </w:pPr>
      <w:hyperlink w:anchor="X5539dbe61e1486b6995668c51a0ef1c8e045a94">
        <w:bookmarkStart w:id="6" w:name="X50b37e5fe9ce7efff6f54829b1659bce63095d4"/>
        <w:r>
          <w:rPr>
            <w:rStyle w:val="Hyperlink1"/>
          </w:rPr>
          <w:t>Part 2 — A five-dimension competency framework</w:t>
        </w:r>
      </w:hyperlink>
    </w:p>
    <w:p w14:paraId="1B0305AA" w14:textId="77777777" w:rsidR="00170D13" w:rsidRDefault="00170D13">
      <w:pPr>
        <w:pStyle w:val="Compact"/>
        <w:numPr>
          <w:ilvl w:val="0"/>
          <w:numId w:val="7"/>
        </w:numPr>
      </w:pPr>
      <w:hyperlink w:anchor="Xb0410b896ac7ef6a6cbe20afd8440f8e2e34f1c">
        <w:r>
          <w:rPr>
            <w:rStyle w:val="Hyperlink1"/>
          </w:rPr>
          <w:t>2.1   Dimension 1 — Human-in-the-loop discipline</w:t>
        </w:r>
      </w:hyperlink>
    </w:p>
    <w:p w14:paraId="5DFD12EA" w14:textId="5E8AEAC3" w:rsidR="00170D13" w:rsidRDefault="00170D13">
      <w:pPr>
        <w:pStyle w:val="Compact"/>
        <w:numPr>
          <w:ilvl w:val="0"/>
          <w:numId w:val="7"/>
        </w:numPr>
      </w:pPr>
      <w:hyperlink w:anchor="dimension-2-responsible-use-in-practice">
        <w:r>
          <w:rPr>
            <w:rStyle w:val="Hyperlink1"/>
          </w:rPr>
          <w:t xml:space="preserve">2.2   Dimension 2 — </w:t>
        </w:r>
        <w:r w:rsidR="00C50F0B" w:rsidRPr="00C50F0B">
          <w:rPr>
            <w:rStyle w:val="Hyperlink1"/>
          </w:rPr>
          <w:t xml:space="preserve">Responsible use across the four AI-use </w:t>
        </w:r>
        <w:r w:rsidR="00C50F0B" w:rsidRPr="00C50F0B">
          <w:rPr>
            <w:rStyle w:val="Hyperlink1"/>
          </w:rPr>
          <w:t>m</w:t>
        </w:r>
        <w:r w:rsidR="00C50F0B" w:rsidRPr="00C50F0B">
          <w:rPr>
            <w:rStyle w:val="Hyperlink1"/>
          </w:rPr>
          <w:t>odes</w:t>
        </w:r>
      </w:hyperlink>
    </w:p>
    <w:p w14:paraId="50CB71C6" w14:textId="77777777" w:rsidR="00170D13" w:rsidRDefault="00170D13">
      <w:pPr>
        <w:pStyle w:val="Compact"/>
        <w:numPr>
          <w:ilvl w:val="0"/>
          <w:numId w:val="7"/>
        </w:numPr>
      </w:pPr>
      <w:hyperlink w:anchor="X805c1c6013402fdf28df478a2e33eeb31711dbe">
        <w:r>
          <w:rPr>
            <w:rStyle w:val="Hyperlink1"/>
          </w:rPr>
          <w:t>2.3   Dimension 3 — Tooling that promotes responsible use</w:t>
        </w:r>
      </w:hyperlink>
    </w:p>
    <w:p w14:paraId="27D89FCF" w14:textId="77777777" w:rsidR="00170D13" w:rsidRDefault="00170D13">
      <w:pPr>
        <w:pStyle w:val="Compact"/>
        <w:numPr>
          <w:ilvl w:val="0"/>
          <w:numId w:val="7"/>
        </w:numPr>
      </w:pPr>
      <w:hyperlink w:anchor="dimension-4-ai-literate-humans">
        <w:r>
          <w:rPr>
            <w:rStyle w:val="Hyperlink1"/>
          </w:rPr>
          <w:t>2.4   Dimension 4 — AI-literate humans</w:t>
        </w:r>
      </w:hyperlink>
    </w:p>
    <w:p w14:paraId="3C778ABC" w14:textId="77777777" w:rsidR="00170D13" w:rsidRDefault="00170D13">
      <w:pPr>
        <w:pStyle w:val="Compact"/>
        <w:numPr>
          <w:ilvl w:val="0"/>
          <w:numId w:val="7"/>
        </w:numPr>
      </w:pPr>
      <w:hyperlink w:anchor="X04c51b46a89726e63cb47cb909f3f41f147c501">
        <w:r>
          <w:rPr>
            <w:rStyle w:val="Hyperlink1"/>
          </w:rPr>
          <w:t>2.5   Dimension 5 — Institutional benchmarking grid</w:t>
        </w:r>
      </w:hyperlink>
      <w:bookmarkEnd w:id="6"/>
    </w:p>
    <w:p w14:paraId="51123386" w14:textId="77777777" w:rsidR="00170D13" w:rsidRDefault="00170D13">
      <w:pPr>
        <w:pStyle w:val="Heading4"/>
      </w:pPr>
      <w:hyperlink w:anchor="Xd1a73a0edba9ddda1e0d20cf1ed0ad021cf16f3">
        <w:bookmarkStart w:id="7" w:name="Xdc77c75a62b621fcf7c8fe71c969742e2e32c4d"/>
        <w:r>
          <w:rPr>
            <w:rStyle w:val="Hyperlink1"/>
          </w:rPr>
          <w:t>Part 3 — What the international evidence shows</w:t>
        </w:r>
      </w:hyperlink>
    </w:p>
    <w:p w14:paraId="424F84BB" w14:textId="77777777" w:rsidR="00170D13" w:rsidRDefault="00170D13">
      <w:pPr>
        <w:pStyle w:val="Compact"/>
        <w:numPr>
          <w:ilvl w:val="0"/>
          <w:numId w:val="7"/>
        </w:numPr>
      </w:pPr>
      <w:hyperlink w:anchor="national-research-funder-positions">
        <w:r>
          <w:rPr>
            <w:rStyle w:val="Hyperlink1"/>
          </w:rPr>
          <w:t>3.1   National research-funder positions</w:t>
        </w:r>
      </w:hyperlink>
    </w:p>
    <w:p w14:paraId="7FA3C6BB" w14:textId="77777777" w:rsidR="00170D13" w:rsidRDefault="00170D13">
      <w:pPr>
        <w:pStyle w:val="Compact"/>
        <w:numPr>
          <w:ilvl w:val="0"/>
          <w:numId w:val="7"/>
        </w:numPr>
      </w:pPr>
      <w:hyperlink w:anchor="X02ed1aa3513dc0bebac80dd57b4494edf619a91">
        <w:r>
          <w:rPr>
            <w:rStyle w:val="Hyperlink1"/>
          </w:rPr>
          <w:t>3.2   Top-tier university institutional policies</w:t>
        </w:r>
      </w:hyperlink>
    </w:p>
    <w:p w14:paraId="490BFB1B" w14:textId="77777777" w:rsidR="00170D13" w:rsidRDefault="00170D13">
      <w:pPr>
        <w:pStyle w:val="Compact"/>
        <w:numPr>
          <w:ilvl w:val="0"/>
          <w:numId w:val="7"/>
        </w:numPr>
      </w:pPr>
      <w:hyperlink w:anchor="publisher-and-journal-policies">
        <w:r>
          <w:rPr>
            <w:rStyle w:val="Hyperlink1"/>
          </w:rPr>
          <w:t>3.3   Publisher and journal policies</w:t>
        </w:r>
      </w:hyperlink>
    </w:p>
    <w:p w14:paraId="6BAD085B" w14:textId="77777777" w:rsidR="00170D13" w:rsidRDefault="00170D13">
      <w:pPr>
        <w:pStyle w:val="Compact"/>
        <w:numPr>
          <w:ilvl w:val="0"/>
          <w:numId w:val="7"/>
        </w:numPr>
      </w:pPr>
      <w:hyperlink w:anchor="Xca4da2d26c3d4406d6d5f02dafc313a2e0f1372">
        <w:r>
          <w:rPr>
            <w:rStyle w:val="Hyperlink1"/>
          </w:rPr>
          <w:t>3.4   Existing AI-literacy and researcher-development frameworks</w:t>
        </w:r>
      </w:hyperlink>
      <w:bookmarkEnd w:id="7"/>
    </w:p>
    <w:p w14:paraId="68268B2F" w14:textId="77777777" w:rsidR="00170D13" w:rsidRDefault="00170D13">
      <w:pPr>
        <w:pStyle w:val="Heading4"/>
      </w:pPr>
      <w:hyperlink w:anchor="part-4-the-maturity-grid-1">
        <w:bookmarkStart w:id="8" w:name="part-4-the-maturity-grid"/>
        <w:r>
          <w:rPr>
            <w:rStyle w:val="Hyperlink1"/>
          </w:rPr>
          <w:t>Part 4 — The maturity grid</w:t>
        </w:r>
      </w:hyperlink>
    </w:p>
    <w:p w14:paraId="29B67B25" w14:textId="77777777" w:rsidR="00170D13" w:rsidRDefault="00170D13">
      <w:pPr>
        <w:pStyle w:val="Compact"/>
        <w:numPr>
          <w:ilvl w:val="0"/>
          <w:numId w:val="7"/>
        </w:numPr>
      </w:pPr>
      <w:hyperlink w:anchor="the-five-by-four-grid">
        <w:r>
          <w:rPr>
            <w:rStyle w:val="Hyperlink1"/>
          </w:rPr>
          <w:t>4.1   The five-by-four grid</w:t>
        </w:r>
      </w:hyperlink>
    </w:p>
    <w:p w14:paraId="589EF196" w14:textId="77777777" w:rsidR="00170D13" w:rsidRDefault="00170D13">
      <w:pPr>
        <w:pStyle w:val="Compact"/>
        <w:numPr>
          <w:ilvl w:val="0"/>
          <w:numId w:val="7"/>
        </w:numPr>
      </w:pPr>
      <w:hyperlink w:anchor="what-ready-looks-like-by-dimension">
        <w:r>
          <w:rPr>
            <w:rStyle w:val="Hyperlink1"/>
          </w:rPr>
          <w:t>4.2   What “ready” looks like by dimension</w:t>
        </w:r>
      </w:hyperlink>
    </w:p>
    <w:p w14:paraId="64A6FBB4" w14:textId="77777777" w:rsidR="00170D13" w:rsidRDefault="00170D13">
      <w:pPr>
        <w:pStyle w:val="Compact"/>
        <w:numPr>
          <w:ilvl w:val="0"/>
          <w:numId w:val="7"/>
        </w:numPr>
      </w:pPr>
      <w:hyperlink w:anchor="worked-institutional-examples">
        <w:r>
          <w:rPr>
            <w:rStyle w:val="Hyperlink1"/>
          </w:rPr>
          <w:t>4.3   Worked institutional examples</w:t>
        </w:r>
      </w:hyperlink>
      <w:bookmarkEnd w:id="8"/>
    </w:p>
    <w:p w14:paraId="75131E06" w14:textId="77777777" w:rsidR="00170D13" w:rsidRDefault="00170D13">
      <w:pPr>
        <w:pStyle w:val="Heading4"/>
      </w:pPr>
      <w:hyperlink w:anchor="X84b8053bd241840a3d62bcee5726c3dbee3ed04">
        <w:bookmarkStart w:id="9" w:name="Xade74cb8c91f1bbf3902d8c6c15257bafa8604c"/>
        <w:r>
          <w:rPr>
            <w:rStyle w:val="Hyperlink1"/>
          </w:rPr>
          <w:t>Part 5 — Recommendations for university research leadership</w:t>
        </w:r>
      </w:hyperlink>
    </w:p>
    <w:p w14:paraId="7973D31F" w14:textId="77777777" w:rsidR="00170D13" w:rsidRDefault="00170D13">
      <w:pPr>
        <w:pStyle w:val="Compact"/>
        <w:numPr>
          <w:ilvl w:val="0"/>
          <w:numId w:val="7"/>
        </w:numPr>
      </w:pPr>
      <w:hyperlink w:anchor="for-executive-research-leadership">
        <w:r>
          <w:rPr>
            <w:rStyle w:val="Hyperlink1"/>
          </w:rPr>
          <w:t>5.1   For executive research leadership</w:t>
        </w:r>
      </w:hyperlink>
    </w:p>
    <w:p w14:paraId="6B7751B5" w14:textId="77777777" w:rsidR="00170D13" w:rsidRDefault="00170D13">
      <w:pPr>
        <w:pStyle w:val="Compact"/>
        <w:numPr>
          <w:ilvl w:val="0"/>
          <w:numId w:val="7"/>
        </w:numPr>
      </w:pPr>
      <w:hyperlink w:anchor="Xfe35cd0e7334cb7c73c4edbd7515c9376f22755">
        <w:r>
          <w:rPr>
            <w:rStyle w:val="Hyperlink1"/>
          </w:rPr>
          <w:t>5.2   For faculty deans and associate deans of research</w:t>
        </w:r>
      </w:hyperlink>
    </w:p>
    <w:p w14:paraId="5B8679EC" w14:textId="77777777" w:rsidR="00170D13" w:rsidRDefault="00170D13">
      <w:pPr>
        <w:pStyle w:val="Compact"/>
        <w:numPr>
          <w:ilvl w:val="0"/>
          <w:numId w:val="7"/>
        </w:numPr>
      </w:pPr>
      <w:hyperlink w:anchor="Xc5c7e67c2b686b79a10b44fe001854c04336b11">
        <w:r>
          <w:rPr>
            <w:rStyle w:val="Hyperlink1"/>
          </w:rPr>
          <w:t>5.3   For deans of graduate schools and A/Deans of research training</w:t>
        </w:r>
      </w:hyperlink>
    </w:p>
    <w:p w14:paraId="51004599" w14:textId="77777777" w:rsidR="00170D13" w:rsidRDefault="00170D13">
      <w:pPr>
        <w:pStyle w:val="Compact"/>
        <w:numPr>
          <w:ilvl w:val="0"/>
          <w:numId w:val="7"/>
        </w:numPr>
      </w:pPr>
      <w:hyperlink w:anchor="Xf8e6fc39c3d0ddc0391c79039db452b3c38372d">
        <w:r>
          <w:rPr>
            <w:rStyle w:val="Hyperlink1"/>
          </w:rPr>
          <w:t>5.4   For higher-degrees committees and research-integrity committees</w:t>
        </w:r>
      </w:hyperlink>
    </w:p>
    <w:p w14:paraId="127AE9E2" w14:textId="77777777" w:rsidR="00170D13" w:rsidRDefault="00170D13">
      <w:pPr>
        <w:pStyle w:val="Compact"/>
        <w:numPr>
          <w:ilvl w:val="0"/>
          <w:numId w:val="7"/>
        </w:numPr>
      </w:pPr>
      <w:hyperlink w:anchor="for-peak-bodies-for-graduate-students">
        <w:r>
          <w:rPr>
            <w:rStyle w:val="Hyperlink1"/>
          </w:rPr>
          <w:t>5.5   For peak bodies for graduate students</w:t>
        </w:r>
      </w:hyperlink>
      <w:bookmarkEnd w:id="9"/>
    </w:p>
    <w:p w14:paraId="106B3AC7" w14:textId="77777777" w:rsidR="00170D13" w:rsidRDefault="00170D13">
      <w:pPr>
        <w:pStyle w:val="Heading4"/>
      </w:pPr>
      <w:hyperlink w:anchor="conclusion-1">
        <w:bookmarkStart w:id="10" w:name="conclusion"/>
        <w:r>
          <w:rPr>
            <w:rStyle w:val="Hyperlink1"/>
          </w:rPr>
          <w:t>Conclusion</w:t>
        </w:r>
      </w:hyperlink>
      <w:bookmarkEnd w:id="10"/>
    </w:p>
    <w:p w14:paraId="7CBA9631" w14:textId="77777777" w:rsidR="00170D13" w:rsidRDefault="00170D13">
      <w:pPr>
        <w:pStyle w:val="Heading4"/>
      </w:pPr>
      <w:hyperlink w:anchor="Xe68ee8087a0fb6c54faf307f3bd4ef6aae1293d">
        <w:bookmarkStart w:id="11" w:name="Xacafc5f6c5affb2bcbe0c710c92c025823d84b1"/>
        <w:r>
          <w:rPr>
            <w:rStyle w:val="Hyperlink1"/>
          </w:rPr>
          <w:t>Appendix A — The maturity grid, full version</w:t>
        </w:r>
      </w:hyperlink>
      <w:bookmarkEnd w:id="11"/>
    </w:p>
    <w:p w14:paraId="1D20D4F5" w14:textId="77777777" w:rsidR="00170D13" w:rsidRDefault="00170D13">
      <w:pPr>
        <w:pStyle w:val="Heading4"/>
      </w:pPr>
      <w:hyperlink w:anchor="Xa84783782a8a542074362876906e23e4f0078b9">
        <w:bookmarkStart w:id="12" w:name="Xa4fff6b6df5f7a3b09445c229bc4b09ed80ee37"/>
        <w:r>
          <w:rPr>
            <w:rStyle w:val="Hyperlink1"/>
          </w:rPr>
          <w:t>Appendix B — Country and institutional dossiers</w:t>
        </w:r>
      </w:hyperlink>
      <w:bookmarkEnd w:id="12"/>
    </w:p>
    <w:p w14:paraId="0F9677ED" w14:textId="77777777" w:rsidR="00170D13" w:rsidRDefault="00170D13">
      <w:pPr>
        <w:pStyle w:val="Heading4"/>
      </w:pPr>
      <w:hyperlink w:anchor="appendix-c-glossary-of-ai-tool-classes-1">
        <w:bookmarkStart w:id="13" w:name="appendix-c-glossary-of-ai-tool-classes"/>
        <w:r>
          <w:rPr>
            <w:rStyle w:val="Hyperlink1"/>
          </w:rPr>
          <w:t>Appendix C — Glossary of AI tool classes</w:t>
        </w:r>
      </w:hyperlink>
      <w:bookmarkEnd w:id="13"/>
    </w:p>
    <w:p w14:paraId="1A836610" w14:textId="77777777" w:rsidR="00170D13" w:rsidRDefault="00170D13">
      <w:pPr>
        <w:pStyle w:val="Heading4"/>
      </w:pPr>
      <w:hyperlink w:anchor="appendix-d-about-this-report-1">
        <w:bookmarkStart w:id="14" w:name="appendix-d-about-this-report"/>
        <w:r>
          <w:rPr>
            <w:rStyle w:val="Hyperlink1"/>
          </w:rPr>
          <w:t>Appendix D — About this report</w:t>
        </w:r>
      </w:hyperlink>
      <w:bookmarkEnd w:id="14"/>
    </w:p>
    <w:p w14:paraId="3DEF38AC" w14:textId="77777777" w:rsidR="00170D13" w:rsidRDefault="00170D13">
      <w:pPr>
        <w:pStyle w:val="Heading4"/>
      </w:pPr>
      <w:hyperlink w:anchor="appendix-e-sources-1">
        <w:bookmarkStart w:id="15" w:name="appendix-e-sources"/>
        <w:r>
          <w:rPr>
            <w:rStyle w:val="Hyperlink1"/>
          </w:rPr>
          <w:t>Appendix E — Sources</w:t>
        </w:r>
      </w:hyperlink>
      <w:bookmarkEnd w:id="15"/>
    </w:p>
    <w:p w14:paraId="1D5DF58E" w14:textId="77777777" w:rsidR="00170D13" w:rsidRDefault="00170D13">
      <w:pPr>
        <w:pStyle w:val="Heading4"/>
      </w:pPr>
      <w:hyperlink w:anchor="appendix-f-regional-adaptation-note-1">
        <w:bookmarkStart w:id="16" w:name="appendix-f-regional-adaptation-note"/>
        <w:r>
          <w:rPr>
            <w:rStyle w:val="Hyperlink1"/>
          </w:rPr>
          <w:t>Appendix F — Regional-adaptation note</w:t>
        </w:r>
      </w:hyperlink>
      <w:bookmarkEnd w:id="16"/>
    </w:p>
    <w:p w14:paraId="38A1FE9C" w14:textId="77777777" w:rsidR="00170D13" w:rsidRDefault="00170D13">
      <w:pPr>
        <w:pStyle w:val="Heading4"/>
      </w:pPr>
      <w:hyperlink w:anchor="X17285a873e63ccb0cca26e646af65800f47b2e1">
        <w:bookmarkStart w:id="17" w:name="X62e7b9ee26ca01e0177273e17f9dc12e4526de9"/>
        <w:r>
          <w:rPr>
            <w:rStyle w:val="Hyperlink1"/>
          </w:rPr>
          <w:t xml:space="preserve">Appendix G — </w:t>
        </w:r>
        <w:proofErr w:type="spellStart"/>
        <w:r>
          <w:rPr>
            <w:rStyle w:val="Hyperlink1"/>
          </w:rPr>
          <w:t>Labour</w:t>
        </w:r>
        <w:proofErr w:type="spellEnd"/>
        <w:r>
          <w:rPr>
            <w:rStyle w:val="Hyperlink1"/>
          </w:rPr>
          <w:t>-vs-judgement task taxonomy</w:t>
        </w:r>
      </w:hyperlink>
    </w:p>
    <w:p w14:paraId="39B17F17" w14:textId="77777777" w:rsidR="00170D13" w:rsidRDefault="00000000">
      <w:r>
        <w:rPr>
          <w:noProof/>
        </w:rPr>
        <mc:AlternateContent>
          <mc:Choice Requires="wps">
            <w:drawing>
              <wp:inline distT="0" distB="0" distL="0" distR="0" wp14:anchorId="18DFED14">
                <wp:extent cx="5972810" cy="19050"/>
                <wp:effectExtent l="0" t="0" r="0" b="0"/>
                <wp:docPr id="2" name="Rectangle 2"/>
                <wp:cNvGraphicFramePr/>
                <a:graphic xmlns:a="http://schemas.openxmlformats.org/drawingml/2006/main">
                  <a:graphicData uri="http://schemas.microsoft.com/office/word/2010/wordprocessingShape">
                    <wps:wsp>
                      <wps:cNvSpPr/>
                      <wps:spPr>
                        <a:xfrm>
                          <a:off x="0" y="0"/>
                          <a:ext cx="5972760" cy="19080"/>
                        </a:xfrm>
                        <a:prstGeom prst="rect">
                          <a:avLst/>
                        </a:prstGeom>
                        <a:solidFill>
                          <a:srgbClr val="FFFFFF"/>
                        </a:solidFill>
                        <a:ln w="0">
                          <a:solidFill>
                            <a:srgbClr val="000000"/>
                          </a:solidFill>
                        </a:ln>
                      </wps:spPr>
                      <wps:bodyPr/>
                    </wps:wsp>
                  </a:graphicData>
                </a:graphic>
              </wp:inline>
            </w:drawing>
          </mc:Choice>
          <mc:Fallback>
            <w:pict>
              <v:rect w14:anchorId="4E5AB530" id="Rectangle 2" o:spid="_x0000_s1026" style="width:470.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" strokeweight="0">
                <w10:anchorlock/>
              </v:rect>
            </w:pict>
          </mc:Fallback>
        </mc:AlternateContent>
      </w:r>
      <w:bookmarkEnd w:id="17"/>
    </w:p>
    <w:p w14:paraId="696555B7" w14:textId="77777777" w:rsidR="00170D13" w:rsidRDefault="00000000">
      <w:pPr>
        <w:pStyle w:val="Heading2"/>
      </w:pPr>
      <w:bookmarkStart w:id="18" w:name="part-1-the-factual-baseline-1"/>
      <w:r>
        <w:t>Part 1 — The factual baseline</w:t>
      </w:r>
    </w:p>
    <w:p w14:paraId="6F964ECE" w14:textId="77777777" w:rsidR="00170D13" w:rsidRDefault="00000000">
      <w:pPr>
        <w:pStyle w:val="Heading3"/>
      </w:pPr>
      <w:bookmarkStart w:id="19" w:name="X25f912980d44fa8a235942a34c9340eb32a665f"/>
      <w:r>
        <w:t>1.1 The shift in research practice, 2022 to 2026</w:t>
      </w:r>
    </w:p>
    <w:p w14:paraId="745A224E" w14:textId="77777777" w:rsidR="00170D13" w:rsidRDefault="00000000">
      <w:pPr>
        <w:pStyle w:val="FirstParagraph"/>
      </w:pPr>
      <w:r>
        <w:t xml:space="preserve">ChatGPT-3.5 launched for broad public use on 30 November 2022. By the end of the first quarter of 2023, every major academic publisher had a position on AI co-authorship: Nature on 24 January, </w:t>
      </w:r>
      <w:r>
        <w:rPr>
          <w:i/>
          <w:iCs/>
        </w:rPr>
        <w:t>Science</w:t>
      </w:r>
      <w:r>
        <w:t xml:space="preserve"> on 26 January, JAMA in February, </w:t>
      </w:r>
      <w:proofErr w:type="spellStart"/>
      <w:r>
        <w:t>arXiv</w:t>
      </w:r>
      <w:proofErr w:type="spellEnd"/>
      <w:r>
        <w:t xml:space="preserve">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14:paraId="40E2F2B6" w14:textId="77777777" w:rsidR="00170D13" w:rsidRDefault="00000000">
      <w:pPr>
        <w:pStyle w:val="BodyText"/>
      </w:pPr>
      <w:r>
        <w:lastRenderedPageBreak/>
        <w:t>The policy speed was unusually fast compared with the years-long convergence of prior publisher-policy adoptions on other issues.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14:paraId="5D860B01" w14:textId="77777777" w:rsidR="00170D13" w:rsidRDefault="00000000">
      <w:pPr>
        <w:pStyle w:val="BodyText"/>
      </w:pPr>
      <w:r>
        <w:t xml:space="preserve">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w:t>
      </w:r>
      <w:proofErr w:type="spellStart"/>
      <w:r>
        <w:t>Organisation</w:t>
      </w:r>
      <w:proofErr w:type="spellEnd"/>
      <w:r>
        <w:t xml:space="preserve">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14:paraId="7A610BDD" w14:textId="77777777" w:rsidR="00170D13" w:rsidRDefault="00000000">
      <w:pPr>
        <w:pStyle w:val="BodyText"/>
      </w:pPr>
      <w:r>
        <w:t xml:space="preserve">In the same window, the underlying research practice changed. Nature’s 2023 and 2024 surveys of researcher AI use, the AAU and APLU joint studies on graduate-student AI </w:t>
      </w:r>
      <w:proofErr w:type="spellStart"/>
      <w:r>
        <w:t>behaviour</w:t>
      </w:r>
      <w:proofErr w:type="spellEnd"/>
      <w:r>
        <w:t xml:space="preserve">, and discipline-specific journal-wide reviews together describe a shift from a curiosity question in 2023 to an embedded-practice question by 2025. AI assistance is now part of literature review at scale, part of code-development at scale, part of </w:t>
      </w:r>
      <w:r>
        <w:lastRenderedPageBreak/>
        <w:t xml:space="preserve">drafting at scale, and increasingly part of statistical reasoning and methodological design at scale. The </w:t>
      </w:r>
      <w:proofErr w:type="spellStart"/>
      <w:r>
        <w:t>arXiv</w:t>
      </w:r>
      <w:proofErr w:type="spellEnd"/>
      <w:r>
        <w:t xml:space="preserve"> preprint server’s own moderation team reported a 72 per cent increase in </w:t>
      </w:r>
      <w:proofErr w:type="spellStart"/>
      <w:r>
        <w:t>arXiv</w:t>
      </w:r>
      <w:proofErr w:type="spellEnd"/>
      <w:r>
        <w:t xml:space="preserve"> submissions that may be partly AI-written between ChatGPT’s release and a 2025 internal study.</w:t>
      </w:r>
      <w:r>
        <w:rPr>
          <w:rFonts w:ascii="Inter" w:hAnsi="Inter" w:cs="Inter"/>
          <w:b/>
          <w:color w:val="3092B1"/>
          <w:position w:val="8"/>
          <w:sz w:val="18"/>
          <w:szCs w:val="18"/>
          <w:vertAlign w:val="superscript"/>
        </w:rPr>
        <w:footnoteReference w:id="5"/>
      </w:r>
      <w: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t xml:space="preserve"> The disclosure rate is low, but the trajectory is positive; the gap between how widely AI is used and how rarely that use is disclosed is the structural signal that research practice is outrunning the disclosure regimes built to govern it.</w:t>
      </w:r>
    </w:p>
    <w:p w14:paraId="781109B4" w14:textId="77777777" w:rsidR="00170D13" w:rsidRDefault="00000000">
      <w:pPr>
        <w:pStyle w:val="BodyText"/>
      </w:pPr>
      <w:r>
        <w:t>That is the gap this report addresses: research practice has changed faster than university policy has defined responsible AI use in PhD training, and faster than virtually all academic researchers have been able to cope with in terms of understanding what responsible AI use might look like for their own research and their PhD student supervision practices.</w:t>
      </w:r>
      <w:bookmarkEnd w:id="19"/>
    </w:p>
    <w:p w14:paraId="40AE384D" w14:textId="77777777" w:rsidR="00170D13" w:rsidRDefault="00000000">
      <w:pPr>
        <w:pStyle w:val="Heading3"/>
      </w:pPr>
      <w:bookmarkStart w:id="20" w:name="X2560ded8103a952a7c82b7b0eaacab37c19c5b3"/>
      <w:r>
        <w:t>1.2 “Responsible AI use” still lacks an operational definition</w:t>
      </w:r>
    </w:p>
    <w:p w14:paraId="76B2A9D3" w14:textId="77777777" w:rsidR="00170D13" w:rsidRDefault="00000000">
      <w:pPr>
        <w:pStyle w:val="FirstParagraph"/>
      </w:pPr>
      <w:r>
        <w:t>Five years into the modern AI era, the phrase “responsible AI use” is in every funder policy, every publisher policy, every institutional policy, and every competency framework. The phrase is not in serious dispute. Its operational meaning is.</w:t>
      </w:r>
    </w:p>
    <w:p w14:paraId="3F2A0B46" w14:textId="77777777" w:rsidR="00170D13" w:rsidRDefault="00000000">
      <w:pPr>
        <w:pStyle w:val="BodyText"/>
      </w:pPr>
      <w:r>
        <w:lastRenderedPageBreak/>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t xml:space="preserve"> Both formulations are unobjectionable, but neither tells a PhD candidate or a PhD supervisor what to do on Monday morning when an AI tool returns a plausible-looking citation list, a plausible-looking explanation of a statistical assumption, a plausible-looking interpretation of an experimental result, or a plausible summary of a paper or book.</w:t>
      </w:r>
    </w:p>
    <w:p w14:paraId="4AFF4D6D" w14:textId="77777777" w:rsidR="00170D13" w:rsidRDefault="00000000">
      <w:pPr>
        <w:pStyle w:val="BodyText"/>
      </w:pPr>
      <w: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t xml:space="preserve"> JAMA requires disclosure in three locations, an explicit author affirmation that AI “had no involvement in shaping the intellectual content,” </w:t>
      </w:r>
      <w:r>
        <w:lastRenderedPageBreak/>
        <w:t>and an acknowledgement of the AI tool’s “potential limitations.”</w:t>
      </w:r>
      <w:r>
        <w:rPr>
          <w:rFonts w:ascii="Inter" w:hAnsi="Inter" w:cs="Inter"/>
          <w:b/>
          <w:color w:val="3092B1"/>
          <w:position w:val="8"/>
          <w:sz w:val="18"/>
          <w:szCs w:val="18"/>
          <w:vertAlign w:val="superscript"/>
        </w:rPr>
        <w:footnoteReference w:id="11"/>
      </w:r>
      <w: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t xml:space="preserve"> While the disclosure anchor is clear, the reader must still judge whether the disclosed AI use was responsible, valid, and ethically defensible.</w:t>
      </w:r>
    </w:p>
    <w:p w14:paraId="3F4A3600" w14:textId="77777777" w:rsidR="00170D13" w:rsidRDefault="00000000">
      <w:pPr>
        <w:pStyle w:val="BodyText"/>
      </w:pPr>
      <w:r>
        <w:t xml:space="preserve">The existing AI-literacy literature frames responsibility as principle-based. UNESCO’s AI Competency Framework for Students names “Ethics of AI” as one of four dimensions and </w:t>
      </w:r>
      <w:proofErr w:type="spellStart"/>
      <w:r>
        <w:t>operationalises</w:t>
      </w:r>
      <w:proofErr w:type="spellEnd"/>
      <w:r>
        <w:t xml:space="preserve">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t xml:space="preserve">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w:t>
      </w:r>
      <w:r>
        <w:lastRenderedPageBreak/>
        <w:t>monitoring, oversight, and public engagement.</w:t>
      </w:r>
      <w:r>
        <w:rPr>
          <w:rFonts w:ascii="Inter" w:hAnsi="Inter" w:cs="Inter"/>
          <w:b/>
          <w:color w:val="3092B1"/>
          <w:position w:val="8"/>
          <w:sz w:val="18"/>
          <w:szCs w:val="18"/>
          <w:vertAlign w:val="superscript"/>
        </w:rPr>
        <w:footnoteReference w:id="15"/>
      </w:r>
      <w:r>
        <w:t xml:space="preserve"> All three frameworks specify what responsible AI use looks like in </w:t>
      </w:r>
      <w:r>
        <w:rPr>
          <w:i/>
          <w:iCs/>
        </w:rPr>
        <w:t>principle</w:t>
      </w:r>
      <w:r>
        <w:t xml:space="preserve">. None specifies what it looks like in </w:t>
      </w:r>
      <w:r>
        <w:rPr>
          <w:i/>
          <w:iCs/>
        </w:rPr>
        <w:t>practice</w:t>
      </w:r>
      <w: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14:paraId="1D066AF4" w14:textId="77777777" w:rsidR="00170D13" w:rsidRDefault="00000000">
      <w:pPr>
        <w:pStyle w:val="BodyText"/>
      </w:pPr>
      <w:r>
        <w:t>The vacuum is not the absence of principles. It is the absence of the operational specification between principle and practice. The five-dimension framework in Part 2 is built to be that operational specification.</w:t>
      </w:r>
    </w:p>
    <w:p w14:paraId="1A41DB06" w14:textId="77777777" w:rsidR="00170D13" w:rsidRDefault="00000000">
      <w:pPr>
        <w:pStyle w:val="BodyText"/>
      </w:pPr>
      <w:r>
        <w:t xml:space="preserve">By “responsible,” this report means AI use that is </w:t>
      </w:r>
      <w:r>
        <w:rPr>
          <w:i/>
          <w:iCs/>
        </w:rPr>
        <w:t>ethical, valid, reproducible, and transparent</w:t>
      </w:r>
      <w:r>
        <w:t xml:space="preserve">. These four are not arbitrary; they are the conditions under which AI-augmented research remains research. </w:t>
      </w:r>
      <w:r>
        <w:rPr>
          <w:i/>
          <w:iCs/>
        </w:rPr>
        <w:t>Ethical</w:t>
      </w:r>
      <w:r>
        <w:t xml:space="preserve"> use does not harm research participants, affected communities, or third parties whose data is processed. </w:t>
      </w:r>
      <w:r>
        <w:rPr>
          <w:i/>
          <w:iCs/>
        </w:rPr>
        <w:t>Valid</w:t>
      </w:r>
      <w:r>
        <w:t xml:space="preserve"> use means the inferences AI helps produce meet the same methodological and evidentiary standards as human-produced inferences, including assumption-checking, sensitivity analysis, and replication. </w:t>
      </w:r>
      <w:r>
        <w:rPr>
          <w:i/>
          <w:iCs/>
        </w:rPr>
        <w:t>Reproducible</w:t>
      </w:r>
      <w:r>
        <w:t xml:space="preserve"> use means another researcher with access to the same inputs, prompts, parameters, and tool version can reproduce the output to a stated tolerance. </w:t>
      </w:r>
      <w:r>
        <w:rPr>
          <w:i/>
          <w:iCs/>
        </w:rPr>
        <w:t>Transparent</w:t>
      </w:r>
      <w:r>
        <w:t xml:space="preserve"> use means AI’s role is disclosed with enough specificity for supervisors, examiners, reviewers, and readers to assess it. These four properties are necessary together; no three substitute for the fourth.</w:t>
      </w:r>
      <w:bookmarkEnd w:id="20"/>
    </w:p>
    <w:p w14:paraId="6B7C3A7C" w14:textId="77777777" w:rsidR="00170D13" w:rsidRDefault="00000000">
      <w:pPr>
        <w:pStyle w:val="Heading3"/>
      </w:pPr>
      <w:bookmarkStart w:id="21" w:name="the-institutional-baseline-in-2026"/>
      <w:r>
        <w:t>1.3 The institutional baseline in 2026</w:t>
      </w:r>
    </w:p>
    <w:p w14:paraId="17DCA7ED" w14:textId="77777777" w:rsidR="00170D13" w:rsidRDefault="00000000">
      <w:pPr>
        <w:pStyle w:val="FirstParagraph"/>
      </w:pPr>
      <w:r>
        <w:t xml:space="preserve">Across thirty-eight top-tier doctoral universities in fifteen countries and jurisdictions, institutional AI policies fall into four maturity classes defined by competency scope: </w:t>
      </w:r>
      <w:r>
        <w:lastRenderedPageBreak/>
        <w:t>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14:paraId="0722F2C3" w14:textId="77777777" w:rsidR="00170D13" w:rsidRDefault="00000000">
      <w:pPr>
        <w:pStyle w:val="Compact"/>
        <w:numPr>
          <w:ilvl w:val="0"/>
          <w:numId w:val="7"/>
        </w:numPr>
      </w:pPr>
      <w:r>
        <w:rPr>
          <w:i/>
          <w:iCs/>
        </w:rPr>
        <w:t>Class A — Generic student-conduct policy with an AI clause appended.</w:t>
      </w:r>
      <w: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14:paraId="62C7D723" w14:textId="77777777" w:rsidR="00170D13" w:rsidRDefault="00000000">
      <w:pPr>
        <w:pStyle w:val="Compact"/>
        <w:numPr>
          <w:ilvl w:val="0"/>
          <w:numId w:val="7"/>
        </w:numPr>
      </w:pPr>
      <w:r>
        <w:rPr>
          <w:i/>
          <w:iCs/>
        </w:rPr>
        <w:t>Class B — AI-specific policy on plagiarism only.</w:t>
      </w:r>
      <w: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14:paraId="279551AD" w14:textId="77777777" w:rsidR="00170D13" w:rsidRDefault="00000000">
      <w:pPr>
        <w:pStyle w:val="Compact"/>
        <w:numPr>
          <w:ilvl w:val="0"/>
          <w:numId w:val="7"/>
        </w:numPr>
      </w:pPr>
      <w:r>
        <w:rPr>
          <w:i/>
          <w:iCs/>
        </w:rPr>
        <w:t>Class C — AI-specific policy extending into research integrity and reproducibility.</w:t>
      </w:r>
      <w: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14:paraId="266B2C45" w14:textId="77777777" w:rsidR="00170D13" w:rsidRDefault="00000000">
      <w:pPr>
        <w:pStyle w:val="Compact"/>
        <w:numPr>
          <w:ilvl w:val="0"/>
          <w:numId w:val="7"/>
        </w:numPr>
      </w:pPr>
      <w:r>
        <w:rPr>
          <w:i/>
          <w:iCs/>
        </w:rPr>
        <w:t>Class D — AI-specific policy extending into AI literacy, competency, and examiner discipline.</w:t>
      </w:r>
      <w:r>
        <w:t xml:space="preserve"> Six of the thirty-eight (approximately 16 per cent) sit here. Class C plus </w:t>
      </w:r>
      <w:r>
        <w:lastRenderedPageBreak/>
        <w:t>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14:paraId="788E2569" w14:textId="77777777" w:rsidR="00170D13" w:rsidRDefault="00000000">
      <w:pPr>
        <w:pStyle w:val="FirstParagraph"/>
      </w:pPr>
      <w:r>
        <w:t xml:space="preserve">The cross-country picture is sharper than the within-country picture. The German U15 sample (LMU, Heidelberg, Humboldt-Berlin, RWTH Aachen) clusters tightly at Class C and D, anchored by the pre-existing </w:t>
      </w:r>
      <w:proofErr w:type="spellStart"/>
      <w:r>
        <w:rPr>
          <w:i/>
          <w:iCs/>
        </w:rPr>
        <w:t>eidesstattliche</w:t>
      </w:r>
      <w:proofErr w:type="spellEnd"/>
      <w:r>
        <w:rPr>
          <w:i/>
          <w:iCs/>
        </w:rPr>
        <w:t xml:space="preserve"> Versicherung</w:t>
      </w:r>
      <w: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w:t>
      </w:r>
      <w:r>
        <w:lastRenderedPageBreak/>
        <w:t xml:space="preserve">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w:t>
      </w:r>
      <w:proofErr w:type="gramStart"/>
      <w:r>
        <w:t>university</w:t>
      </w:r>
      <w:proofErr w:type="gramEnd"/>
      <w:r>
        <w:t>-wide AI framework, the first institutional AI policy in the global sample to cover teaching, research, and theses in a single integrated document, while the University of Tokyo, the National University of Singapore, and HKUST sit at Class B.</w:t>
      </w:r>
    </w:p>
    <w:p w14:paraId="003E1EE4" w14:textId="77777777" w:rsidR="00170D13" w:rsidRDefault="00000000">
      <w:pPr>
        <w:pStyle w:val="BodyText"/>
      </w:pPr>
      <w: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14:paraId="6A33B9F6" w14:textId="77777777" w:rsidR="00170D13" w:rsidRDefault="00000000">
      <w:r>
        <w:rPr>
          <w:noProof/>
        </w:rPr>
        <mc:AlternateContent>
          <mc:Choice Requires="wps">
            <w:drawing>
              <wp:inline distT="0" distB="0" distL="0" distR="0" wp14:anchorId="6196D8A1">
                <wp:extent cx="5972810" cy="19050"/>
                <wp:effectExtent l="0" t="0" r="0" b="0"/>
                <wp:docPr id="4" name="Rectangle 4"/>
                <wp:cNvGraphicFramePr/>
                <a:graphic xmlns:a="http://schemas.openxmlformats.org/drawingml/2006/main">
                  <a:graphicData uri="http://schemas.microsoft.com/office/word/2010/wordprocessingShape">
                    <wps:wsp>
                      <wps:cNvSpPr/>
                      <wps:spPr>
                        <a:xfrm>
                          <a:off x="0" y="0"/>
                          <a:ext cx="5972760" cy="19080"/>
                        </a:xfrm>
                        <a:prstGeom prst="rect">
                          <a:avLst/>
                        </a:prstGeom>
                        <a:solidFill>
                          <a:srgbClr val="FFFFFF"/>
                        </a:solidFill>
                        <a:ln w="0">
                          <a:solidFill>
                            <a:srgbClr val="000000"/>
                          </a:solidFill>
                        </a:ln>
                      </wps:spPr>
                      <wps:bodyPr/>
                    </wps:wsp>
                  </a:graphicData>
                </a:graphic>
              </wp:inline>
            </w:drawing>
          </mc:Choice>
          <mc:Fallback>
            <w:pict>
              <v:rect w14:anchorId="74921CA8" id="Rectangle 4" o:spid="_x0000_s1026" style="width:470.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" strokeweight="0">
                <w10:anchorlock/>
              </v:rect>
            </w:pict>
          </mc:Fallback>
        </mc:AlternateContent>
      </w:r>
      <w:bookmarkEnd w:id="18"/>
      <w:bookmarkEnd w:id="21"/>
    </w:p>
    <w:p w14:paraId="5D7207DB" w14:textId="77777777" w:rsidR="00170D13" w:rsidRDefault="00000000">
      <w:pPr>
        <w:pStyle w:val="Heading2"/>
      </w:pPr>
      <w:bookmarkStart w:id="22" w:name="X5539dbe61e1486b6995668c51a0ef1c8e045a94"/>
      <w:r>
        <w:lastRenderedPageBreak/>
        <w:t>Part 2 — A five-dimension competency framework</w:t>
      </w:r>
    </w:p>
    <w:p w14:paraId="7AA43D96" w14:textId="77777777" w:rsidR="00170D13" w:rsidRDefault="00000000">
      <w:pPr>
        <w:pStyle w:val="FirstParagraph"/>
      </w:pPr>
      <w:r>
        <w:t xml:space="preserve">The framework’s five dimensions translate the principles in the existing literature (PNAS Blau et al. 2024; Council of Graduate Schools and </w:t>
      </w:r>
      <w:proofErr w:type="spellStart"/>
      <w:r>
        <w:t>Institut</w:t>
      </w:r>
      <w:proofErr w:type="spellEnd"/>
      <w:r>
        <w:t xml:space="preserve"> national de la recherche </w:t>
      </w:r>
      <w:proofErr w:type="spellStart"/>
      <w:r>
        <w:t>scientifique</w:t>
      </w:r>
      <w:proofErr w:type="spellEnd"/>
      <w:r>
        <w:t xml:space="preserve"> Global Action Agenda 2025; UNESCO AI Competency Frameworks 2024; Russell Group Principles 2023) into observable institutional </w:t>
      </w:r>
      <w:proofErr w:type="spellStart"/>
      <w:r>
        <w:t>behaviours</w:t>
      </w:r>
      <w:proofErr w:type="spellEnd"/>
      <w:r>
        <w:t xml:space="preserve">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14:paraId="09DBAC51" w14:textId="77777777" w:rsidR="00170D13" w:rsidRDefault="00000000">
      <w:pPr>
        <w:pStyle w:val="BodyText"/>
      </w:pPr>
      <w:r>
        <w:rPr>
          <w:b/>
          <w:bCs/>
        </w:rPr>
        <w:t xml:space="preserve">The maturity grid </w:t>
      </w:r>
      <w:proofErr w:type="gramStart"/>
      <w:r>
        <w:rPr>
          <w:b/>
          <w:bCs/>
        </w:rPr>
        <w:t>at a glance</w:t>
      </w:r>
      <w:proofErr w:type="gramEnd"/>
      <w:r>
        <w:rPr>
          <w:b/>
          <w:bCs/>
        </w:rPr>
        <w:t>.</w:t>
      </w:r>
      <w:r>
        <w:t xml:space="preserve"> Each dimension is scored from </w:t>
      </w:r>
      <w:r>
        <w:rPr>
          <w:i/>
          <w:iCs/>
        </w:rPr>
        <w:t>absent</w:t>
      </w:r>
      <w:r>
        <w:t xml:space="preserve"> through </w:t>
      </w:r>
      <w:r>
        <w:rPr>
          <w:i/>
          <w:iCs/>
        </w:rPr>
        <w:t>nascent</w:t>
      </w:r>
      <w:r>
        <w:t xml:space="preserve"> and </w:t>
      </w:r>
      <w:r>
        <w:rPr>
          <w:i/>
          <w:iCs/>
        </w:rPr>
        <w:t>established</w:t>
      </w:r>
      <w:r>
        <w:t xml:space="preserve"> to </w:t>
      </w:r>
      <w:r>
        <w:rPr>
          <w:i/>
          <w:iCs/>
        </w:rPr>
        <w:t>leading</w:t>
      </w:r>
      <w:r>
        <w:t xml:space="preserve">. The levels build on one another, so the </w:t>
      </w:r>
      <w:r>
        <w:rPr>
          <w:i/>
          <w:iCs/>
        </w:rPr>
        <w:t>leading</w:t>
      </w:r>
      <w:r>
        <w:t xml:space="preserve"> column shows only what it adds to </w:t>
      </w:r>
      <w:r>
        <w:rPr>
          <w:i/>
          <w:iCs/>
        </w:rPr>
        <w:t>established</w:t>
      </w:r>
      <w:r>
        <w:t xml:space="preserve"> (marked “+”). Appendix A expands every cell into its full observable criteria.</w:t>
      </w:r>
    </w:p>
    <w:p w14:paraId="4B6E4677" w14:textId="77777777" w:rsidR="00170D13" w:rsidRDefault="00000000">
      <w:r>
        <w:br w:type="page"/>
      </w:r>
    </w:p>
    <w:tbl>
      <w:tblPr>
        <w:tblStyle w:val="Table"/>
        <w:tblW w:w="5000" w:type="pct"/>
        <w:tblInd w:w="108" w:type="dxa"/>
        <w:tblBorders>
          <w:insideH w:val="single" w:sz="4" w:space="0" w:color="auto"/>
        </w:tblBorders>
        <w:tblLayout w:type="fixed"/>
        <w:tblCellMar>
          <w:left w:w="108" w:type="dxa"/>
          <w:right w:w="108" w:type="dxa"/>
        </w:tblCellMar>
        <w:tblLook w:val="0020" w:firstRow="1" w:lastRow="0" w:firstColumn="0" w:lastColumn="0" w:noHBand="0" w:noVBand="0"/>
      </w:tblPr>
      <w:tblGrid>
        <w:gridCol w:w="1881"/>
        <w:gridCol w:w="1881"/>
        <w:gridCol w:w="1881"/>
        <w:gridCol w:w="1881"/>
        <w:gridCol w:w="1882"/>
      </w:tblGrid>
      <w:tr w:rsidR="00170D13" w14:paraId="0383372B" w14:textId="77777777" w:rsidTr="00C86BEC">
        <w:trPr>
          <w:tblHeader/>
        </w:trPr>
        <w:tc>
          <w:tcPr>
            <w:tcW w:w="1881" w:type="dxa"/>
          </w:tcPr>
          <w:p w14:paraId="60920F0E" w14:textId="77777777" w:rsidR="00170D13" w:rsidRPr="00C86BEC" w:rsidRDefault="00000000">
            <w:pPr>
              <w:pStyle w:val="TableText"/>
              <w:pageBreakBefore/>
              <w:spacing w:before="0"/>
              <w:rPr>
                <w:b/>
                <w:color w:val="00547B"/>
              </w:rPr>
            </w:pPr>
            <w:r w:rsidRPr="00C86BEC">
              <w:rPr>
                <w:b/>
                <w:color w:val="00547B"/>
              </w:rPr>
              <w:lastRenderedPageBreak/>
              <w:t>Dimension</w:t>
            </w:r>
          </w:p>
        </w:tc>
        <w:tc>
          <w:tcPr>
            <w:tcW w:w="1881" w:type="dxa"/>
          </w:tcPr>
          <w:p w14:paraId="5E588565" w14:textId="77777777" w:rsidR="00170D13" w:rsidRPr="00C86BEC" w:rsidRDefault="00000000">
            <w:pPr>
              <w:pStyle w:val="TableText"/>
              <w:spacing w:before="0"/>
              <w:rPr>
                <w:b/>
                <w:color w:val="00547B"/>
              </w:rPr>
            </w:pPr>
            <w:r w:rsidRPr="00C86BEC">
              <w:rPr>
                <w:b/>
                <w:color w:val="00547B"/>
              </w:rPr>
              <w:t>Absent</w:t>
            </w:r>
          </w:p>
        </w:tc>
        <w:tc>
          <w:tcPr>
            <w:tcW w:w="1881" w:type="dxa"/>
          </w:tcPr>
          <w:p w14:paraId="05025075" w14:textId="77777777" w:rsidR="00170D13" w:rsidRPr="00C86BEC" w:rsidRDefault="00000000">
            <w:pPr>
              <w:pStyle w:val="TableText"/>
              <w:spacing w:before="0"/>
              <w:rPr>
                <w:b/>
                <w:color w:val="00547B"/>
              </w:rPr>
            </w:pPr>
            <w:r w:rsidRPr="00C86BEC">
              <w:rPr>
                <w:b/>
                <w:color w:val="00547B"/>
              </w:rPr>
              <w:t>Nascent</w:t>
            </w:r>
          </w:p>
        </w:tc>
        <w:tc>
          <w:tcPr>
            <w:tcW w:w="1881" w:type="dxa"/>
          </w:tcPr>
          <w:p w14:paraId="44D54709" w14:textId="77777777" w:rsidR="00170D13" w:rsidRPr="00C86BEC" w:rsidRDefault="00000000">
            <w:pPr>
              <w:pStyle w:val="TableText"/>
              <w:spacing w:before="0"/>
              <w:rPr>
                <w:b/>
                <w:color w:val="00547B"/>
              </w:rPr>
            </w:pPr>
            <w:r w:rsidRPr="00C86BEC">
              <w:rPr>
                <w:b/>
                <w:color w:val="00547B"/>
              </w:rPr>
              <w:t>Established</w:t>
            </w:r>
          </w:p>
        </w:tc>
        <w:tc>
          <w:tcPr>
            <w:tcW w:w="1882" w:type="dxa"/>
          </w:tcPr>
          <w:p w14:paraId="4512F664" w14:textId="77777777" w:rsidR="00170D13" w:rsidRPr="00C86BEC" w:rsidRDefault="00000000">
            <w:pPr>
              <w:pStyle w:val="TableText"/>
              <w:spacing w:before="0"/>
              <w:rPr>
                <w:b/>
                <w:color w:val="00547B"/>
              </w:rPr>
            </w:pPr>
            <w:r w:rsidRPr="00C86BEC">
              <w:rPr>
                <w:b/>
                <w:color w:val="00547B"/>
              </w:rPr>
              <w:t>Leading (adds)</w:t>
            </w:r>
          </w:p>
        </w:tc>
      </w:tr>
      <w:tr w:rsidR="00170D13" w14:paraId="379DF692" w14:textId="77777777" w:rsidTr="00C86BEC">
        <w:tc>
          <w:tcPr>
            <w:tcW w:w="1881" w:type="dxa"/>
          </w:tcPr>
          <w:p w14:paraId="5BE8221E" w14:textId="77777777" w:rsidR="00170D13" w:rsidRDefault="00000000">
            <w:pPr>
              <w:pStyle w:val="TableText"/>
              <w:spacing w:before="0"/>
            </w:pPr>
            <w:r>
              <w:rPr>
                <w:b/>
                <w:bCs/>
              </w:rPr>
              <w:t>1. Human-in-the-loop discipline</w:t>
            </w:r>
          </w:p>
        </w:tc>
        <w:tc>
          <w:tcPr>
            <w:tcW w:w="1881" w:type="dxa"/>
          </w:tcPr>
          <w:p w14:paraId="7371CD42" w14:textId="77777777" w:rsidR="00170D13" w:rsidRDefault="00000000">
            <w:pPr>
              <w:pStyle w:val="TableText"/>
              <w:spacing w:before="0"/>
            </w:pPr>
            <w:r>
              <w:t xml:space="preserve">No published position; the </w:t>
            </w:r>
            <w:proofErr w:type="spellStart"/>
            <w:r>
              <w:t>labour</w:t>
            </w:r>
            <w:proofErr w:type="spellEnd"/>
            <w:r>
              <w:t>-vs-judgement line is left to individual supervisors.</w:t>
            </w:r>
          </w:p>
        </w:tc>
        <w:tc>
          <w:tcPr>
            <w:tcW w:w="1881" w:type="dxa"/>
          </w:tcPr>
          <w:p w14:paraId="6FDC608C" w14:textId="77777777" w:rsidR="00170D13" w:rsidRDefault="00000000">
            <w:pPr>
              <w:pStyle w:val="TableText"/>
              <w:spacing w:before="0"/>
            </w:pPr>
            <w:r>
              <w:t>Stated in principle (one AI-policy document); no task-level demarcation.</w:t>
            </w:r>
          </w:p>
        </w:tc>
        <w:tc>
          <w:tcPr>
            <w:tcW w:w="1881" w:type="dxa"/>
          </w:tcPr>
          <w:p w14:paraId="7470D98F" w14:textId="77777777" w:rsidR="00170D13" w:rsidRDefault="00000000">
            <w:pPr>
              <w:pStyle w:val="TableText"/>
              <w:spacing w:before="0"/>
            </w:pPr>
            <w:r>
              <w:t>Demarcation published, taught in methods, and enforced in supervision and examination.</w:t>
            </w:r>
          </w:p>
        </w:tc>
        <w:tc>
          <w:tcPr>
            <w:tcW w:w="1882" w:type="dxa"/>
          </w:tcPr>
          <w:p w14:paraId="28574926" w14:textId="77777777" w:rsidR="00170D13" w:rsidRDefault="00000000">
            <w:pPr>
              <w:pStyle w:val="TableText"/>
              <w:spacing w:before="0"/>
            </w:pPr>
            <w:r>
              <w:t>+ published scoring, outcome evidence, and peer benchmarking.</w:t>
            </w:r>
          </w:p>
        </w:tc>
      </w:tr>
      <w:tr w:rsidR="00170D13" w14:paraId="594C829B" w14:textId="77777777" w:rsidTr="00C86BEC">
        <w:tc>
          <w:tcPr>
            <w:tcW w:w="1881" w:type="dxa"/>
          </w:tcPr>
          <w:p w14:paraId="4209089E" w14:textId="77777777" w:rsidR="00170D13" w:rsidRDefault="00000000">
            <w:pPr>
              <w:pStyle w:val="TableText"/>
              <w:spacing w:before="0"/>
            </w:pPr>
            <w:r>
              <w:rPr>
                <w:b/>
                <w:bCs/>
              </w:rPr>
              <w:t>2. Responsible use in practice</w:t>
            </w:r>
          </w:p>
        </w:tc>
        <w:tc>
          <w:tcPr>
            <w:tcW w:w="1881" w:type="dxa"/>
          </w:tcPr>
          <w:p w14:paraId="6F9C7D79" w14:textId="77777777" w:rsidR="00170D13" w:rsidRDefault="00000000">
            <w:pPr>
              <w:pStyle w:val="TableText"/>
              <w:spacing w:before="0"/>
            </w:pPr>
            <w:r>
              <w:t>Confined to student-conduct rules; no task-level rules for AI use.</w:t>
            </w:r>
          </w:p>
        </w:tc>
        <w:tc>
          <w:tcPr>
            <w:tcW w:w="1881" w:type="dxa"/>
          </w:tcPr>
          <w:p w14:paraId="61867042" w14:textId="77777777" w:rsidR="00170D13" w:rsidRDefault="00000000">
            <w:pPr>
              <w:pStyle w:val="TableText"/>
              <w:spacing w:before="0"/>
            </w:pPr>
            <w:r>
              <w:t>A disclosure template exists, but no rules for the four AI-use modes.</w:t>
            </w:r>
          </w:p>
        </w:tc>
        <w:tc>
          <w:tcPr>
            <w:tcW w:w="1881" w:type="dxa"/>
          </w:tcPr>
          <w:p w14:paraId="7D8D83FE" w14:textId="77777777" w:rsidR="00170D13" w:rsidRDefault="00000000">
            <w:pPr>
              <w:pStyle w:val="TableText"/>
              <w:spacing w:before="0"/>
            </w:pPr>
            <w:r>
              <w:t>Task-level rules for all four modes — taught, disclosed, and verified.</w:t>
            </w:r>
          </w:p>
        </w:tc>
        <w:tc>
          <w:tcPr>
            <w:tcW w:w="1882" w:type="dxa"/>
          </w:tcPr>
          <w:p w14:paraId="390D9651" w14:textId="77777777" w:rsidR="00170D13" w:rsidRDefault="00000000">
            <w:pPr>
              <w:pStyle w:val="TableText"/>
              <w:spacing w:before="0"/>
            </w:pPr>
            <w:r>
              <w:t>+ annual compliance evidence and sector-level benchmarking.</w:t>
            </w:r>
          </w:p>
        </w:tc>
      </w:tr>
      <w:tr w:rsidR="00170D13" w14:paraId="60B7E105" w14:textId="77777777" w:rsidTr="00C86BEC">
        <w:tc>
          <w:tcPr>
            <w:tcW w:w="1881" w:type="dxa"/>
          </w:tcPr>
          <w:p w14:paraId="673B64B3" w14:textId="77777777" w:rsidR="00170D13" w:rsidRDefault="00000000">
            <w:pPr>
              <w:pStyle w:val="TableText"/>
              <w:spacing w:before="0"/>
            </w:pPr>
            <w:r>
              <w:rPr>
                <w:b/>
                <w:bCs/>
              </w:rPr>
              <w:t>3. Tooling that promotes responsible use</w:t>
            </w:r>
          </w:p>
        </w:tc>
        <w:tc>
          <w:tcPr>
            <w:tcW w:w="1881" w:type="dxa"/>
          </w:tcPr>
          <w:p w14:paraId="6C93128C" w14:textId="77777777" w:rsidR="00170D13" w:rsidRDefault="00000000">
            <w:pPr>
              <w:pStyle w:val="TableText"/>
              <w:spacing w:before="0"/>
            </w:pPr>
            <w:r>
              <w:t>No procurement gate; tool choice is private to each lab.</w:t>
            </w:r>
          </w:p>
        </w:tc>
        <w:tc>
          <w:tcPr>
            <w:tcW w:w="1881" w:type="dxa"/>
          </w:tcPr>
          <w:p w14:paraId="613B77CC" w14:textId="77777777" w:rsidR="00170D13" w:rsidRDefault="00000000">
            <w:pPr>
              <w:pStyle w:val="TableText"/>
              <w:spacing w:before="0"/>
            </w:pPr>
            <w:r>
              <w:t>A gate exists but is vendor-led; the resolvability test is inconsistent.</w:t>
            </w:r>
          </w:p>
        </w:tc>
        <w:tc>
          <w:tcPr>
            <w:tcW w:w="1881" w:type="dxa"/>
          </w:tcPr>
          <w:p w14:paraId="416FBF60" w14:textId="77777777" w:rsidR="00170D13" w:rsidRDefault="00000000">
            <w:pPr>
              <w:pStyle w:val="TableText"/>
              <w:spacing w:before="0"/>
            </w:pPr>
            <w:r>
              <w:t>Procurement standard (the six properties); outputs sampled; an EU AI Act rights-impact assessment.</w:t>
            </w:r>
          </w:p>
        </w:tc>
        <w:tc>
          <w:tcPr>
            <w:tcW w:w="1882" w:type="dxa"/>
          </w:tcPr>
          <w:p w14:paraId="770D9FC9" w14:textId="77777777" w:rsidR="00170D13" w:rsidRDefault="00000000">
            <w:pPr>
              <w:pStyle w:val="TableText"/>
              <w:spacing w:before="0"/>
            </w:pPr>
            <w:r>
              <w:t>+ cadence audits, independent vendor-claim checks, and an improvement cycle.</w:t>
            </w:r>
          </w:p>
        </w:tc>
      </w:tr>
      <w:tr w:rsidR="00170D13" w14:paraId="104DB040" w14:textId="77777777" w:rsidTr="00C86BEC">
        <w:tc>
          <w:tcPr>
            <w:tcW w:w="1881" w:type="dxa"/>
            <w:tcBorders>
              <w:bottom w:val="single" w:sz="4" w:space="0" w:color="auto"/>
            </w:tcBorders>
          </w:tcPr>
          <w:p w14:paraId="09407887" w14:textId="77777777" w:rsidR="00170D13" w:rsidRDefault="00000000">
            <w:pPr>
              <w:pStyle w:val="TableText"/>
              <w:spacing w:before="0"/>
            </w:pPr>
            <w:r>
              <w:rPr>
                <w:b/>
                <w:bCs/>
              </w:rPr>
              <w:t>4. AI-literate humans</w:t>
            </w:r>
          </w:p>
        </w:tc>
        <w:tc>
          <w:tcPr>
            <w:tcW w:w="1881" w:type="dxa"/>
            <w:tcBorders>
              <w:bottom w:val="single" w:sz="4" w:space="0" w:color="auto"/>
            </w:tcBorders>
          </w:tcPr>
          <w:p w14:paraId="095C8240" w14:textId="77777777" w:rsidR="00170D13" w:rsidRDefault="00000000">
            <w:pPr>
              <w:pStyle w:val="TableText"/>
              <w:spacing w:before="0"/>
            </w:pPr>
            <w:r>
              <w:t>Treated as a “which buttons to press” skill; no curriculum or training.</w:t>
            </w:r>
          </w:p>
        </w:tc>
        <w:tc>
          <w:tcPr>
            <w:tcW w:w="1881" w:type="dxa"/>
            <w:tcBorders>
              <w:bottom w:val="single" w:sz="4" w:space="0" w:color="auto"/>
            </w:tcBorders>
          </w:tcPr>
          <w:p w14:paraId="3CFD955C" w14:textId="77777777" w:rsidR="00170D13" w:rsidRDefault="00000000">
            <w:pPr>
              <w:pStyle w:val="TableText"/>
              <w:spacing w:before="0"/>
            </w:pPr>
            <w:r>
              <w:t>Some provision (a MOOC, a library guide), unintegrated and voluntary.</w:t>
            </w:r>
          </w:p>
        </w:tc>
        <w:tc>
          <w:tcPr>
            <w:tcW w:w="1881" w:type="dxa"/>
            <w:tcBorders>
              <w:bottom w:val="single" w:sz="4" w:space="0" w:color="auto"/>
            </w:tcBorders>
          </w:tcPr>
          <w:p w14:paraId="6757C888" w14:textId="77777777" w:rsidR="00170D13" w:rsidRDefault="00000000">
            <w:pPr>
              <w:pStyle w:val="TableText"/>
              <w:spacing w:before="0"/>
            </w:pPr>
            <w:r>
              <w:t>The six AI-era competencies are named curriculum outcomes; supervisors and examiners trained.</w:t>
            </w:r>
          </w:p>
        </w:tc>
        <w:tc>
          <w:tcPr>
            <w:tcW w:w="1882" w:type="dxa"/>
            <w:tcBorders>
              <w:bottom w:val="single" w:sz="4" w:space="0" w:color="auto"/>
            </w:tcBorders>
          </w:tcPr>
          <w:p w14:paraId="2DB4E8A4" w14:textId="77777777" w:rsidR="00170D13" w:rsidRDefault="00000000">
            <w:pPr>
              <w:pStyle w:val="TableText"/>
              <w:spacing w:before="0"/>
            </w:pPr>
            <w:r>
              <w:t>+ competency-outcome evidence and a curriculum-improvement cycle.</w:t>
            </w:r>
          </w:p>
        </w:tc>
      </w:tr>
      <w:tr w:rsidR="00170D13" w14:paraId="3ECFE50A" w14:textId="77777777" w:rsidTr="00C86BEC">
        <w:tc>
          <w:tcPr>
            <w:tcW w:w="1881" w:type="dxa"/>
            <w:tcBorders>
              <w:top w:val="single" w:sz="4" w:space="0" w:color="auto"/>
              <w:bottom w:val="single" w:sz="4" w:space="0" w:color="auto"/>
            </w:tcBorders>
          </w:tcPr>
          <w:p w14:paraId="0F6F4478" w14:textId="77777777" w:rsidR="00170D13" w:rsidRDefault="00000000">
            <w:pPr>
              <w:pStyle w:val="TableText"/>
              <w:spacing w:before="0"/>
            </w:pPr>
            <w:r>
              <w:rPr>
                <w:b/>
                <w:bCs/>
              </w:rPr>
              <w:t>5. Institutional benchmarking grid</w:t>
            </w:r>
          </w:p>
        </w:tc>
        <w:tc>
          <w:tcPr>
            <w:tcW w:w="1881" w:type="dxa"/>
            <w:tcBorders>
              <w:top w:val="single" w:sz="4" w:space="0" w:color="auto"/>
              <w:bottom w:val="single" w:sz="4" w:space="0" w:color="auto"/>
            </w:tcBorders>
          </w:tcPr>
          <w:p w14:paraId="3AA2726E" w14:textId="77777777" w:rsidR="00170D13" w:rsidRDefault="00000000">
            <w:pPr>
              <w:pStyle w:val="TableText"/>
              <w:spacing w:before="0"/>
            </w:pPr>
            <w:r>
              <w:t>No benchmarking cycle; the four axes and regulatory deadlines are unnamed.</w:t>
            </w:r>
          </w:p>
        </w:tc>
        <w:tc>
          <w:tcPr>
            <w:tcW w:w="1881" w:type="dxa"/>
            <w:tcBorders>
              <w:top w:val="single" w:sz="4" w:space="0" w:color="auto"/>
              <w:bottom w:val="single" w:sz="4" w:space="0" w:color="auto"/>
            </w:tcBorders>
          </w:tcPr>
          <w:p w14:paraId="050CC0B4" w14:textId="77777777" w:rsidR="00170D13" w:rsidRDefault="00000000">
            <w:pPr>
              <w:pStyle w:val="TableText"/>
              <w:spacing w:before="0"/>
            </w:pPr>
            <w:r>
              <w:t>A cycle in principle; only the policy axis has a named owner.</w:t>
            </w:r>
          </w:p>
        </w:tc>
        <w:tc>
          <w:tcPr>
            <w:tcW w:w="1881" w:type="dxa"/>
            <w:tcBorders>
              <w:top w:val="single" w:sz="4" w:space="0" w:color="auto"/>
              <w:bottom w:val="single" w:sz="4" w:space="0" w:color="auto"/>
            </w:tcBorders>
          </w:tcPr>
          <w:p w14:paraId="55496B97" w14:textId="77777777" w:rsidR="00170D13" w:rsidRDefault="00000000">
            <w:pPr>
              <w:pStyle w:val="TableText"/>
              <w:spacing w:before="0"/>
            </w:pPr>
            <w:r>
              <w:t>Self-scores at a stated cadence; owners per axis; a regulatory-deadline plan; committee-reviewable.</w:t>
            </w:r>
          </w:p>
        </w:tc>
        <w:tc>
          <w:tcPr>
            <w:tcW w:w="1882" w:type="dxa"/>
            <w:tcBorders>
              <w:top w:val="single" w:sz="4" w:space="0" w:color="auto"/>
              <w:bottom w:val="single" w:sz="4" w:space="0" w:color="auto"/>
            </w:tcBorders>
          </w:tcPr>
          <w:p w14:paraId="7CB17484" w14:textId="77777777" w:rsidR="00170D13" w:rsidRDefault="00000000">
            <w:pPr>
              <w:pStyle w:val="TableText"/>
              <w:spacing w:before="0"/>
            </w:pPr>
            <w:r>
              <w:t>+ published scoring, external/peer audit, and contribution to sector standards.</w:t>
            </w:r>
          </w:p>
        </w:tc>
      </w:tr>
    </w:tbl>
    <w:p w14:paraId="4892787D" w14:textId="77777777" w:rsidR="00170D13" w:rsidRDefault="00000000">
      <w:pPr>
        <w:pStyle w:val="Heading3"/>
      </w:pPr>
      <w:r>
        <w:t>2.1 Dimension 1 — Human-in-the-loop discipline</w:t>
      </w:r>
    </w:p>
    <w:p w14:paraId="362534AB" w14:textId="77777777" w:rsidR="00170D13" w:rsidRDefault="00000000">
      <w:pPr>
        <w:pStyle w:val="FirstParagraph"/>
      </w:pPr>
      <w:r>
        <w:t xml:space="preserve">The first dimension is the institutional commitment that the judgement steps that define research remain human. The </w:t>
      </w:r>
      <w:proofErr w:type="spellStart"/>
      <w:r>
        <w:t>labour</w:t>
      </w:r>
      <w:proofErr w:type="spellEnd"/>
      <w:r>
        <w:t xml:space="preserve"> steps can be augmented or accelerated by AI; the judgement steps cannot be outsourced to it without ceasing to be research.</w:t>
      </w:r>
    </w:p>
    <w:p w14:paraId="4C62551E" w14:textId="77777777" w:rsidR="00170D13" w:rsidRDefault="00000000">
      <w:pPr>
        <w:pStyle w:val="BodyText"/>
      </w:pPr>
      <w:r>
        <w:t xml:space="preserve">The most precise definition across the </w:t>
      </w:r>
      <w:proofErr w:type="spellStart"/>
      <w:r>
        <w:t>funder</w:t>
      </w:r>
      <w:proofErr w:type="spellEnd"/>
      <w:r>
        <w:t xml:space="preserve"> and publisher literature comes from the Australian Research Council and National Health and Medical Research Council April 2026 joint policy: “AI-generated content must be verified and should not replace expert </w:t>
      </w:r>
      <w:r>
        <w:lastRenderedPageBreak/>
        <w:t>opinion or judgement.”</w:t>
      </w:r>
      <w:r>
        <w:rPr>
          <w:rFonts w:ascii="Inter" w:hAnsi="Inter" w:cs="Inter"/>
          <w:b/>
          <w:color w:val="3092B1"/>
          <w:position w:val="8"/>
          <w:sz w:val="18"/>
          <w:szCs w:val="18"/>
          <w:vertAlign w:val="superscript"/>
        </w:rPr>
        <w:footnoteReference w:id="18"/>
      </w:r>
      <w: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14:paraId="7368474C" w14:textId="77777777" w:rsidR="00170D13" w:rsidRDefault="00000000">
      <w:pPr>
        <w:pStyle w:val="BodyText"/>
      </w:pPr>
      <w:r>
        <w:t xml:space="preserve">Operationally, the dimension demarcates the research task at a task level. Some tasks are </w:t>
      </w:r>
      <w:proofErr w:type="spellStart"/>
      <w:r>
        <w:t>labour</w:t>
      </w:r>
      <w:proofErr w:type="spellEnd"/>
      <w:r>
        <w:t>,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 and certainly not by any of the public hype surrounding it.</w:t>
      </w:r>
    </w:p>
    <w:p w14:paraId="028421EE" w14:textId="77777777" w:rsidR="00170D13" w:rsidRDefault="00000000">
      <w:pPr>
        <w:pStyle w:val="BodyText"/>
      </w:pPr>
      <w: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example: validity, integrity, and </w:t>
      </w:r>
      <w:r>
        <w:lastRenderedPageBreak/>
        <w:t xml:space="preserve">accountability are framed in a way that AI augmentation must respect, not in a way that closes off AI augmentation. The German </w:t>
      </w:r>
      <w:proofErr w:type="spellStart"/>
      <w:r>
        <w:rPr>
          <w:i/>
          <w:iCs/>
        </w:rPr>
        <w:t>eidesstattliche</w:t>
      </w:r>
      <w:proofErr w:type="spellEnd"/>
      <w:r>
        <w:rPr>
          <w:i/>
          <w:iCs/>
        </w:rPr>
        <w:t xml:space="preserve"> Versicherung</w:t>
      </w:r>
      <w:r>
        <w:t xml:space="preserve"> (</w:t>
      </w:r>
      <w:proofErr w:type="gramStart"/>
      <w:r>
        <w:t>sworn affidavit</w:t>
      </w:r>
      <w:proofErr w:type="gramEnd"/>
      <w:r>
        <w: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14:paraId="2216498E" w14:textId="77777777" w:rsidR="00170D13" w:rsidRDefault="00000000">
      <w:pPr>
        <w:pStyle w:val="BodyText"/>
      </w:pPr>
      <w: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council/colleagues for planning implementation (or, more likely, deliberation and debate).</w:t>
      </w:r>
    </w:p>
    <w:p w14:paraId="4C1098DD" w14:textId="65F78A5C" w:rsidR="00170D13" w:rsidRDefault="00000000">
      <w:pPr>
        <w:pStyle w:val="Heading3"/>
      </w:pPr>
      <w:bookmarkStart w:id="23" w:name="dimension-2-responsible-use-in-practice"/>
      <w:r>
        <w:t xml:space="preserve">2.2 Dimension 2 — </w:t>
      </w:r>
      <w:r w:rsidR="00C50F0B" w:rsidRPr="00C50F0B">
        <w:t>Responsible use across the four AI-use modes</w:t>
      </w:r>
    </w:p>
    <w:p w14:paraId="33C543AE" w14:textId="77777777" w:rsidR="00170D13" w:rsidRDefault="00000000">
      <w:pPr>
        <w:pStyle w:val="FirstParagraph"/>
      </w:pPr>
      <w:r>
        <w:t xml:space="preserve">The second dimension is the </w:t>
      </w:r>
      <w:proofErr w:type="spellStart"/>
      <w:r>
        <w:t>operationalisation</w:t>
      </w:r>
      <w:proofErr w:type="spellEnd"/>
      <w:r>
        <w:t xml:space="preserve">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t xml:space="preserve"> </w:t>
      </w:r>
      <w:r>
        <w:rPr>
          <w:rFonts w:ascii="Inter" w:hAnsi="Inter" w:cs="Inter"/>
          <w:b/>
          <w:color w:val="3092B1"/>
          <w:position w:val="8"/>
          <w:sz w:val="18"/>
          <w:szCs w:val="18"/>
          <w:vertAlign w:val="superscript"/>
        </w:rPr>
        <w:footnoteReference w:id="23"/>
      </w:r>
      <w:r>
        <w:t xml:space="preserve"> </w:t>
      </w:r>
      <w:r>
        <w:rPr>
          <w:rFonts w:ascii="Inter" w:hAnsi="Inter" w:cs="Inter"/>
          <w:b/>
          <w:color w:val="3092B1"/>
          <w:position w:val="8"/>
          <w:sz w:val="18"/>
          <w:szCs w:val="18"/>
          <w:vertAlign w:val="superscript"/>
        </w:rPr>
        <w:footnoteReference w:id="24"/>
      </w:r>
      <w:r>
        <w:t xml:space="preserve"> </w:t>
      </w:r>
      <w:r>
        <w:rPr>
          <w:rFonts w:ascii="Inter" w:hAnsi="Inter" w:cs="Inter"/>
          <w:b/>
          <w:color w:val="3092B1"/>
          <w:position w:val="8"/>
          <w:sz w:val="18"/>
          <w:szCs w:val="18"/>
          <w:vertAlign w:val="superscript"/>
        </w:rPr>
        <w:footnoteReference w:id="25"/>
      </w:r>
      <w:r>
        <w:t xml:space="preserve"> Its operational meaning has converged across three actor groups, and these groups are not aligned with each other.</w:t>
      </w:r>
    </w:p>
    <w:p w14:paraId="31C24B8B" w14:textId="77777777" w:rsidR="00170D13" w:rsidRDefault="00000000">
      <w:pPr>
        <w:pStyle w:val="BodyText"/>
      </w:pPr>
      <w:r>
        <w:lastRenderedPageBreak/>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t xml:space="preserve">, </w:t>
      </w:r>
      <w:r>
        <w:rPr>
          <w:rFonts w:ascii="Inter" w:hAnsi="Inter" w:cs="Inter"/>
          <w:b/>
          <w:color w:val="3092B1"/>
          <w:position w:val="8"/>
          <w:sz w:val="18"/>
          <w:szCs w:val="18"/>
          <w:vertAlign w:val="superscript"/>
        </w:rPr>
        <w:footnoteReference w:id="28"/>
      </w:r>
      <w:r>
        <w:t xml:space="preserve"> The standards anchor where in a manuscript the AI use is recorded and in what format. They do not test whether the AI use was responsibly conducted.</w:t>
      </w:r>
    </w:p>
    <w:p w14:paraId="05D8EB77" w14:textId="77777777" w:rsidR="00170D13" w:rsidRDefault="00000000">
      <w:pPr>
        <w:pStyle w:val="BodyText"/>
      </w:pPr>
      <w:r>
        <w:t xml:space="preserve">National research funders have converged at application-stage transparency. The Council of Graduate Schools and </w:t>
      </w:r>
      <w:proofErr w:type="spellStart"/>
      <w:r>
        <w:t>Institut</w:t>
      </w:r>
      <w:proofErr w:type="spellEnd"/>
      <w:r>
        <w:t xml:space="preserve"> national de la recherche </w:t>
      </w:r>
      <w:proofErr w:type="spellStart"/>
      <w:r>
        <w:t>scientifique</w:t>
      </w:r>
      <w:proofErr w:type="spellEnd"/>
      <w:r>
        <w:t xml:space="preserve"> 2025 Global Action Agenda specifies seven principles of which Integrity, Transparency, and Responsibility and Accountability carry the responsible-use weight at the institutional level.</w:t>
      </w:r>
      <w:r>
        <w:rPr>
          <w:rFonts w:ascii="Inter" w:hAnsi="Inter" w:cs="Inter"/>
          <w:b/>
          <w:color w:val="3092B1"/>
          <w:position w:val="8"/>
          <w:sz w:val="18"/>
          <w:szCs w:val="18"/>
          <w:vertAlign w:val="superscript"/>
        </w:rPr>
        <w:footnoteReference w:id="29"/>
      </w:r>
      <w: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t xml:space="preserve"> These standards mandate disclosure but do not define responsible use.</w:t>
      </w:r>
    </w:p>
    <w:p w14:paraId="6DCDF125" w14:textId="77777777" w:rsidR="00170D13" w:rsidRDefault="00000000">
      <w:pPr>
        <w:pStyle w:val="BodyText"/>
      </w:pPr>
      <w:r>
        <w:lastRenderedPageBreak/>
        <w:t>The competency-framework literature converges at principle-level definitions: human-</w:t>
      </w:r>
      <w:proofErr w:type="spellStart"/>
      <w:r>
        <w:t>centred</w:t>
      </w:r>
      <w:proofErr w:type="spellEnd"/>
      <w:r>
        <w:t xml:space="preserve"> orientation, ethics, AI knowledge, AI literacy.</w:t>
      </w:r>
      <w:r>
        <w:rPr>
          <w:rFonts w:ascii="Inter" w:hAnsi="Inter" w:cs="Inter"/>
          <w:b/>
          <w:color w:val="3092B1"/>
          <w:position w:val="8"/>
          <w:sz w:val="18"/>
          <w:szCs w:val="18"/>
          <w:vertAlign w:val="superscript"/>
        </w:rPr>
        <w:footnoteReference w:id="31"/>
      </w:r>
      <w:r>
        <w:t xml:space="preserve"> These principles are unobjectionable, but they do not translate to research-task-level rules.</w:t>
      </w:r>
    </w:p>
    <w:p w14:paraId="10A90C22" w14:textId="77777777" w:rsidR="00170D13" w:rsidRDefault="00000000">
      <w:pPr>
        <w:pStyle w:val="BodyText"/>
      </w:pPr>
      <w:r>
        <w:t>The Dimension 2 contribution is to specify responsible use at the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14:paraId="40433936" w14:textId="77777777" w:rsidR="00170D13" w:rsidRDefault="00000000">
      <w:pPr>
        <w:pStyle w:val="Compact"/>
        <w:numPr>
          <w:ilvl w:val="0"/>
          <w:numId w:val="7"/>
        </w:numPr>
      </w:pPr>
      <w:r>
        <w:rPr>
          <w:i/>
          <w:iCs/>
        </w:rPr>
        <w:t>Search.</w:t>
      </w:r>
      <w: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14:paraId="6DF6A3AE" w14:textId="77777777" w:rsidR="00170D13" w:rsidRDefault="00000000">
      <w:pPr>
        <w:pStyle w:val="Compact"/>
        <w:numPr>
          <w:ilvl w:val="0"/>
          <w:numId w:val="7"/>
        </w:numPr>
      </w:pPr>
      <w:r>
        <w:rPr>
          <w:i/>
          <w:iCs/>
        </w:rPr>
        <w:t>Co-author.</w:t>
      </w:r>
      <w: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14:paraId="29F24CF6" w14:textId="77777777" w:rsidR="00170D13" w:rsidRDefault="00000000">
      <w:pPr>
        <w:pStyle w:val="Compact"/>
        <w:numPr>
          <w:ilvl w:val="0"/>
          <w:numId w:val="7"/>
        </w:numPr>
      </w:pPr>
      <w:r>
        <w:rPr>
          <w:i/>
          <w:iCs/>
        </w:rPr>
        <w:t>Validator.</w:t>
      </w:r>
      <w:r>
        <w:t xml:space="preserve"> Treat AI critique as a brainstorm prompt, not as a validation that completes the adversarial-review obligation. Run the critique through a model from a different frontier-model AI family than the one that produced the original </w:t>
      </w:r>
      <w:r>
        <w:lastRenderedPageBreak/>
        <w:t>argument (Dimension 4’s model-heterogeneity discipline). Treat agreement with the user’s framing as a potential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14:paraId="4F7F51DB" w14:textId="77777777" w:rsidR="00170D13" w:rsidRDefault="00000000">
      <w:pPr>
        <w:pStyle w:val="Compact"/>
        <w:numPr>
          <w:ilvl w:val="0"/>
          <w:numId w:val="7"/>
        </w:numPr>
      </w:pPr>
      <w:r>
        <w:rPr>
          <w:i/>
          <w:iCs/>
        </w:rPr>
        <w:t>Tutor.</w:t>
      </w:r>
      <w:r>
        <w:t xml:space="preserve"> Use corpus-grounded tutoring (RAG over the supervisor’s reading list, institutional knowledge bases) in preference to free-form chat to improve structure and replicability. Require the student to demonstrate independent recall of the core concepts before accepting AI-assisted progress as evidence of learning.</w:t>
      </w:r>
    </w:p>
    <w:p w14:paraId="62742C40" w14:textId="77777777" w:rsidR="00170D13" w:rsidRDefault="00000000">
      <w:pPr>
        <w:pStyle w:val="FirstParagraph"/>
      </w:pPr>
      <w:r>
        <w:t xml:space="preserve">The dimension’s operational test is whether the institution has translated its high-level “responsible use” language into rules at this level of specificity, and whether the supervision-and-examination practice </w:t>
      </w:r>
      <w:proofErr w:type="gramStart"/>
      <w:r>
        <w:t>actually applies</w:t>
      </w:r>
      <w:proofErr w:type="gramEnd"/>
      <w:r>
        <w:t xml:space="preserve"> them. Where it has, supervisors can articulate the practice on a single page; PhD candidates can apply it in their methods chapter; examiners can check it during the viva voce. Where it has not, “responsible use” remains an empty phrase rather than a concrete and locally </w:t>
      </w:r>
      <w:proofErr w:type="spellStart"/>
      <w:r>
        <w:t>operationalised</w:t>
      </w:r>
      <w:proofErr w:type="spellEnd"/>
      <w:r>
        <w:t xml:space="preserve"> practice.</w:t>
      </w:r>
      <w:bookmarkEnd w:id="23"/>
    </w:p>
    <w:p w14:paraId="1DD29075" w14:textId="77777777" w:rsidR="00170D13" w:rsidRDefault="00000000">
      <w:pPr>
        <w:pStyle w:val="Heading3"/>
      </w:pPr>
      <w:bookmarkStart w:id="24" w:name="X805c1c6013402fdf28df478a2e33eeb31711dbe"/>
      <w:r>
        <w:t>2.3 Dimension 3 — Tooling that promotes responsible use</w:t>
      </w:r>
    </w:p>
    <w:p w14:paraId="31FC9FFD" w14:textId="77777777" w:rsidR="00170D13" w:rsidRDefault="00000000">
      <w:pPr>
        <w:pStyle w:val="FirstParagraph"/>
      </w:pPr>
      <w: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14:paraId="43926B53" w14:textId="77777777" w:rsidR="00170D13" w:rsidRDefault="00000000">
      <w:pPr>
        <w:pStyle w:val="BodyText"/>
      </w:pPr>
      <w:r>
        <w:lastRenderedPageBreak/>
        <w:t>Vendor claims are insufficient. Six observable properties belong in the procurement test:</w:t>
      </w:r>
    </w:p>
    <w:p w14:paraId="632C34C1" w14:textId="77777777" w:rsidR="00170D13" w:rsidRDefault="00000000">
      <w:pPr>
        <w:pStyle w:val="Compact"/>
        <w:numPr>
          <w:ilvl w:val="0"/>
          <w:numId w:val="7"/>
        </w:numPr>
      </w:pPr>
      <w:r>
        <w:rPr>
          <w:i/>
          <w:iCs/>
        </w:rPr>
        <w:t>Verifiable citation and resolvability.</w:t>
      </w:r>
      <w:r>
        <w:t xml:space="preserve"> The tool emits a verifiable citation for every factual claim, and those citations pass a manual check on a sample at procurement time. The Stanford </w:t>
      </w:r>
      <w:proofErr w:type="spellStart"/>
      <w:r>
        <w:t>RegLab</w:t>
      </w:r>
      <w:proofErr w:type="spellEnd"/>
      <w:r>
        <w:t xml:space="preserve">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t xml:space="preserve"> Retrieval augmentation reduces but does not eliminate hallucination, and it shifts the failure mode from “invented references” to “misattributed real sources,” a harder failure to spot.</w:t>
      </w:r>
    </w:p>
    <w:p w14:paraId="31F0B5A4" w14:textId="77777777" w:rsidR="00170D13" w:rsidRDefault="00000000">
      <w:pPr>
        <w:pStyle w:val="Compact"/>
        <w:numPr>
          <w:ilvl w:val="0"/>
          <w:numId w:val="7"/>
        </w:numPr>
      </w:pPr>
      <w:r>
        <w:rPr>
          <w:i/>
          <w:iCs/>
        </w:rPr>
        <w:t>Data residency and training-on-input governance.</w:t>
      </w:r>
      <w:r>
        <w:t xml:space="preserve"> Enterprise-tenanted deployments with training-on-input disabled (M365 Copilot inside an EU Data Boundary tenant; ChatGPT Enterprise; Claude Enterprise; Gemini Workspace; </w:t>
      </w:r>
      <w:proofErr w:type="gramStart"/>
      <w:r>
        <w:t>on-premise</w:t>
      </w:r>
      <w:proofErr w:type="gramEnd"/>
      <w:r>
        <w:t xml:space="preserv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14:paraId="7A753322" w14:textId="77777777" w:rsidR="00170D13" w:rsidRDefault="00000000">
      <w:pPr>
        <w:pStyle w:val="Compact"/>
        <w:numPr>
          <w:ilvl w:val="0"/>
          <w:numId w:val="7"/>
        </w:numPr>
      </w:pPr>
      <w:r>
        <w:rPr>
          <w:i/>
          <w:iCs/>
        </w:rPr>
        <w:lastRenderedPageBreak/>
        <w:t>First-class uncertainty reporting.</w:t>
      </w:r>
      <w:r>
        <w:t xml:space="preserve"> The AlphaFold-class of </w:t>
      </w:r>
      <w:proofErr w:type="spellStart"/>
      <w:r>
        <w:t>specialised</w:t>
      </w:r>
      <w:proofErr w:type="spellEnd"/>
      <w:r>
        <w:t xml:space="preserve"> research tools (Class 8 in Appendix C) demonstrates that per-residue confidence (</w:t>
      </w:r>
      <w:proofErr w:type="spellStart"/>
      <w:r>
        <w:t>pLDDT</w:t>
      </w:r>
      <w:proofErr w:type="spellEnd"/>
      <w:r>
        <w:t>), pairwise alignment-error matrices (PAE), and inter-chain confidence (</w:t>
      </w:r>
      <w:proofErr w:type="spellStart"/>
      <w:r>
        <w:t>ipTM</w:t>
      </w:r>
      <w:proofErr w:type="spellEnd"/>
      <w:r>
        <w:t>) can be first-class outputs.</w:t>
      </w:r>
      <w:r>
        <w:rPr>
          <w:rFonts w:ascii="Inter" w:hAnsi="Inter" w:cs="Inter"/>
          <w:b/>
          <w:color w:val="3092B1"/>
          <w:position w:val="8"/>
          <w:sz w:val="18"/>
          <w:szCs w:val="18"/>
          <w:vertAlign w:val="superscript"/>
        </w:rPr>
        <w:footnoteReference w:id="41"/>
      </w:r>
      <w:r>
        <w:t xml:space="preserve"> The existence proof matters: an institution can ask of any candidate tool whether uncertainty is a first-class output or a hidden default.</w:t>
      </w:r>
    </w:p>
    <w:p w14:paraId="7D37A864" w14:textId="77777777" w:rsidR="00170D13" w:rsidRDefault="00000000">
      <w:pPr>
        <w:pStyle w:val="Compact"/>
        <w:numPr>
          <w:ilvl w:val="0"/>
          <w:numId w:val="7"/>
        </w:numPr>
      </w:pPr>
      <w:r>
        <w:rPr>
          <w:i/>
          <w:iCs/>
        </w:rPr>
        <w:t>Reproducibility at a known model version.</w:t>
      </w:r>
      <w: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14:paraId="5B440D12" w14:textId="77777777" w:rsidR="00170D13" w:rsidRDefault="00000000">
      <w:pPr>
        <w:pStyle w:val="Compact"/>
        <w:numPr>
          <w:ilvl w:val="0"/>
          <w:numId w:val="7"/>
        </w:numPr>
      </w:pPr>
      <w:r>
        <w:rPr>
          <w:i/>
          <w:iCs/>
        </w:rPr>
        <w:t>Auditability via session logs.</w:t>
      </w:r>
      <w:r>
        <w:t xml:space="preserve"> An institutional records-governance regime that retains AI-mediated session logs for an articulated retention window is the basis for post-hoc review, complaint investigation, and supervision audit.</w:t>
      </w:r>
    </w:p>
    <w:p w14:paraId="5CB65869" w14:textId="77777777" w:rsidR="00170D13" w:rsidRDefault="00000000">
      <w:pPr>
        <w:pStyle w:val="Compact"/>
        <w:numPr>
          <w:ilvl w:val="0"/>
          <w:numId w:val="7"/>
        </w:numPr>
      </w:pPr>
      <w:r>
        <w:rPr>
          <w:i/>
          <w:iCs/>
        </w:rPr>
        <w:t>Open-source-and-local options where the research workload supports them.</w:t>
      </w:r>
      <w:r>
        <w:t xml:space="preserve"> </w:t>
      </w:r>
      <w:proofErr w:type="spellStart"/>
      <w:r>
        <w:t>ASReview</w:t>
      </w:r>
      <w:proofErr w:type="spellEnd"/>
      <w:r>
        <w:t xml:space="preserve"> (active-learning literature screening) and Whisper-local (transcription) are existence proofs that responsible-by-construction tooling can be locally executed, fully auditable, and entirely under institutional control.</w:t>
      </w:r>
    </w:p>
    <w:p w14:paraId="5A6A8B0F" w14:textId="77777777" w:rsidR="00170D13" w:rsidRDefault="00000000">
      <w:pPr>
        <w:pStyle w:val="FirstParagraph"/>
      </w:pPr>
      <w:r>
        <w:lastRenderedPageBreak/>
        <w:t xml:space="preserve">The training-data-lawfulness picture for AI training corpora is now legally constrained. The European Data Protection Board’s Opinion 28/2024 of 17 December 2024, the CNIL recommendations of 19 June 2025, the Italian </w:t>
      </w:r>
      <w:proofErr w:type="spellStart"/>
      <w:r>
        <w:t>Garante</w:t>
      </w:r>
      <w:proofErr w:type="spellEnd"/>
      <w:r>
        <w:t xml:space="preserve"> decision of 2 November 2024 on OpenAI, and Canada’s Office of the Privacy Commissioner 2026 joint OpenAI investigation converge: training on personal data scraped from the public web is constrained by a three-step balancing test under the General Data Protection Regulation that </w:t>
      </w:r>
      <w:proofErr w:type="spellStart"/>
      <w:r>
        <w:t>disfavours</w:t>
      </w:r>
      <w:proofErr w:type="spellEnd"/>
      <w:r>
        <w:t xml:space="preserve">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14:paraId="4465B343" w14:textId="77777777" w:rsidR="00170D13" w:rsidRDefault="00000000">
      <w:pPr>
        <w:pStyle w:val="BodyText"/>
      </w:pPr>
      <w:r>
        <w:t xml:space="preserve">Where Dimension 3 is absent, AI procurement is a private decision by each laboratory, with no institutional gate on the observable-property test. Where Dimension 3 is leading, the institution publishes its AI procurement standard, samples vendor outputs </w:t>
      </w:r>
      <w:r>
        <w:lastRenderedPageBreak/>
        <w:t>against the resolvability test before deployment, and re-tests on a stated cadence as model versions change.</w:t>
      </w:r>
      <w:bookmarkEnd w:id="24"/>
    </w:p>
    <w:p w14:paraId="0C9AF200" w14:textId="77777777" w:rsidR="00170D13" w:rsidRDefault="00000000">
      <w:pPr>
        <w:pStyle w:val="Heading3"/>
      </w:pPr>
      <w:bookmarkStart w:id="25" w:name="dimension-4-ai-literate-humans"/>
      <w:r>
        <w:t>2.4 Dimension 4 — AI-literate humans</w:t>
      </w:r>
    </w:p>
    <w:p w14:paraId="2F42A99E" w14:textId="77777777" w:rsidR="00170D13" w:rsidRDefault="00000000">
      <w:pPr>
        <w:pStyle w:val="FirstParagraph"/>
      </w:pPr>
      <w: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t xml:space="preserve"> The competency-framework literature in Dossier 3 populates this dimension more densely than any other, with UNESCO, OECD-EC </w:t>
      </w:r>
      <w:proofErr w:type="spellStart"/>
      <w:r>
        <w:t>AILit</w:t>
      </w:r>
      <w:proofErr w:type="spellEnd"/>
      <w:r>
        <w:t xml:space="preserve">, Digital Education Council, </w:t>
      </w:r>
      <w:proofErr w:type="spellStart"/>
      <w:r>
        <w:t>Jisc</w:t>
      </w:r>
      <w:proofErr w:type="spellEnd"/>
      <w:r>
        <w:t xml:space="preserve">, and </w:t>
      </w:r>
      <w:proofErr w:type="spellStart"/>
      <w:r>
        <w:t>DigComp</w:t>
      </w:r>
      <w:proofErr w:type="spellEnd"/>
      <w:r>
        <w:t xml:space="preserve"> 2.2 all contributing.</w:t>
      </w:r>
    </w:p>
    <w:p w14:paraId="2B71CE0B" w14:textId="77777777" w:rsidR="00170D13" w:rsidRDefault="00000000">
      <w:pPr>
        <w:pStyle w:val="BodyText"/>
      </w:pPr>
      <w: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t xml:space="preserve"> A PhD researcher trained on that pre-AI canon brings the foundation for AI-</w:t>
      </w:r>
      <w:r>
        <w:lastRenderedPageBreak/>
        <w:t xml:space="preserve">augmented research: reproducibility, validity, and </w:t>
      </w:r>
      <w:proofErr w:type="spellStart"/>
      <w:r>
        <w:t>scepticism</w:t>
      </w:r>
      <w:proofErr w:type="spellEnd"/>
      <w:r>
        <w:t>; however, the AI-era competencies extend that foundation and point to the need for AI-centric upskilling in the form of rigorous AI-related research training.</w:t>
      </w:r>
    </w:p>
    <w:p w14:paraId="47FA45F3" w14:textId="77777777" w:rsidR="00170D13" w:rsidRDefault="00000000">
      <w:pPr>
        <w:pStyle w:val="BodyText"/>
      </w:pPr>
      <w:r>
        <w:t xml:space="preserve">Six competencies are </w:t>
      </w:r>
      <w:proofErr w:type="gramStart"/>
      <w:r>
        <w:t>load-bearing</w:t>
      </w:r>
      <w:proofErr w:type="gramEnd"/>
      <w:r>
        <w:t>.</w:t>
      </w:r>
    </w:p>
    <w:p w14:paraId="675A5FD4" w14:textId="77777777" w:rsidR="00170D13" w:rsidRDefault="00000000">
      <w:pPr>
        <w:pStyle w:val="Compact"/>
        <w:numPr>
          <w:ilvl w:val="0"/>
          <w:numId w:val="19"/>
        </w:numPr>
      </w:pPr>
      <w:r>
        <w:rPr>
          <w:i/>
          <w:iCs/>
        </w:rPr>
        <w:t>Citation verification.</w:t>
      </w:r>
      <w:r>
        <w:t xml:space="preserve"> Every citation produced by an LLM workflow is verified against the primary source before publication. The Walters and Wilder 2023 fabrication rate (18 per cent on GPT-4, 55 per cent on GPT-3.5) is an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t xml:space="preserve">, </w:t>
      </w:r>
      <w:r>
        <w:rPr>
          <w:rFonts w:ascii="Inter" w:hAnsi="Inter" w:cs="Inter"/>
          <w:b/>
          <w:color w:val="3092B1"/>
          <w:position w:val="8"/>
          <w:sz w:val="18"/>
          <w:szCs w:val="18"/>
          <w:vertAlign w:val="superscript"/>
        </w:rPr>
        <w:footnoteReference w:id="51"/>
      </w:r>
    </w:p>
    <w:p w14:paraId="111B3F14" w14:textId="77777777" w:rsidR="00170D13" w:rsidRDefault="00000000">
      <w:pPr>
        <w:pStyle w:val="Compact"/>
        <w:numPr>
          <w:ilvl w:val="0"/>
          <w:numId w:val="16"/>
        </w:numPr>
      </w:pPr>
      <w:r>
        <w:rPr>
          <w:i/>
          <w:iCs/>
        </w:rPr>
        <w:t>Model and parameter specification.</w:t>
      </w:r>
      <w: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14:paraId="5D4FADCB" w14:textId="77777777" w:rsidR="00170D13" w:rsidRDefault="00000000">
      <w:pPr>
        <w:pStyle w:val="Compact"/>
        <w:numPr>
          <w:ilvl w:val="0"/>
          <w:numId w:val="16"/>
        </w:numPr>
      </w:pPr>
      <w:r>
        <w:rPr>
          <w:i/>
          <w:iCs/>
        </w:rPr>
        <w:t>Prompt-as-fork-in-the-garden discipline.</w:t>
      </w:r>
      <w:r>
        <w:t xml:space="preserve"> Prompt selection is a researcher degree of freedom analogous to analytic choice in the original p-hacking discussion (Simmons, Nelson, </w:t>
      </w:r>
      <w:proofErr w:type="spellStart"/>
      <w:r>
        <w:t>Simonsohn</w:t>
      </w:r>
      <w:proofErr w:type="spellEnd"/>
      <w:r>
        <w:t xml:space="preserve"> 2011). The </w:t>
      </w:r>
      <w:proofErr w:type="spellStart"/>
      <w:r>
        <w:t>arXiv</w:t>
      </w:r>
      <w:proofErr w:type="spellEnd"/>
      <w:r>
        <w:t xml:space="preserve"> 2509.08825 systematic evaluation found “LLM hacking occurs in 31-50 per cent of cases even with highly capable </w:t>
      </w:r>
      <w:r>
        <w:lastRenderedPageBreak/>
        <w:t>models” driven by prompt variants alone.</w:t>
      </w:r>
      <w:r>
        <w:rPr>
          <w:rFonts w:ascii="Inter" w:hAnsi="Inter" w:cs="Inter"/>
          <w:b/>
          <w:color w:val="3092B1"/>
          <w:position w:val="8"/>
          <w:sz w:val="18"/>
          <w:szCs w:val="18"/>
          <w:vertAlign w:val="superscript"/>
        </w:rPr>
        <w:footnoteReference w:id="53"/>
      </w:r>
      <w:r>
        <w:t xml:space="preserve"> </w:t>
      </w:r>
      <w:proofErr w:type="gramStart"/>
      <w:r>
        <w:t>Pre-registration</w:t>
      </w:r>
      <w:proofErr w:type="gramEnd"/>
      <w:r>
        <w:t xml:space="preserve"> of prompts, analysis plans, and prompt-sensitivity tests is the discipline that contains the problem.</w:t>
      </w:r>
    </w:p>
    <w:p w14:paraId="54CB222E" w14:textId="77777777" w:rsidR="00170D13" w:rsidRDefault="00000000">
      <w:pPr>
        <w:pStyle w:val="Compact"/>
        <w:numPr>
          <w:ilvl w:val="0"/>
          <w:numId w:val="16"/>
        </w:numPr>
      </w:pPr>
      <w:r>
        <w:rPr>
          <w:i/>
          <w:iCs/>
        </w:rPr>
        <w:t>Model-heterogeneity in adversarial review.</w:t>
      </w:r>
      <w: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can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14:paraId="0FEB2BF6" w14:textId="77777777" w:rsidR="00170D13" w:rsidRDefault="00000000">
      <w:pPr>
        <w:pStyle w:val="Compact"/>
        <w:numPr>
          <w:ilvl w:val="0"/>
          <w:numId w:val="16"/>
        </w:numPr>
      </w:pPr>
      <w:r>
        <w:rPr>
          <w:i/>
          <w:iCs/>
        </w:rPr>
        <w:t>Sycophancy detection and human-as-verifier discipline.</w:t>
      </w:r>
      <w: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w:t>
      </w:r>
      <w:proofErr w:type="spellStart"/>
      <w:r>
        <w:t>recognising</w:t>
      </w:r>
      <w:proofErr w:type="spellEnd"/>
      <w:r>
        <w:t xml:space="preserve"> them.</w:t>
      </w:r>
      <w:r>
        <w:rPr>
          <w:rFonts w:ascii="Inter" w:hAnsi="Inter" w:cs="Inter"/>
          <w:b/>
          <w:color w:val="3092B1"/>
          <w:position w:val="8"/>
          <w:sz w:val="18"/>
          <w:szCs w:val="18"/>
          <w:vertAlign w:val="superscript"/>
        </w:rPr>
        <w:footnoteReference w:id="56"/>
      </w:r>
    </w:p>
    <w:p w14:paraId="4C022966" w14:textId="77777777" w:rsidR="00170D13" w:rsidRDefault="00000000">
      <w:pPr>
        <w:pStyle w:val="Compact"/>
        <w:numPr>
          <w:ilvl w:val="0"/>
          <w:numId w:val="16"/>
        </w:numPr>
      </w:pPr>
      <w:r>
        <w:rPr>
          <w:i/>
          <w:iCs/>
        </w:rPr>
        <w:t>Structured failure-mode reporting.</w:t>
      </w:r>
      <w:r>
        <w:t xml:space="preserve"> AI evaluations, AI-augmented analyses, and AI-mediated literature syntheses report protocol, threat model, instrumentation, </w:t>
      </w:r>
      <w:r>
        <w:lastRenderedPageBreak/>
        <w:t>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14:paraId="09FB0E44" w14:textId="77777777" w:rsidR="00170D13" w:rsidRDefault="00000000">
      <w:pPr>
        <w:pStyle w:val="FirstParagraph"/>
      </w:pPr>
      <w:r>
        <w:t xml:space="preserve">The unifying competency is validity reasoning. A PhD researcher trained on the pre-AI reproducibility canon and on these six AI-era additions should be able to reason about validity claims in AI-augmented research by treating AI as a tool that introduces specific, </w:t>
      </w:r>
      <w:proofErr w:type="spellStart"/>
      <w:r>
        <w:t>characterisable</w:t>
      </w:r>
      <w:proofErr w:type="spellEnd"/>
      <w:r>
        <w:t xml:space="preserve"> failure modes (fabrication, prompt-sensitivity, non-determinism, model-version drift, sycophancy, agreement amplification) and applying the same adversarial-validation discipline the field developed to handle p-hacking, publication bias, and </w:t>
      </w:r>
      <w:proofErr w:type="spellStart"/>
      <w:r>
        <w:t>HARKing</w:t>
      </w:r>
      <w:proofErr w:type="spellEnd"/>
      <w:r>
        <w:t>. Validity reasoning is the core judgement competency for AI-augmented research, carrying the existing reproducibility canon into tool-mediated practice.</w:t>
      </w:r>
    </w:p>
    <w:p w14:paraId="7F5F02DE" w14:textId="77777777" w:rsidR="00170D13" w:rsidRDefault="00000000">
      <w:pPr>
        <w:pStyle w:val="BodyText"/>
      </w:pPr>
      <w: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5"/>
    </w:p>
    <w:p w14:paraId="7AFDF961" w14:textId="77777777" w:rsidR="00170D13" w:rsidRDefault="00000000">
      <w:pPr>
        <w:pStyle w:val="Heading3"/>
      </w:pPr>
      <w:bookmarkStart w:id="26" w:name="X04c51b46a89726e63cb47cb909f3f41f147c501"/>
      <w:r>
        <w:lastRenderedPageBreak/>
        <w:t>2.5 Dimension 5 — Institutional benchmarking grid</w:t>
      </w:r>
    </w:p>
    <w:p w14:paraId="7C54EC4E" w14:textId="77777777" w:rsidR="00170D13" w:rsidRDefault="00000000">
      <w:pPr>
        <w:pStyle w:val="FirstParagraph"/>
      </w:pPr>
      <w:r>
        <w:t>The fifth dimension is an institution’s ability to assess its standing on Dimensions 1-4 and act on the results. The four preceding dimensions describe substantive content; the fifth describes the institutional architecture across which that content is enacted.</w:t>
      </w:r>
    </w:p>
    <w:p w14:paraId="60FA6618" w14:textId="77777777" w:rsidR="00170D13" w:rsidRDefault="00000000">
      <w:pPr>
        <w:pStyle w:val="BodyText"/>
      </w:pPr>
      <w:r>
        <w:t xml:space="preserve">Four axes structure the architecture. The first is </w:t>
      </w:r>
      <w:r>
        <w:rPr>
          <w:i/>
          <w:iCs/>
        </w:rPr>
        <w:t>policy</w:t>
      </w:r>
      <w: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t>: the institutional workflow by which AI use enters supervision, examination, and the PhD-progression milestones: confirmation, mid-candidature review, completion seminar, thesis submission, viva voce, examiner-report adjudication, post-thesis publication, and dissemination.</w:t>
      </w:r>
    </w:p>
    <w:p w14:paraId="012B8701" w14:textId="77777777" w:rsidR="00170D13" w:rsidRDefault="00000000">
      <w:pPr>
        <w:pStyle w:val="BodyText"/>
      </w:pPr>
      <w:r>
        <w:t xml:space="preserve">The maturity grid in Part 4 crosses the four preceding dimensions with four maturity levels (absent, nascent, established, leading) and populates each cell with observable institutional </w:t>
      </w:r>
      <w:proofErr w:type="spellStart"/>
      <w:r>
        <w:t>behaviours</w:t>
      </w:r>
      <w:proofErr w:type="spellEnd"/>
      <w:r>
        <w:t xml:space="preserve">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14:paraId="7DE6F47F" w14:textId="77777777" w:rsidR="00170D13" w:rsidRDefault="00000000">
      <w:pPr>
        <w:pStyle w:val="BodyText"/>
      </w:pPr>
      <w:r>
        <w:lastRenderedPageBreak/>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14:paraId="203EA2C0" w14:textId="77777777" w:rsidR="00170D13" w:rsidRDefault="00000000">
      <w:pPr>
        <w:pStyle w:val="BodyText"/>
      </w:pPr>
      <w:r>
        <w:t>A policy document is a row in the competency grid, not the grid itself.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6"/>
    </w:p>
    <w:p w14:paraId="1DF6734C" w14:textId="77777777" w:rsidR="00170D13" w:rsidRDefault="00000000">
      <w:pPr>
        <w:pStyle w:val="Heading2"/>
      </w:pPr>
      <w:bookmarkStart w:id="27" w:name="Xd1a73a0edba9ddda1e0d20cf1ed0ad021cf16f3"/>
      <w:r>
        <w:t>Part 3 — What the international evidence shows</w:t>
      </w:r>
    </w:p>
    <w:p w14:paraId="12B1F265" w14:textId="77777777" w:rsidR="00170D13" w:rsidRDefault="00000000">
      <w:pPr>
        <w:pStyle w:val="FirstParagraph"/>
      </w:pPr>
      <w:r>
        <w:t xml:space="preserve">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t>
      </w:r>
      <w:r>
        <w:lastRenderedPageBreak/>
        <w:t>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14:paraId="4FACC09E" w14:textId="77777777" w:rsidR="00170D13" w:rsidRDefault="00000000">
      <w:pPr>
        <w:pStyle w:val="BodyText"/>
      </w:pPr>
      <w: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14:paraId="31664285" w14:textId="77777777" w:rsidR="00170D13" w:rsidRDefault="00000000">
      <w:pPr>
        <w:pStyle w:val="Heading3"/>
      </w:pPr>
      <w:bookmarkStart w:id="28" w:name="national-research-funder-positions"/>
      <w:r>
        <w:t>3.1 National research-funder positions</w:t>
      </w:r>
    </w:p>
    <w:p w14:paraId="3B12A8FB" w14:textId="77777777" w:rsidR="00170D13" w:rsidRDefault="00000000">
      <w:pPr>
        <w:pStyle w:val="FirstParagraph"/>
      </w:pPr>
      <w:r>
        <w:t xml:space="preserve">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w:t>
      </w:r>
      <w:proofErr w:type="spellStart"/>
      <w:r>
        <w:lastRenderedPageBreak/>
        <w:t>Organisation</w:t>
      </w:r>
      <w:proofErr w:type="spellEnd"/>
      <w:r>
        <w:t xml:space="preserve">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14:paraId="55E975A8" w14:textId="77777777" w:rsidR="00170D13" w:rsidRDefault="00000000">
      <w:pPr>
        <w:pStyle w:val="BodyText"/>
      </w:pPr>
      <w:r>
        <w:t xml:space="preserve">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w:t>
      </w:r>
      <w:proofErr w:type="spellStart"/>
      <w:r>
        <w:t>Organisation</w:t>
      </w:r>
      <w:proofErr w:type="spellEnd"/>
      <w:r>
        <w:t xml:space="preserve">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t>
      </w:r>
      <w:r>
        <w:lastRenderedPageBreak/>
        <w:t>whether you have used AI.”</w:t>
      </w:r>
      <w:r>
        <w:rPr>
          <w:rFonts w:ascii="Inter" w:hAnsi="Inter" w:cs="Inter"/>
          <w:b/>
          <w:color w:val="3092B1"/>
          <w:position w:val="8"/>
          <w:sz w:val="18"/>
          <w:szCs w:val="18"/>
          <w:vertAlign w:val="superscript"/>
        </w:rPr>
        <w:footnoteReference w:id="63"/>
      </w:r>
      <w: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14:paraId="78538B04" w14:textId="77777777" w:rsidR="00170D13" w:rsidRDefault="00000000">
      <w:pPr>
        <w:pStyle w:val="BodyText"/>
      </w:pPr>
      <w: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14:paraId="38090241" w14:textId="77777777" w:rsidR="00170D13" w:rsidRDefault="00000000">
      <w:pPr>
        <w:pStyle w:val="BodyText"/>
      </w:pPr>
      <w:r>
        <w:t xml:space="preserve">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w:t>
      </w:r>
      <w:proofErr w:type="spellStart"/>
      <w:r>
        <w:t>Centres</w:t>
      </w:r>
      <w:proofErr w:type="spellEnd"/>
      <w:r>
        <w:t xml:space="preserve"> for Doctoral Training co-funded across the component councils at £117 million across sixteen universities, with first cohorts in </w:t>
      </w:r>
      <w:r>
        <w:lastRenderedPageBreak/>
        <w:t>2024-2025.</w:t>
      </w:r>
      <w:r>
        <w:rPr>
          <w:rFonts w:ascii="Inter" w:hAnsi="Inter" w:cs="Inter"/>
          <w:b/>
          <w:color w:val="3092B1"/>
          <w:position w:val="8"/>
          <w:sz w:val="18"/>
          <w:szCs w:val="18"/>
          <w:vertAlign w:val="superscript"/>
        </w:rPr>
        <w:footnoteReference w:id="64"/>
      </w:r>
      <w: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w:t>
      </w:r>
      <w:proofErr w:type="gramStart"/>
      <w:r>
        <w:t>explicit</w:t>
      </w:r>
      <w:proofErr w:type="gramEnd"/>
      <w:r>
        <w:t xml:space="preserve"> and the funder is not paying to make them true.</w:t>
      </w:r>
    </w:p>
    <w:p w14:paraId="4CA83D5F" w14:textId="77777777" w:rsidR="00170D13" w:rsidRDefault="00000000">
      <w:pPr>
        <w:pStyle w:val="BodyText"/>
      </w:pPr>
      <w: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t xml:space="preserve"> The trajectory is policy-issuance, not the deeper question of what funded researchers are actually trained to do with AI. The Dimension 4 (AI-literate humans) gap the funders are leaving open is what universities need to close.</w:t>
      </w:r>
      <w:bookmarkEnd w:id="28"/>
    </w:p>
    <w:p w14:paraId="6D474378" w14:textId="77777777" w:rsidR="00170D13" w:rsidRDefault="00000000">
      <w:pPr>
        <w:pStyle w:val="Heading3"/>
      </w:pPr>
      <w:bookmarkStart w:id="29" w:name="X02ed1aa3513dc0bebac80dd57b4494edf619a91"/>
      <w:r>
        <w:t>3.2 Top-tier university institutional policies</w:t>
      </w:r>
    </w:p>
    <w:p w14:paraId="61F44A41" w14:textId="77777777" w:rsidR="00170D13" w:rsidRDefault="00000000">
      <w:pPr>
        <w:pStyle w:val="FirstParagraph"/>
      </w:pPr>
      <w:r>
        <w:t xml:space="preserve">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w:t>
      </w:r>
      <w:r>
        <w:lastRenderedPageBreak/>
        <w:t>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14:paraId="73D17C99" w14:textId="77777777" w:rsidR="00170D13" w:rsidRDefault="00000000">
      <w:pPr>
        <w:pStyle w:val="BodyText"/>
      </w:pPr>
      <w: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14:paraId="46A5E361" w14:textId="77777777" w:rsidR="00170D13" w:rsidRDefault="00000000">
      <w:pPr>
        <w:pStyle w:val="BodyText"/>
      </w:pPr>
      <w:r>
        <w:t xml:space="preserve">The country-cluster structure is sharp. The German U15 sample sits at Class C and D, anchored by the </w:t>
      </w:r>
      <w:proofErr w:type="spellStart"/>
      <w:r>
        <w:rPr>
          <w:i/>
          <w:iCs/>
        </w:rPr>
        <w:t>eidesstattliche</w:t>
      </w:r>
      <w:proofErr w:type="spellEnd"/>
      <w:r>
        <w:rPr>
          <w:i/>
          <w:iCs/>
        </w:rPr>
        <w:t xml:space="preserve"> Versicherung</w:t>
      </w:r>
      <w:r>
        <w:t xml:space="preserve"> (</w:t>
      </w:r>
      <w:proofErr w:type="gramStart"/>
      <w:r>
        <w:t>sworn affidavit</w:t>
      </w:r>
      <w:proofErr w:type="gramEnd"/>
      <w:r>
        <w:t xml:space="preserve">) tradition that every German doctoral candidate already signs and to which AI disclosure has been bolted on with native legal anchorage, making Germany the most consistently leading cluster in the global sample. Heidelberg’s Graduate Academy is the single Class D institution in </w:t>
      </w:r>
      <w:r>
        <w:lastRenderedPageBreak/>
        <w:t>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14:paraId="6510EC5C" w14:textId="77777777" w:rsidR="00170D13" w:rsidRDefault="00000000">
      <w:pPr>
        <w:pStyle w:val="BodyText"/>
      </w:pPr>
      <w:r>
        <w:t xml:space="preserve">The United Kingdom is the most bimodal cluster. Cambridge and Imperial sit at Class B or C, reflecting devolved-faculty traditions in which institutional-level AI policy is fragmented across departments and the doctoral-research dimension is underspecified at the </w:t>
      </w:r>
      <w:proofErr w:type="spellStart"/>
      <w:r>
        <w:t>centre</w:t>
      </w:r>
      <w:proofErr w:type="spellEnd"/>
      <w:r>
        <w:t xml:space="preserv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w:t>
      </w:r>
      <w:proofErr w:type="spellStart"/>
      <w:r>
        <w:t>behaviour</w:t>
      </w:r>
      <w:proofErr w:type="spellEnd"/>
      <w:r>
        <w:t xml:space="preserve"> and the viva voce, which most peer policies do not.</w:t>
      </w:r>
      <w:r>
        <w:rPr>
          <w:rFonts w:ascii="Inter" w:hAnsi="Inter" w:cs="Inter"/>
          <w:b/>
          <w:color w:val="3092B1"/>
          <w:position w:val="8"/>
          <w:sz w:val="18"/>
          <w:szCs w:val="18"/>
          <w:vertAlign w:val="superscript"/>
        </w:rPr>
        <w:footnoteReference w:id="67"/>
      </w:r>
    </w:p>
    <w:p w14:paraId="55486362" w14:textId="77777777" w:rsidR="00170D13" w:rsidRDefault="00000000">
      <w:pPr>
        <w:pStyle w:val="BodyText"/>
      </w:pPr>
      <w: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14:paraId="551977E6" w14:textId="77777777" w:rsidR="00170D13" w:rsidRDefault="00000000">
      <w:pPr>
        <w:pStyle w:val="BodyText"/>
      </w:pPr>
      <w:r>
        <w:t xml:space="preserve">The United States Ivy-Plus and Association of American Universities sample is the most devolved central-policy cluster. Despite hosting much of the AI research itself, central </w:t>
      </w:r>
      <w:r>
        <w:lastRenderedPageBreak/>
        <w:t>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14:paraId="4D198F77" w14:textId="77777777" w:rsidR="00170D13" w:rsidRDefault="00000000">
      <w:pPr>
        <w:pStyle w:val="BodyText"/>
      </w:pPr>
      <w:r>
        <w:t xml:space="preserve">Tsinghua’s December 2025 </w:t>
      </w:r>
      <w:proofErr w:type="gramStart"/>
      <w:r>
        <w:t>university</w:t>
      </w:r>
      <w:proofErr w:type="gramEnd"/>
      <w:r>
        <w:t>-wide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14:paraId="68A1AB0F" w14:textId="77777777" w:rsidR="00170D13" w:rsidRDefault="00000000">
      <w:pPr>
        <w:pStyle w:val="BodyText"/>
      </w:pPr>
      <w: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14:paraId="1D2C4EB2" w14:textId="77777777" w:rsidR="00170D13" w:rsidRDefault="00000000">
      <w:pPr>
        <w:pStyle w:val="BodyText"/>
      </w:pPr>
      <w:r>
        <w:t xml:space="preserve">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w:t>
      </w:r>
      <w:r>
        <w:lastRenderedPageBreak/>
        <w:t>Universities are, in 2026, not absent. They have substantial activity, but it is mostly stopped at the plagiarism-policy ceiling. The framework’s Dimension 5 (institutional benchmarking grid) is the operational answer.</w:t>
      </w:r>
      <w:bookmarkEnd w:id="29"/>
    </w:p>
    <w:p w14:paraId="47D3B9E3" w14:textId="77777777" w:rsidR="00170D13" w:rsidRDefault="00000000">
      <w:pPr>
        <w:pStyle w:val="Heading3"/>
      </w:pPr>
      <w:bookmarkStart w:id="30" w:name="publisher-and-journal-policies"/>
      <w:r>
        <w:t>3.3 Publisher and journal policies</w:t>
      </w:r>
    </w:p>
    <w:p w14:paraId="208F0E49" w14:textId="77777777" w:rsidR="00170D13" w:rsidRDefault="00000000">
      <w:pPr>
        <w:pStyle w:val="FirstParagraph"/>
      </w:pPr>
      <w:r>
        <w:t xml:space="preserve">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w:t>
      </w:r>
      <w:proofErr w:type="spellStart"/>
      <w:r>
        <w:t>arXiv</w:t>
      </w:r>
      <w:proofErr w:type="spellEnd"/>
      <w:r>
        <w:t xml:space="preserve">, bioRxiv, and </w:t>
      </w:r>
      <w:proofErr w:type="spellStart"/>
      <w:r>
        <w:t>medRxiv</w:t>
      </w:r>
      <w:proofErr w:type="spellEnd"/>
      <w:r>
        <w:t>.</w:t>
      </w:r>
      <w:r>
        <w:rPr>
          <w:rFonts w:ascii="Inter" w:hAnsi="Inter" w:cs="Inter"/>
          <w:b/>
          <w:color w:val="3092B1"/>
          <w:position w:val="8"/>
          <w:sz w:val="18"/>
          <w:szCs w:val="18"/>
          <w:vertAlign w:val="superscript"/>
        </w:rPr>
        <w:footnoteReference w:id="69"/>
      </w:r>
    </w:p>
    <w:p w14:paraId="2B23D1AD" w14:textId="77777777" w:rsidR="00170D13" w:rsidRDefault="00000000">
      <w:pPr>
        <w:pStyle w:val="BodyText"/>
      </w:pPr>
      <w:r>
        <w:t xml:space="preserve">Three convergences are universal or </w:t>
      </w:r>
      <w:proofErr w:type="gramStart"/>
      <w:r>
        <w:t>near-universal</w:t>
      </w:r>
      <w:proofErr w:type="gramEnd"/>
      <w:r>
        <w:t xml:space="preserve">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w:t>
      </w:r>
      <w:r>
        <w:lastRenderedPageBreak/>
        <w:t>AI tools is prohibited as a confidentiality breach at sixteen of eighteen entries; Cambridge University Press and SAGE do not address it in their primary policy texts.</w:t>
      </w:r>
    </w:p>
    <w:p w14:paraId="182F9472" w14:textId="77777777" w:rsidR="00170D13" w:rsidRDefault="00000000">
      <w:pPr>
        <w:pStyle w:val="BodyText"/>
      </w:pPr>
      <w: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14:paraId="745E8E89" w14:textId="77777777" w:rsidR="00170D13" w:rsidRDefault="00000000">
      <w:pPr>
        <w:pStyle w:val="BodyText"/>
      </w:pPr>
      <w:r>
        <w:t xml:space="preserve">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w:t>
      </w:r>
      <w:r>
        <w:lastRenderedPageBreak/>
        <w:t>cent disclosure rate across 25,114 submissions to 49 BMJ journals in the seven months following.</w:t>
      </w:r>
      <w:r>
        <w:rPr>
          <w:rFonts w:ascii="Inter" w:hAnsi="Inter" w:cs="Inter"/>
          <w:b/>
          <w:color w:val="3092B1"/>
          <w:position w:val="8"/>
          <w:sz w:val="18"/>
          <w:szCs w:val="18"/>
          <w:vertAlign w:val="superscript"/>
        </w:rPr>
        <w:footnoteReference w:id="71"/>
      </w:r>
      <w:r>
        <w:t xml:space="preserve"> The disclosure rate is low; the trajectory is positive; the gap between rate of use and rate of disclosure is the structural signal.</w:t>
      </w:r>
    </w:p>
    <w:p w14:paraId="6A8F15A7" w14:textId="77777777" w:rsidR="00170D13" w:rsidRDefault="00000000">
      <w:pPr>
        <w:pStyle w:val="BodyText"/>
      </w:pPr>
      <w: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14:paraId="0E3E997D" w14:textId="77777777" w:rsidR="00170D13" w:rsidRDefault="00000000">
      <w:pPr>
        <w:pStyle w:val="BodyText"/>
      </w:pPr>
      <w:r>
        <w:t>The preprint servers (</w:t>
      </w:r>
      <w:proofErr w:type="spellStart"/>
      <w:r>
        <w:t>arXiv</w:t>
      </w:r>
      <w:proofErr w:type="spellEnd"/>
      <w:r>
        <w:t xml:space="preserve">, bioRxiv, </w:t>
      </w:r>
      <w:proofErr w:type="spellStart"/>
      <w:r>
        <w:t>medRxiv</w:t>
      </w:r>
      <w:proofErr w:type="spellEnd"/>
      <w:r>
        <w:t>)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14:paraId="12930084" w14:textId="77777777" w:rsidR="00170D13" w:rsidRDefault="00000000">
      <w:pPr>
        <w:pStyle w:val="BodyText"/>
      </w:pPr>
      <w: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0"/>
    </w:p>
    <w:p w14:paraId="2C8792F5" w14:textId="77777777" w:rsidR="00170D13" w:rsidRDefault="00000000">
      <w:pPr>
        <w:pStyle w:val="Heading3"/>
      </w:pPr>
      <w:bookmarkStart w:id="31" w:name="Xca4da2d26c3d4406d6d5f02dafc313a2e0f1372"/>
      <w:r>
        <w:t>3.4 Existing AI-literacy and researcher-development frameworks</w:t>
      </w:r>
    </w:p>
    <w:p w14:paraId="681D9406" w14:textId="77777777" w:rsidR="00170D13" w:rsidRDefault="00000000">
      <w:pPr>
        <w:pStyle w:val="FirstParagraph"/>
      </w:pPr>
      <w:r>
        <w:t xml:space="preserve">The existing competency-framework dossier surveys thirteen frameworks: UNESCO AI Competency Frameworks for Students and Teachers; the </w:t>
      </w:r>
      <w:proofErr w:type="spellStart"/>
      <w:r>
        <w:t>Organisation</w:t>
      </w:r>
      <w:proofErr w:type="spellEnd"/>
      <w:r>
        <w:t xml:space="preserve"> for Economic Co-operation and Development and European Commission AI Literacy Framework (</w:t>
      </w:r>
      <w:proofErr w:type="spellStart"/>
      <w:r>
        <w:t>AILit</w:t>
      </w:r>
      <w:proofErr w:type="spellEnd"/>
      <w:r>
        <w:t xml:space="preserve">); </w:t>
      </w:r>
      <w:proofErr w:type="spellStart"/>
      <w:r>
        <w:t>DigComp</w:t>
      </w:r>
      <w:proofErr w:type="spellEnd"/>
      <w:r>
        <w:t xml:space="preserve"> 2.2; the </w:t>
      </w:r>
      <w:proofErr w:type="spellStart"/>
      <w:r>
        <w:t>Jisc</w:t>
      </w:r>
      <w:proofErr w:type="spellEnd"/>
      <w:r>
        <w:t xml:space="preserve"> Digital Capability Framework with AI question sets and </w:t>
      </w:r>
      <w:r>
        <w:lastRenderedPageBreak/>
        <w:t xml:space="preserve">the </w:t>
      </w:r>
      <w:proofErr w:type="spellStart"/>
      <w:r>
        <w:t>Jisc</w:t>
      </w:r>
      <w:proofErr w:type="spellEnd"/>
      <w:r>
        <w:t xml:space="preserve"> Strategic AI Framework for Colleges and Universities; the EDUCAUSE Horizon Action Plan on Generative AI and 2024 AI Landscape Study; the Vitae UK Researcher Development Framework;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14:paraId="51C48DE9" w14:textId="77777777" w:rsidR="00170D13" w:rsidRDefault="00000000">
      <w:pPr>
        <w:pStyle w:val="BodyText"/>
      </w:pPr>
      <w:r>
        <w:t>The literature converges on four themes: a human-</w:t>
      </w:r>
      <w:proofErr w:type="spellStart"/>
      <w:r>
        <w:t>centred</w:t>
      </w:r>
      <w:proofErr w:type="spellEnd"/>
      <w:r>
        <w:t xml:space="preserve"> or human-in-the-loop orienting principle; ethics or responsible use, typically </w:t>
      </w:r>
      <w:proofErr w:type="spellStart"/>
      <w:r>
        <w:t>operationalised</w:t>
      </w:r>
      <w:proofErr w:type="spellEnd"/>
      <w:r>
        <w:t xml:space="preserve"> through disclosure and transparency; AI technical knowledge; and AI literacy or skills. UNESCO, the </w:t>
      </w:r>
      <w:proofErr w:type="spellStart"/>
      <w:r>
        <w:t>Organisation</w:t>
      </w:r>
      <w:proofErr w:type="spellEnd"/>
      <w:r>
        <w:t xml:space="preserve"> for Economic Co-operation and Development with the European Commission, the </w:t>
      </w:r>
      <w:proofErr w:type="spellStart"/>
      <w:r>
        <w:t>Jisc</w:t>
      </w:r>
      <w:proofErr w:type="spellEnd"/>
      <w:r>
        <w:t xml:space="preserve"> digital-capability framework, </w:t>
      </w:r>
      <w:proofErr w:type="spellStart"/>
      <w:r>
        <w:t>DigComp</w:t>
      </w:r>
      <w:proofErr w:type="spellEnd"/>
      <w:r>
        <w:t xml:space="preserve"> 2.2, and the Digital Education Council all populate this four-part shape. The newer frameworks add design, creation, or domain-application dimensions on top of the four-part base.</w:t>
      </w:r>
    </w:p>
    <w:p w14:paraId="7C84F46A" w14:textId="77777777" w:rsidR="00170D13" w:rsidRDefault="00000000">
      <w:pPr>
        <w:pStyle w:val="BodyText"/>
      </w:pPr>
      <w:r>
        <w:t xml:space="preserve">The literature does not specify how AI use in research becomes valid, reproducible, and </w:t>
      </w:r>
      <w:proofErr w:type="spellStart"/>
      <w:r>
        <w:t>adversarially</w:t>
      </w:r>
      <w:proofErr w:type="spellEnd"/>
      <w:r>
        <w:t xml:space="preserve">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principles and the Blau et al. PNAS editorial five principles are research-integrity-native, not addressed to K-12 or to </w:t>
      </w:r>
      <w:r>
        <w:lastRenderedPageBreak/>
        <w:t xml:space="preserve">general undergraduate audiences, but they stop at </w:t>
      </w:r>
      <w:proofErr w:type="gramStart"/>
      <w:r>
        <w:t>principle</w:t>
      </w:r>
      <w:proofErr w:type="gramEnd"/>
      <w:r>
        <w:t xml:space="preserve"> level. The translation from principle to operational competency, supervision practice, and examiner discipline has not been completed by any of the frameworks in the sample at sector scale.</w:t>
      </w:r>
    </w:p>
    <w:p w14:paraId="13A17F5F" w14:textId="77777777" w:rsidR="00170D13" w:rsidRDefault="00000000">
      <w:pPr>
        <w:pStyle w:val="BodyText"/>
      </w:pPr>
      <w: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14:paraId="35A0128A" w14:textId="77777777" w:rsidR="00170D13" w:rsidRDefault="00000000">
      <w:pPr>
        <w:pStyle w:val="BodyText"/>
      </w:pPr>
      <w:r>
        <w:t xml:space="preserve">Six frameworks anchor specific elements of the report’s framework. UNESCO’s Understand → Apply → Create progression provides a structural device the report’s maturity grid </w:t>
      </w:r>
      <w:proofErr w:type="gramStart"/>
      <w:r>
        <w:t>maps</w:t>
      </w:r>
      <w:proofErr w:type="gramEnd"/>
      <w:r>
        <w:t xml:space="preserve"> onto. The Council of Graduate Schools’ seven principles are the closest existing peer to the report’s Dimension 1 through Dimension 5 and are cited as the principle-level antecedent the report </w:t>
      </w:r>
      <w:proofErr w:type="spellStart"/>
      <w:r>
        <w:t>operationalises</w:t>
      </w:r>
      <w:proofErr w:type="spellEnd"/>
      <w:r>
        <w:t xml:space="preserve">.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w:t>
      </w:r>
      <w:proofErr w:type="spellStart"/>
      <w:r>
        <w:t>Jisc</w:t>
      </w:r>
      <w:proofErr w:type="spellEnd"/>
      <w:r>
        <w:t xml:space="preserve"> Strategic AI Framework’s four pillars (skills, technology, governance, data) are an additional Dimension 5 antecedent at the institutional-leadership audience. The Russell Group five-</w:t>
      </w:r>
      <w:proofErr w:type="gramStart"/>
      <w:r>
        <w:t>principle</w:t>
      </w:r>
      <w:proofErr w:type="gramEnd"/>
      <w:r>
        <w:t xml:space="preserve"> sequence (literacy → support → assessment → integrity → collaboration) is </w:t>
      </w:r>
      <w:r>
        <w:lastRenderedPageBreak/>
        <w:t>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14:paraId="58F4065B" w14:textId="77777777" w:rsidR="00170D13" w:rsidRDefault="00000000">
      <w:pPr>
        <w:pStyle w:val="BodyText"/>
      </w:pPr>
      <w:r>
        <w:t>The framework literature is not a vacuum. The five dimensions in Part 2 are built in conversation with it. Their distinctive contribution is the operational specificity the existing frameworks chose not to build.</w:t>
      </w:r>
      <w:bookmarkEnd w:id="27"/>
      <w:bookmarkEnd w:id="31"/>
    </w:p>
    <w:p w14:paraId="24A4C32D" w14:textId="77777777" w:rsidR="00170D13" w:rsidRDefault="00000000">
      <w:pPr>
        <w:pStyle w:val="Heading2"/>
      </w:pPr>
      <w:bookmarkStart w:id="32" w:name="part-4-the-maturity-grid-1"/>
      <w:r>
        <w:t>Part 4 — The maturity grid</w:t>
      </w:r>
    </w:p>
    <w:p w14:paraId="5FE06153" w14:textId="77777777" w:rsidR="00170D13" w:rsidRDefault="00000000">
      <w:pPr>
        <w:pStyle w:val="FirstParagraph"/>
      </w:pPr>
      <w:r>
        <w:t xml:space="preserve">The maturity grid is the framework </w:t>
      </w:r>
      <w:proofErr w:type="spellStart"/>
      <w:r>
        <w:t>operationalised</w:t>
      </w:r>
      <w:proofErr w:type="spellEnd"/>
      <w:r>
        <w:t xml:space="preserve">.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w:t>
      </w:r>
      <w:proofErr w:type="spellStart"/>
      <w:r>
        <w:t>behaviour</w:t>
      </w:r>
      <w:proofErr w:type="spellEnd"/>
      <w:r>
        <w:t xml:space="preserve">, evaluated across the four institutional axes from §2.5 (policy / people / systems / process). The full grid table is in </w:t>
      </w:r>
      <w:hyperlink w:anchor="Xe68ee8087a0fb6c54faf307f3bd4ef6aae1293d">
        <w:r w:rsidR="00170D13">
          <w:rPr>
            <w:rStyle w:val="Hyperlink1"/>
          </w:rPr>
          <w:t>Appendix A</w:t>
        </w:r>
      </w:hyperlink>
      <w:r>
        <w:t>; the explanation that makes it memorable is in §4.2; worked institutional examples are in §4.3.</w:t>
      </w:r>
    </w:p>
    <w:p w14:paraId="3E028E09" w14:textId="77777777" w:rsidR="00170D13" w:rsidRDefault="00000000">
      <w:pPr>
        <w:pStyle w:val="Heading3"/>
      </w:pPr>
      <w:bookmarkStart w:id="33" w:name="the-five-by-four-grid"/>
      <w:r>
        <w:t>4.1 The five-by-four grid</w:t>
      </w:r>
    </w:p>
    <w:p w14:paraId="030FC3CB" w14:textId="77777777" w:rsidR="00170D13" w:rsidRDefault="00000000">
      <w:pPr>
        <w:pStyle w:val="FirstParagraph"/>
      </w:pPr>
      <w:r>
        <w:t xml:space="preserve">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w:t>
      </w:r>
      <w:proofErr w:type="gramStart"/>
      <w:r>
        <w:t>session</w:t>
      </w:r>
      <w:proofErr w:type="gramEnd"/>
      <w:r>
        <w:t xml:space="preserve"> and the result is reviewable by anyone else who reads the grid description.</w:t>
      </w:r>
    </w:p>
    <w:p w14:paraId="0ED6F207" w14:textId="77777777" w:rsidR="00170D13" w:rsidRDefault="00000000">
      <w:pPr>
        <w:pStyle w:val="BodyText"/>
      </w:pPr>
      <w:r>
        <w:t xml:space="preserve">The four levels are observable </w:t>
      </w:r>
      <w:proofErr w:type="spellStart"/>
      <w:r>
        <w:t>behaviour</w:t>
      </w:r>
      <w:proofErr w:type="spellEnd"/>
      <w:r>
        <w:t xml:space="preserve">, not aspirations. </w:t>
      </w:r>
      <w:r>
        <w:rPr>
          <w:i/>
          <w:iCs/>
        </w:rPr>
        <w:t>Absent</w:t>
      </w:r>
      <w:r>
        <w:t xml:space="preserve"> means the institution has not articulated a position on the dimension at all; the relevant policy, role, system, </w:t>
      </w:r>
      <w:r>
        <w:lastRenderedPageBreak/>
        <w:t xml:space="preserve">or process does not exist or has not been named. </w:t>
      </w:r>
      <w:r>
        <w:rPr>
          <w:i/>
          <w:iCs/>
        </w:rPr>
        <w:t>Nascent</w:t>
      </w:r>
      <w:r>
        <w:t xml:space="preserve"> means the institution has articulated a position but not </w:t>
      </w:r>
      <w:proofErr w:type="spellStart"/>
      <w:r>
        <w:t>operationalised</w:t>
      </w:r>
      <w:proofErr w:type="spellEnd"/>
      <w:r>
        <w:t xml:space="preserve"> it; the policy document exists but does not name the people, systems, or processes that enact it; or the people are named but the system that supports them does not exist. </w:t>
      </w:r>
      <w:r>
        <w:rPr>
          <w:i/>
          <w:iCs/>
        </w:rPr>
        <w:t>Established</w:t>
      </w:r>
      <w:r>
        <w:t xml:space="preserve"> means policy, people, system, and process are all in place and operating at a reviewable cadence; the institution can answer “who does what, with which tools, by what workflow, when” without hesitation. </w:t>
      </w:r>
      <w:r>
        <w:rPr>
          <w:i/>
          <w:iCs/>
        </w:rPr>
        <w:t>Leading</w:t>
      </w:r>
      <w:r>
        <w:t xml:space="preserve"> means the established state plus measurable evidence of effect: published institutional metrics on the dimension, external audit or benchmarking against peers, and a documented improvement cycle.</w:t>
      </w:r>
    </w:p>
    <w:p w14:paraId="670FC19F" w14:textId="77777777" w:rsidR="00170D13" w:rsidRDefault="00000000">
      <w:pPr>
        <w:pStyle w:val="BodyText"/>
      </w:pPr>
      <w:r>
        <w:t xml:space="preserve">The framework is intentionally non-prescriptive about which level an institution should occupy because context varies. An institution running a small humanities-only doctoral </w:t>
      </w:r>
      <w:proofErr w:type="spellStart"/>
      <w:r>
        <w:t>programme</w:t>
      </w:r>
      <w:proofErr w:type="spellEnd"/>
      <w:r>
        <w:t xml:space="preserve"> has different scope and different binding constraints from a large medical research university operating across thirteen jurisdictions; both can be at </w:t>
      </w:r>
      <w:r>
        <w:rPr>
          <w:i/>
          <w:iCs/>
        </w:rPr>
        <w:t>established</w:t>
      </w:r>
      <w:r>
        <w:t xml:space="preserve"> on Dimension 2 with materially different operational implementations. The grid surfaces the choice; it does not impose one.</w:t>
      </w:r>
    </w:p>
    <w:p w14:paraId="6283E1C0" w14:textId="77777777" w:rsidR="00170D13" w:rsidRDefault="00000000">
      <w:pPr>
        <w:pStyle w:val="BodyText"/>
      </w:pPr>
      <w:r>
        <w:t xml:space="preserve">What the grid does impose is consistency. An institution cannot defensibly claim </w:t>
      </w:r>
      <w:r>
        <w:rPr>
          <w:i/>
          <w:iCs/>
        </w:rPr>
        <w:t>established</w:t>
      </w:r>
      <w:r>
        <w:t xml:space="preserve"> on Dimension 1 while being at </w:t>
      </w:r>
      <w:r>
        <w:rPr>
          <w:i/>
          <w:iCs/>
        </w:rPr>
        <w:t>nascent</w:t>
      </w:r>
      <w:r>
        <w:t xml:space="preserve"> on Dimension 5: the dimension-5 axis (does the institution know where it sits, with documented evidence) is itself part of the answer to whether the human-in-the-loop discipline is actually operating at </w:t>
      </w:r>
      <w:r>
        <w:rPr>
          <w:i/>
          <w:iCs/>
        </w:rPr>
        <w:t>established</w:t>
      </w:r>
      <w:r>
        <w:t xml:space="preserve"> level rather than </w:t>
      </w:r>
      <w:proofErr w:type="spellStart"/>
      <w:r>
        <w:t>aspirationally</w:t>
      </w:r>
      <w:proofErr w:type="spellEnd"/>
      <w:r>
        <w:t>. The five dimensions are interdependent in the order the framework specifies, and the grid makes the interdependence observable.</w:t>
      </w:r>
      <w:bookmarkEnd w:id="33"/>
    </w:p>
    <w:p w14:paraId="78787FA7" w14:textId="77777777" w:rsidR="00170D13" w:rsidRDefault="00000000">
      <w:pPr>
        <w:pStyle w:val="Heading3"/>
      </w:pPr>
      <w:bookmarkStart w:id="34" w:name="what-ready-looks-like-by-dimension"/>
      <w:r>
        <w:t>4.2 What “ready” looks like by dimension</w:t>
      </w:r>
    </w:p>
    <w:p w14:paraId="41C62201" w14:textId="77777777" w:rsidR="00170D13" w:rsidRDefault="00000000">
      <w:pPr>
        <w:pStyle w:val="FirstParagraph"/>
      </w:pPr>
      <w:r>
        <w:t xml:space="preserve">The </w:t>
      </w:r>
      <w:r>
        <w:rPr>
          <w:i/>
          <w:iCs/>
        </w:rPr>
        <w:t>leading</w:t>
      </w:r>
      <w:r>
        <w:t xml:space="preserve"> end of the maturity scale represents “readiness” for each dimension. The descriptions below </w:t>
      </w:r>
      <w:proofErr w:type="spellStart"/>
      <w:r>
        <w:t>summarise</w:t>
      </w:r>
      <w:proofErr w:type="spellEnd"/>
      <w:r>
        <w:t xml:space="preserve"> the leading-end profile for each dimension, drawing on the dossier evidence in Parts 1 and 3 and the existing leading-edge instances among the Class D institutions identified in Part 3.2.</w:t>
      </w:r>
    </w:p>
    <w:p w14:paraId="69134F43" w14:textId="77777777" w:rsidR="00170D13" w:rsidRDefault="00000000">
      <w:pPr>
        <w:pStyle w:val="BodyText"/>
      </w:pPr>
      <w:r>
        <w:rPr>
          <w:i/>
          <w:iCs/>
        </w:rPr>
        <w:lastRenderedPageBreak/>
        <w:t>Dimension 1 — Human-in-the-loop discipline at leading.</w:t>
      </w:r>
      <w:r>
        <w:t xml:space="preserve"> The institution has published a research-task-level demarcation between </w:t>
      </w:r>
      <w:proofErr w:type="spellStart"/>
      <w:r>
        <w:t>labour</w:t>
      </w:r>
      <w:proofErr w:type="spellEnd"/>
      <w:r>
        <w:t xml:space="preserve">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t xml:space="preserve"> on this dimension; the German U15 cluster, with its </w:t>
      </w:r>
      <w:proofErr w:type="spellStart"/>
      <w:r>
        <w:rPr>
          <w:i/>
          <w:iCs/>
        </w:rPr>
        <w:t>eidesstattliche</w:t>
      </w:r>
      <w:proofErr w:type="spellEnd"/>
      <w:r>
        <w:rPr>
          <w:i/>
          <w:iCs/>
        </w:rPr>
        <w:t xml:space="preserve"> Versicherung</w:t>
      </w:r>
      <w:r>
        <w:t xml:space="preserve"> tradition and the named graduate-academy-level documents at Heidelberg, is the closest current global instance of </w:t>
      </w:r>
      <w:r>
        <w:rPr>
          <w:i/>
          <w:iCs/>
        </w:rPr>
        <w:t>leading</w:t>
      </w:r>
      <w:r>
        <w:t>. The University College London Doctoral School’s policy on candidate-supervisor authorship-and-acknowledgement and the King’s College London Centre for Education Studies’ explicit examiner-side rules are the closest UK instances.</w:t>
      </w:r>
    </w:p>
    <w:p w14:paraId="24D4A172" w14:textId="77777777" w:rsidR="00170D13" w:rsidRDefault="00000000">
      <w:pPr>
        <w:pStyle w:val="BodyText"/>
      </w:pPr>
      <w:r>
        <w:rPr>
          <w:i/>
          <w:iCs/>
        </w:rPr>
        <w:t>Dimension 2 — Responsible use in practice at leading.</w:t>
      </w:r>
      <w:r>
        <w:t xml:space="preserve"> Task-level rules for the four AI-use modes (search, co-author, validator, tutor) are published, taught, supervised, and examined; disclosure on outputs is </w:t>
      </w:r>
      <w:proofErr w:type="spellStart"/>
      <w:r>
        <w:t>operationalised</w:t>
      </w:r>
      <w:proofErr w:type="spellEnd"/>
      <w:r>
        <w:t xml:space="preserve">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t xml:space="preserve"> is achievable, but no university in 2026 has yet reached it.</w:t>
      </w:r>
    </w:p>
    <w:p w14:paraId="0C425FAB" w14:textId="77777777" w:rsidR="00170D13" w:rsidRDefault="00000000">
      <w:pPr>
        <w:pStyle w:val="BodyText"/>
      </w:pPr>
      <w:r>
        <w:rPr>
          <w:i/>
          <w:iCs/>
        </w:rPr>
        <w:t>Dimension 3 — Tooling that promotes responsible use at leading.</w:t>
      </w:r>
      <w: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w:t>
      </w:r>
      <w:r>
        <w:lastRenderedPageBreak/>
        <w:t xml:space="preserve">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t xml:space="preserve"> than the Anglosphere on the regulated-tooling axis. The Australian Group of Eight institutional tooling-procurement gates have improved through 2024-2026; full </w:t>
      </w:r>
      <w:r>
        <w:rPr>
          <w:i/>
          <w:iCs/>
        </w:rPr>
        <w:t>leading</w:t>
      </w:r>
      <w:r>
        <w:t xml:space="preserve"> maturity on this dimension awaits the Article 27 deadline.</w:t>
      </w:r>
    </w:p>
    <w:p w14:paraId="695CE102" w14:textId="77777777" w:rsidR="00170D13" w:rsidRDefault="00000000">
      <w:pPr>
        <w:pStyle w:val="BodyText"/>
      </w:pPr>
      <w:r>
        <w:rPr>
          <w:i/>
          <w:iCs/>
        </w:rPr>
        <w:t>Dimension 4 — AI-literate humans at leading.</w:t>
      </w:r>
      <w:r>
        <w:t xml:space="preserve"> The institution has codified the </w:t>
      </w:r>
      <w:proofErr w:type="gramStart"/>
      <w:r>
        <w:t>six core</w:t>
      </w:r>
      <w:proofErr w:type="gramEnd"/>
      <w:r>
        <w:t xml:space="preserv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t xml:space="preserve"> maturity on this dimension is currently aspirational at sector scale: it is achievable, no institution has reached it as a fully integrated </w:t>
      </w:r>
      <w:proofErr w:type="spellStart"/>
      <w:r>
        <w:t>programme</w:t>
      </w:r>
      <w:proofErr w:type="spellEnd"/>
      <w:r>
        <w:t xml:space="preserve"> as of 2026.</w:t>
      </w:r>
    </w:p>
    <w:p w14:paraId="2B310B47" w14:textId="77777777" w:rsidR="00170D13" w:rsidRDefault="00000000">
      <w:pPr>
        <w:pStyle w:val="BodyText"/>
      </w:pPr>
      <w:r>
        <w:rPr>
          <w:i/>
          <w:iCs/>
        </w:rPr>
        <w:t>Dimension 5 — Institutional benchmarking grid at leading.</w:t>
      </w:r>
      <w: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w:t>
      </w:r>
      <w:r>
        <w:lastRenderedPageBreak/>
        <w:t xml:space="preserve">benchmarking or peer audit operates at a stated cadence. No university in the sample publishes its own scoring against this framework as of mid-2026, because the framework has just been published in this report, so </w:t>
      </w:r>
      <w:r>
        <w:rPr>
          <w:i/>
          <w:iCs/>
        </w:rPr>
        <w:t>leading</w:t>
      </w:r>
      <w:r>
        <w:t xml:space="preserve"> on Dimension 5 is, for now, a forward-looking standard that the framework’s adopters can elect to populate.</w:t>
      </w:r>
      <w:bookmarkEnd w:id="34"/>
    </w:p>
    <w:p w14:paraId="138A7ECF" w14:textId="77777777" w:rsidR="00170D13" w:rsidRDefault="00000000">
      <w:pPr>
        <w:pStyle w:val="Heading3"/>
      </w:pPr>
      <w:bookmarkStart w:id="35" w:name="worked-institutional-examples"/>
      <w:r>
        <w:t>4.3 Worked institutional examples</w:t>
      </w:r>
    </w:p>
    <w:p w14:paraId="432F80C6" w14:textId="77777777" w:rsidR="00170D13" w:rsidRDefault="00000000">
      <w:pPr>
        <w:pStyle w:val="FirstParagraph"/>
      </w:pPr>
      <w:r>
        <w:t>Three worked examples illustrate how the grid scores the same institution differently across dimensions, and how the dimensional pattern reveals where the institutional posture is consistent and where it is uneven.</w:t>
      </w:r>
    </w:p>
    <w:p w14:paraId="106C00E7" w14:textId="77777777" w:rsidR="00170D13" w:rsidRDefault="00000000">
      <w:pPr>
        <w:pStyle w:val="BodyText"/>
      </w:pPr>
      <w:r>
        <w:rPr>
          <w:i/>
          <w:iCs/>
        </w:rPr>
        <w:t>University College London — Class D in the Part 1.3 taxonomy.</w:t>
      </w:r>
      <w:r>
        <w:t xml:space="preserve"> On Dimension 1, </w:t>
      </w:r>
      <w:r>
        <w:rPr>
          <w:i/>
          <w:iCs/>
        </w:rPr>
        <w:t>established</w:t>
      </w:r>
      <w:r>
        <w:t xml:space="preserve"> moving to </w:t>
      </w:r>
      <w:r>
        <w:rPr>
          <w:i/>
          <w:iCs/>
        </w:rPr>
        <w:t>leading</w:t>
      </w:r>
      <w:r>
        <w:t xml:space="preserve"> on the strength of the Doctoral School’s “Transparency on Authorship and Generative AI in Doctoral Research” policy and the explicit candidate-supervisor authorship-and-acknowledgement chain. On Dimension 2, </w:t>
      </w:r>
      <w:r>
        <w:rPr>
          <w:i/>
          <w:iCs/>
        </w:rPr>
        <w:t>established</w:t>
      </w:r>
      <w:r>
        <w:t xml:space="preserve"> on the strength of the disclosure-and-acknowledgement requirements and UCL Press’s authorship rule, with the task-level taxonomy for all four AI-use modes not yet codified. On Dimension 3, </w:t>
      </w:r>
      <w:r>
        <w:rPr>
          <w:i/>
          <w:iCs/>
        </w:rPr>
        <w:t>nascent</w:t>
      </w:r>
      <w:r>
        <w:t xml:space="preserve">: UCL operates institutional AI tooling but a published procurement standard with the resolvability test does not appear in the public policy library. On Dimension 4, </w:t>
      </w:r>
      <w:r>
        <w:rPr>
          <w:i/>
          <w:iCs/>
        </w:rPr>
        <w:t>established</w:t>
      </w:r>
      <w: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t>: the policy is reviewable, the people are named (Doctoral School; Research Integrity Office), but a public benchmarking-and-improvement cycle is not yet articulated. Overall profile: leading at Dimension 1, lagging at Dimension 3, intermediate elsewhere.</w:t>
      </w:r>
    </w:p>
    <w:p w14:paraId="1A6B50A6" w14:textId="77777777" w:rsidR="00170D13" w:rsidRDefault="00000000">
      <w:pPr>
        <w:pStyle w:val="BodyText"/>
      </w:pPr>
      <w:r>
        <w:rPr>
          <w:i/>
          <w:iCs/>
        </w:rPr>
        <w:t>Heidelberg University Graduate Academy — Class D, German U15.</w:t>
      </w:r>
      <w:r>
        <w:t xml:space="preserve"> On Dimension 1, </w:t>
      </w:r>
      <w:r>
        <w:rPr>
          <w:i/>
          <w:iCs/>
        </w:rPr>
        <w:t>leading</w:t>
      </w:r>
      <w:r>
        <w:t xml:space="preserve">: the </w:t>
      </w:r>
      <w:proofErr w:type="spellStart"/>
      <w:r>
        <w:rPr>
          <w:i/>
          <w:iCs/>
        </w:rPr>
        <w:t>eidesstattliche</w:t>
      </w:r>
      <w:proofErr w:type="spellEnd"/>
      <w:r>
        <w:rPr>
          <w:i/>
          <w:iCs/>
        </w:rPr>
        <w:t xml:space="preserve"> Versicherung</w:t>
      </w:r>
      <w:r>
        <w:t xml:space="preserve"> affidavit tradition supplies a native legal anchor that no other national system replicates, and the Graduate Academy’s policy </w:t>
      </w:r>
      <w:proofErr w:type="spellStart"/>
      <w:r>
        <w:t>operationalises</w:t>
      </w:r>
      <w:proofErr w:type="spellEnd"/>
      <w:r>
        <w:t xml:space="preserve"> AI disclosure inside that tradition. On Dimension 2, </w:t>
      </w:r>
      <w:r>
        <w:rPr>
          <w:i/>
          <w:iCs/>
        </w:rPr>
        <w:t>established</w:t>
      </w:r>
      <w:r>
        <w:t xml:space="preserve">: the policy is task-level </w:t>
      </w:r>
      <w:proofErr w:type="spellStart"/>
      <w:r>
        <w:lastRenderedPageBreak/>
        <w:t>operationalised</w:t>
      </w:r>
      <w:proofErr w:type="spellEnd"/>
      <w:r>
        <w:t xml:space="preserve"> for the four AI-use modes with the affidavit as the disclosure instrument. On Dimension 3, </w:t>
      </w:r>
      <w:r>
        <w:rPr>
          <w:i/>
          <w:iCs/>
        </w:rPr>
        <w:t>established</w:t>
      </w:r>
      <w:r>
        <w:t xml:space="preserve">: the German institutional landscape carries the EU AI Act compliance gate by structural integration. On Dimension 4, </w:t>
      </w:r>
      <w:r>
        <w:rPr>
          <w:i/>
          <w:iCs/>
        </w:rPr>
        <w:t>established</w:t>
      </w:r>
      <w:r>
        <w:t xml:space="preserve">: the Graduate Academy supplies AI-literacy provision aligned with the existing doctoral-development </w:t>
      </w:r>
      <w:proofErr w:type="spellStart"/>
      <w:r>
        <w:t>programme</w:t>
      </w:r>
      <w:proofErr w:type="spellEnd"/>
      <w:r>
        <w:t xml:space="preserve">. On Dimension 5, </w:t>
      </w:r>
      <w:r>
        <w:rPr>
          <w:i/>
          <w:iCs/>
        </w:rPr>
        <w:t>established</w:t>
      </w:r>
      <w:r>
        <w:t xml:space="preserve">: the affidavit instrument and the Graduate Academy </w:t>
      </w:r>
      <w:proofErr w:type="spellStart"/>
      <w:r>
        <w:t>programme</w:t>
      </w:r>
      <w:proofErr w:type="spellEnd"/>
      <w:r>
        <w:t xml:space="preserve"> structure produce a benchmarking-friendly institutional evidence base. Overall profile: the most consistently mature single institution in the global sample.</w:t>
      </w:r>
    </w:p>
    <w:p w14:paraId="2201A2A9" w14:textId="77777777" w:rsidR="00170D13" w:rsidRDefault="00000000">
      <w:pPr>
        <w:pStyle w:val="BodyText"/>
      </w:pPr>
      <w:r>
        <w:rPr>
          <w:i/>
          <w:iCs/>
        </w:rPr>
        <w:t>A US Ivy-Plus university at the Part 1.3 Class A or B end.</w:t>
      </w:r>
      <w:r>
        <w:t xml:space="preserve"> On Dimension 1, </w:t>
      </w:r>
      <w:r>
        <w:rPr>
          <w:i/>
          <w:iCs/>
        </w:rPr>
        <w:t>nascent</w:t>
      </w:r>
      <w:r>
        <w:t xml:space="preserve">: central policy mentions AI under academic-integrity language without articulating the </w:t>
      </w:r>
      <w:proofErr w:type="spellStart"/>
      <w:r>
        <w:t>labour</w:t>
      </w:r>
      <w:proofErr w:type="spellEnd"/>
      <w:r>
        <w:t xml:space="preserve">-vs-judgement demarcation at research-task level. On Dimension 2, </w:t>
      </w:r>
      <w:r>
        <w:rPr>
          <w:i/>
          <w:iCs/>
        </w:rPr>
        <w:t>absent</w:t>
      </w:r>
      <w:r>
        <w:t xml:space="preserve"> to </w:t>
      </w:r>
      <w:r>
        <w:rPr>
          <w:i/>
          <w:iCs/>
        </w:rPr>
        <w:t>nascent</w:t>
      </w:r>
      <w:r>
        <w:t xml:space="preserve">: task-level rules are devolved to schools and faculties; no central institutional position. On Dimension 3, </w:t>
      </w:r>
      <w:r>
        <w:rPr>
          <w:i/>
          <w:iCs/>
        </w:rPr>
        <w:t>nascent</w:t>
      </w:r>
      <w:r>
        <w:t xml:space="preserve">: institutional AI procurement is fragmented across schools and central IT; the resolvability test is not applied as an institutional gate. On Dimension 4, </w:t>
      </w:r>
      <w:r>
        <w:rPr>
          <w:i/>
          <w:iCs/>
        </w:rPr>
        <w:t>absent</w:t>
      </w:r>
      <w:r>
        <w:t xml:space="preserve"> to </w:t>
      </w:r>
      <w:r>
        <w:rPr>
          <w:i/>
          <w:iCs/>
        </w:rPr>
        <w:t>nascent</w:t>
      </w:r>
      <w:r>
        <w:t xml:space="preserve">: AI-literacy provision is uneven across schools, with some Class-leading school-level documents (Harvard Graduate School of Education; Michigan Rackham; MIT departments) but no central </w:t>
      </w:r>
      <w:proofErr w:type="spellStart"/>
      <w:r>
        <w:t>programme</w:t>
      </w:r>
      <w:proofErr w:type="spellEnd"/>
      <w:r>
        <w:t xml:space="preserve">. On Dimension 5, </w:t>
      </w:r>
      <w:r>
        <w:rPr>
          <w:i/>
          <w:iCs/>
        </w:rPr>
        <w:t>absent</w:t>
      </w:r>
      <w:r>
        <w:t>: no central benchmarking-and-improvement cycle; the devolved structure resists single-institutional scoring. Overall profile: substantial school-level activity, weak central institutional posture, dimension-5 absent.</w:t>
      </w:r>
    </w:p>
    <w:p w14:paraId="33C9E345" w14:textId="77777777" w:rsidR="00170D13" w:rsidRDefault="00000000">
      <w:pPr>
        <w:pStyle w:val="BodyText"/>
      </w:pPr>
      <w: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t xml:space="preserve"> on Dimension 1 but </w:t>
      </w:r>
      <w:r>
        <w:rPr>
          <w:i/>
          <w:iCs/>
        </w:rPr>
        <w:t>absent</w:t>
      </w:r>
      <w:r>
        <w:t xml:space="preserve"> on Dimension 3 cannot </w:t>
      </w:r>
      <w:proofErr w:type="spellStart"/>
      <w:r>
        <w:t>realise</w:t>
      </w:r>
      <w:proofErr w:type="spellEnd"/>
      <w:r>
        <w:t xml:space="preserve"> the human-in-the-loop discipline at scale, because the tooling its researchers </w:t>
      </w:r>
      <w:proofErr w:type="gramStart"/>
      <w:r>
        <w:t>actually use</w:t>
      </w:r>
      <w:proofErr w:type="gramEnd"/>
      <w:r>
        <w:t xml:space="preserve"> does not support it. The grid is built to make the constraint visible.</w:t>
      </w:r>
      <w:bookmarkEnd w:id="32"/>
      <w:bookmarkEnd w:id="35"/>
    </w:p>
    <w:p w14:paraId="6320988B" w14:textId="77777777" w:rsidR="00170D13" w:rsidRDefault="00000000">
      <w:pPr>
        <w:pStyle w:val="Heading2"/>
      </w:pPr>
      <w:bookmarkStart w:id="36" w:name="X84b8053bd241840a3d62bcee5726c3dbee3ed04"/>
      <w:r>
        <w:lastRenderedPageBreak/>
        <w:t>Part 5 — Recommendations for university research leadership</w:t>
      </w:r>
    </w:p>
    <w:p w14:paraId="7488FB76" w14:textId="77777777" w:rsidR="00170D13" w:rsidRDefault="00000000">
      <w:pPr>
        <w:pStyle w:val="FirstParagraph"/>
      </w:pPr>
      <w:r>
        <w:t xml:space="preserve">Part 5 specifies, for each of the five audience tiers from the executive summary, a small number of concrete actions that move an institution along the maturity grid. Each recommendation names the framework dimension it </w:t>
      </w:r>
      <w:proofErr w:type="gramStart"/>
      <w:r>
        <w:t>targets</w:t>
      </w:r>
      <w:proofErr w:type="gramEnd"/>
      <w:r>
        <w:t xml:space="preserve"> and the maturity-level move it represents. The actions are non-prescriptive on which level the institution should ultimately </w:t>
      </w:r>
      <w:proofErr w:type="gramStart"/>
      <w:r>
        <w:t>occupy:</w:t>
      </w:r>
      <w:proofErr w:type="gramEnd"/>
      <w:r>
        <w:t xml:space="preserve"> that is an institutional choice. The actions are prescriptive on what counts as movement.</w:t>
      </w:r>
    </w:p>
    <w:p w14:paraId="4623DE72" w14:textId="77777777" w:rsidR="00170D13" w:rsidRDefault="00000000">
      <w:pPr>
        <w:pStyle w:val="Heading3"/>
      </w:pPr>
      <w:bookmarkStart w:id="37" w:name="for-executive-research-leadership"/>
      <w:r>
        <w:t>5.1 For executive research leadership</w:t>
      </w:r>
    </w:p>
    <w:p w14:paraId="69198990" w14:textId="77777777" w:rsidR="00170D13" w:rsidRDefault="00000000">
      <w:pPr>
        <w:pStyle w:val="FirstParagraph"/>
      </w:pPr>
      <w:r>
        <w:t>The Tier 1 audience is the Deputy Vice-Chancellors and equivalents, the Pro-Vice-Chancellors and Deputy Vice Presidents of Research, the Deputy Provosts. Five concrete actions.</w:t>
      </w:r>
    </w:p>
    <w:p w14:paraId="13BF4477" w14:textId="77777777" w:rsidR="00170D13" w:rsidRDefault="00000000">
      <w:pPr>
        <w:pStyle w:val="BodyText"/>
      </w:pPr>
      <w:r>
        <w:t xml:space="preserve">First, </w:t>
      </w:r>
      <w:r>
        <w:rPr>
          <w:i/>
          <w:iCs/>
        </w:rPr>
        <w:t>appoint an owner for Dimension 5</w:t>
      </w:r>
      <w: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t xml:space="preserve"> to </w:t>
      </w:r>
      <w:r>
        <w:rPr>
          <w:i/>
          <w:iCs/>
        </w:rPr>
        <w:t>nascent</w:t>
      </w:r>
      <w:r>
        <w:t xml:space="preserve"> on Dimension 5.</w:t>
      </w:r>
    </w:p>
    <w:p w14:paraId="2BB232F8" w14:textId="77777777" w:rsidR="00170D13" w:rsidRDefault="00000000">
      <w:pPr>
        <w:pStyle w:val="BodyText"/>
      </w:pPr>
      <w:r>
        <w:t xml:space="preserve">Second, </w:t>
      </w:r>
      <w:r>
        <w:rPr>
          <w:i/>
          <w:iCs/>
        </w:rPr>
        <w:t>publish the institution’s preparation status for the regulatory pressure points</w:t>
      </w:r>
      <w: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t>.</w:t>
      </w:r>
    </w:p>
    <w:p w14:paraId="6E5A0E3C" w14:textId="77777777" w:rsidR="00170D13" w:rsidRDefault="00000000">
      <w:pPr>
        <w:pStyle w:val="BodyText"/>
      </w:pPr>
      <w:r>
        <w:t xml:space="preserve">Third, </w:t>
      </w:r>
      <w:r>
        <w:rPr>
          <w:i/>
          <w:iCs/>
        </w:rPr>
        <w:t>commission an institutional review against the maturity grid</w:t>
      </w:r>
      <w:r>
        <w:t xml:space="preserve"> in Part 4 and Appendix A and publish the dimensional profile. The review can be internal in year one; external </w:t>
      </w:r>
      <w:r>
        <w:lastRenderedPageBreak/>
        <w:t xml:space="preserve">benchmarking against peers is what moves the institution from </w:t>
      </w:r>
      <w:r>
        <w:rPr>
          <w:i/>
          <w:iCs/>
        </w:rPr>
        <w:t>established</w:t>
      </w:r>
      <w:r>
        <w:t xml:space="preserve"> to </w:t>
      </w:r>
      <w:r>
        <w:rPr>
          <w:i/>
          <w:iCs/>
        </w:rPr>
        <w:t>leading</w:t>
      </w:r>
      <w:r>
        <w:t xml:space="preserve"> on Dimension 5.</w:t>
      </w:r>
    </w:p>
    <w:p w14:paraId="0FE11234" w14:textId="77777777" w:rsidR="00170D13" w:rsidRDefault="00000000">
      <w:pPr>
        <w:pStyle w:val="BodyText"/>
      </w:pPr>
      <w:r>
        <w:t xml:space="preserve">Fourth, </w:t>
      </w:r>
      <w:r>
        <w:rPr>
          <w:i/>
          <w:iCs/>
        </w:rPr>
        <w:t>fund the people, systems, and processes the dimensional profile reveals are constrained</w:t>
      </w:r>
      <w:r>
        <w:t xml:space="preserve">. Dimension 3 (tooling that promotes responsible use) typically requires the largest upfront investment because the institutional procurement gate, the sampled resolvability test, and the EU AI Act Article 27 Fundamental Rights Impact Assessment infrastructure are </w:t>
      </w:r>
      <w:proofErr w:type="spellStart"/>
      <w:r>
        <w:t>organisationally</w:t>
      </w:r>
      <w:proofErr w:type="spellEnd"/>
      <w:r>
        <w:t xml:space="preserve">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14:paraId="488418DA" w14:textId="77777777" w:rsidR="00170D13" w:rsidRDefault="00000000">
      <w:pPr>
        <w:pStyle w:val="BodyText"/>
      </w:pPr>
      <w:r>
        <w:t xml:space="preserve">Fifth, </w:t>
      </w:r>
      <w:r>
        <w:rPr>
          <w:i/>
          <w:iCs/>
        </w:rPr>
        <w:t>state the institution’s framework position publicly</w:t>
      </w:r>
      <w: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7"/>
    </w:p>
    <w:p w14:paraId="0EBA335F" w14:textId="77777777" w:rsidR="00170D13" w:rsidRDefault="00000000">
      <w:pPr>
        <w:pStyle w:val="Heading3"/>
      </w:pPr>
      <w:bookmarkStart w:id="38" w:name="Xfe35cd0e7334cb7c73c4edbd7515c9376f22755"/>
      <w:r>
        <w:t>5.2 For faculty deans and associate deans of research</w:t>
      </w:r>
    </w:p>
    <w:p w14:paraId="185184A1" w14:textId="77777777" w:rsidR="00170D13" w:rsidRDefault="00000000">
      <w:pPr>
        <w:pStyle w:val="FirstParagraph"/>
      </w:pPr>
      <w:r>
        <w:t>The Tier 2 audience translates the executive position into faculty practice. Four concrete actions.</w:t>
      </w:r>
    </w:p>
    <w:p w14:paraId="0A59C20C" w14:textId="77777777" w:rsidR="00170D13" w:rsidRDefault="00000000">
      <w:pPr>
        <w:pStyle w:val="BodyText"/>
      </w:pPr>
      <w:r>
        <w:t xml:space="preserve">First, </w:t>
      </w:r>
      <w:r>
        <w:rPr>
          <w:i/>
          <w:iCs/>
        </w:rPr>
        <w:t>publish the faculty’s task-level rules for AI use in PhD research</w:t>
      </w:r>
      <w: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14:paraId="30760A9F" w14:textId="77777777" w:rsidR="00170D13" w:rsidRDefault="00000000">
      <w:pPr>
        <w:pStyle w:val="BodyText"/>
      </w:pPr>
      <w:r>
        <w:lastRenderedPageBreak/>
        <w:t xml:space="preserve">Second, </w:t>
      </w:r>
      <w:r>
        <w:rPr>
          <w:i/>
          <w:iCs/>
        </w:rPr>
        <w:t>integrate AI competency into the faculty’s PhD methods curriculum</w:t>
      </w:r>
      <w: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t xml:space="preserve"> to </w:t>
      </w:r>
      <w:r>
        <w:rPr>
          <w:i/>
          <w:iCs/>
        </w:rPr>
        <w:t>established</w:t>
      </w:r>
      <w:r>
        <w:t xml:space="preserve"> on Dimension 4 at faculty scale.</w:t>
      </w:r>
    </w:p>
    <w:p w14:paraId="3B823B72" w14:textId="77777777" w:rsidR="00170D13" w:rsidRDefault="00000000">
      <w:pPr>
        <w:pStyle w:val="BodyText"/>
      </w:pPr>
      <w:r>
        <w:t xml:space="preserve">Third, </w:t>
      </w:r>
      <w:r>
        <w:rPr>
          <w:i/>
          <w:iCs/>
        </w:rPr>
        <w:t xml:space="preserve">commission a faculty-level mapping of the AI tools faculty researchers actually </w:t>
      </w:r>
      <w:proofErr w:type="gramStart"/>
      <w:r>
        <w:rPr>
          <w:i/>
          <w:iCs/>
        </w:rPr>
        <w:t>use</w:t>
      </w:r>
      <w:proofErr w:type="gramEnd"/>
      <w:r>
        <w:t xml:space="preserve"> against the §2.3 observable-property test. The mapping is a one-off at the faculty level and feeds the institutional tooling-procurement gate. Faculty researchers will surface tools the institutional procurement gate has not yet considered.</w:t>
      </w:r>
    </w:p>
    <w:p w14:paraId="0E2F5B69" w14:textId="77777777" w:rsidR="00170D13" w:rsidRDefault="00000000">
      <w:pPr>
        <w:pStyle w:val="BodyText"/>
      </w:pPr>
      <w:r>
        <w:t xml:space="preserve">Fourth, </w:t>
      </w:r>
      <w:r>
        <w:rPr>
          <w:i/>
          <w:iCs/>
        </w:rPr>
        <w:t>report the faculty’s dimensional profile against the institutional benchmark</w:t>
      </w:r>
      <w:r>
        <w:t xml:space="preserve">. The faculty’s profile may differ from the institutional one, and the difference is the most informative diagnostic. A faculty at </w:t>
      </w:r>
      <w:r>
        <w:rPr>
          <w:i/>
          <w:iCs/>
        </w:rPr>
        <w:t>established</w:t>
      </w:r>
      <w:r>
        <w:t xml:space="preserve"> on Dimension 1 while the institution is at </w:t>
      </w:r>
      <w:r>
        <w:rPr>
          <w:i/>
          <w:iCs/>
        </w:rPr>
        <w:t>nascent</w:t>
      </w:r>
      <w:r>
        <w:t xml:space="preserve"> is doing important work the institution should learn from. A faculty at </w:t>
      </w:r>
      <w:r>
        <w:rPr>
          <w:i/>
          <w:iCs/>
        </w:rPr>
        <w:t>absent</w:t>
      </w:r>
      <w:r>
        <w:t xml:space="preserve"> on Dimension 4 while the institution is at </w:t>
      </w:r>
      <w:r>
        <w:rPr>
          <w:i/>
          <w:iCs/>
        </w:rPr>
        <w:t>established</w:t>
      </w:r>
      <w:r>
        <w:t xml:space="preserve"> needs faculty-level intervention.</w:t>
      </w:r>
      <w:bookmarkEnd w:id="38"/>
    </w:p>
    <w:p w14:paraId="49D27A33" w14:textId="77777777" w:rsidR="00170D13" w:rsidRDefault="00000000">
      <w:pPr>
        <w:pStyle w:val="Heading3"/>
      </w:pPr>
      <w:bookmarkStart w:id="39" w:name="Xc5c7e67c2b686b79a10b44fe001854c04336b11"/>
      <w:r>
        <w:t>5.3 For deans of graduate schools and A/Deans of research training</w:t>
      </w:r>
    </w:p>
    <w:p w14:paraId="2AA6D311" w14:textId="77777777" w:rsidR="00170D13" w:rsidRDefault="00000000">
      <w:pPr>
        <w:pStyle w:val="FirstParagraph"/>
      </w:pPr>
      <w:r>
        <w:t>The Tier 3 audience manages the core research-training functions: supervision, curriculum, and examination. Four concrete actions.</w:t>
      </w:r>
    </w:p>
    <w:p w14:paraId="5CFBF32A" w14:textId="77777777" w:rsidR="00170D13" w:rsidRDefault="00000000">
      <w:pPr>
        <w:pStyle w:val="BodyText"/>
      </w:pPr>
      <w:r>
        <w:t xml:space="preserve">First, </w:t>
      </w:r>
      <w:r>
        <w:rPr>
          <w:i/>
          <w:iCs/>
        </w:rPr>
        <w:t>publish a graduate-school-level AI policy with examiner-side rules</w:t>
      </w:r>
      <w: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t xml:space="preserve"> to </w:t>
      </w:r>
      <w:r>
        <w:rPr>
          <w:i/>
          <w:iCs/>
        </w:rPr>
        <w:t>established</w:t>
      </w:r>
      <w:r>
        <w:t xml:space="preserve"> on Dimension 1 at graduate-school scale.</w:t>
      </w:r>
    </w:p>
    <w:p w14:paraId="48AC70BE" w14:textId="77777777" w:rsidR="00170D13" w:rsidRDefault="00000000">
      <w:pPr>
        <w:pStyle w:val="BodyText"/>
      </w:pPr>
      <w:r>
        <w:t xml:space="preserve">Second, </w:t>
      </w:r>
      <w:r>
        <w:rPr>
          <w:i/>
          <w:iCs/>
        </w:rPr>
        <w:t>codify the six AI-era competencies as PhD methods curriculum outcomes</w:t>
      </w:r>
      <w:r>
        <w:t xml:space="preserve">. The competencies are additive to the pre-AI reproducibility-and-validity canon; the </w:t>
      </w:r>
      <w:r>
        <w:lastRenderedPageBreak/>
        <w:t xml:space="preserve">curriculum carries both. KU Leuven’s “Responsible and Open research learning path for PhD researchers” and Helsinki’s MOOC sequence are the curriculum-integration exemplars. The curriculum review cycle is </w:t>
      </w:r>
      <w:proofErr w:type="gramStart"/>
      <w:r>
        <w:t>published</w:t>
      </w:r>
      <w:proofErr w:type="gramEnd"/>
      <w:r>
        <w:t xml:space="preserve"> and the curriculum content tracks the AI tool landscape.</w:t>
      </w:r>
    </w:p>
    <w:p w14:paraId="1A6E04BD" w14:textId="77777777" w:rsidR="00170D13" w:rsidRDefault="00000000">
      <w:pPr>
        <w:pStyle w:val="BodyText"/>
      </w:pPr>
      <w:r>
        <w:t xml:space="preserve">Third, </w:t>
      </w:r>
      <w:r>
        <w:rPr>
          <w:i/>
          <w:iCs/>
        </w:rPr>
        <w:t>train supervisors on the framework</w:t>
      </w:r>
      <w: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14:paraId="09B886BA" w14:textId="77777777" w:rsidR="00170D13" w:rsidRDefault="00000000">
      <w:pPr>
        <w:pStyle w:val="BodyText"/>
      </w:pPr>
      <w:r>
        <w:t xml:space="preserve">Fourth, </w:t>
      </w:r>
      <w:r>
        <w:rPr>
          <w:i/>
          <w:iCs/>
        </w:rPr>
        <w:t>train examiners on the corresponding verification skills</w:t>
      </w:r>
      <w:r>
        <w:t xml:space="preserve">. The examiner-side rule that a candidate “must be able to describe and defend any use of generative AI, as well as the contents of the thesis during their final oral examination,” the University of Toronto School of Graduate Studies formulation, </w:t>
      </w:r>
      <w:proofErr w:type="spellStart"/>
      <w:r>
        <w:t>operationalises</w:t>
      </w:r>
      <w:proofErr w:type="spellEnd"/>
      <w:r>
        <w:t xml:space="preserve"> Dimension 1 at the point of examination. The examiner training carries the verification competencies the examination is expected to apply.</w:t>
      </w:r>
      <w:bookmarkEnd w:id="39"/>
    </w:p>
    <w:p w14:paraId="07154CAA" w14:textId="77777777" w:rsidR="00170D13" w:rsidRDefault="00000000">
      <w:pPr>
        <w:pStyle w:val="Heading3"/>
      </w:pPr>
      <w:bookmarkStart w:id="40" w:name="Xf8e6fc39c3d0ddc0391c79039db452b3c38372d"/>
      <w:r>
        <w:t>5.4 For higher-degrees committees and research-integrity committees</w:t>
      </w:r>
    </w:p>
    <w:p w14:paraId="572AC6FC" w14:textId="77777777" w:rsidR="00170D13" w:rsidRDefault="00000000">
      <w:pPr>
        <w:pStyle w:val="FirstParagraph"/>
      </w:pPr>
      <w:r>
        <w:t>The Tier 4 audience writes the policy text and adjudicates the cases the policy text covers. Three concrete actions.</w:t>
      </w:r>
    </w:p>
    <w:p w14:paraId="1F20985A" w14:textId="77777777" w:rsidR="00170D13" w:rsidRDefault="00000000">
      <w:pPr>
        <w:pStyle w:val="BodyText"/>
      </w:pPr>
      <w:r>
        <w:t xml:space="preserve">First, </w:t>
      </w:r>
      <w:r>
        <w:rPr>
          <w:i/>
          <w:iCs/>
        </w:rPr>
        <w:t>publish a committee-level AI policy anchored in research-integrity adjudication</w:t>
      </w:r>
      <w: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proofErr w:type="spellStart"/>
      <w:r>
        <w:rPr>
          <w:i/>
          <w:iCs/>
        </w:rPr>
        <w:t>eidesstattliche</w:t>
      </w:r>
      <w:proofErr w:type="spellEnd"/>
      <w:r>
        <w:rPr>
          <w:i/>
          <w:iCs/>
        </w:rPr>
        <w:t xml:space="preserve"> Versicherung</w:t>
      </w:r>
      <w:r>
        <w:t xml:space="preserve"> tradition, </w:t>
      </w:r>
      <w:r>
        <w:lastRenderedPageBreak/>
        <w:t>and the publisher-side disclosure conventions supply the policy-language anchors the committee can build on.</w:t>
      </w:r>
    </w:p>
    <w:p w14:paraId="40817043" w14:textId="77777777" w:rsidR="00170D13" w:rsidRDefault="00000000">
      <w:pPr>
        <w:pStyle w:val="BodyText"/>
      </w:pPr>
      <w:r>
        <w:t xml:space="preserve">Second, </w:t>
      </w:r>
      <w:r>
        <w:rPr>
          <w:i/>
          <w:iCs/>
        </w:rPr>
        <w:t>develop an adjudication framework for AI-related cases</w:t>
      </w:r>
      <w: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14:paraId="40BCA3B0" w14:textId="77777777" w:rsidR="00170D13" w:rsidRDefault="00000000">
      <w:pPr>
        <w:pStyle w:val="BodyText"/>
      </w:pPr>
      <w:r>
        <w:t xml:space="preserve">Third, </w:t>
      </w:r>
      <w:r>
        <w:rPr>
          <w:i/>
          <w:iCs/>
        </w:rPr>
        <w:t>engage with the regulatory environment</w:t>
      </w:r>
      <w: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0"/>
    </w:p>
    <w:p w14:paraId="1FE07F9D" w14:textId="77777777" w:rsidR="00170D13" w:rsidRDefault="00000000">
      <w:pPr>
        <w:pStyle w:val="Heading3"/>
      </w:pPr>
      <w:bookmarkStart w:id="41" w:name="for-peak-bodies-for-graduate-students"/>
      <w:r>
        <w:t>5.5 For peak bodies for graduate students</w:t>
      </w:r>
    </w:p>
    <w:p w14:paraId="028C7A5D" w14:textId="77777777" w:rsidR="00170D13" w:rsidRDefault="00000000">
      <w:pPr>
        <w:pStyle w:val="FirstParagraph"/>
      </w:pPr>
      <w:r>
        <w:t>The Tier 5 audience comprises advocacy bodies: national graduate-student associations, councils of graduate schools, and postdoc associations. Three concrete actions.</w:t>
      </w:r>
    </w:p>
    <w:p w14:paraId="623EEA78" w14:textId="77777777" w:rsidR="00170D13" w:rsidRDefault="00000000">
      <w:pPr>
        <w:pStyle w:val="BodyText"/>
      </w:pPr>
      <w:r>
        <w:t xml:space="preserve">First, </w:t>
      </w:r>
      <w:r>
        <w:rPr>
          <w:i/>
          <w:iCs/>
        </w:rPr>
        <w:t>publish position statements specifying what graduate students should be entitled to expect</w:t>
      </w:r>
      <w:r>
        <w:t xml:space="preserve"> from their training environment on each of the framework’s five dimensions. The position can be expressed as a published charter, a sector-level petition, or an annual benchmarking report. The Council of Graduate Schools and </w:t>
      </w:r>
      <w:proofErr w:type="spellStart"/>
      <w:r>
        <w:t>Institut</w:t>
      </w:r>
      <w:proofErr w:type="spellEnd"/>
      <w:r>
        <w:t xml:space="preserve"> national de la recherche </w:t>
      </w:r>
      <w:proofErr w:type="spellStart"/>
      <w:r>
        <w:t>scientifique</w:t>
      </w:r>
      <w:proofErr w:type="spellEnd"/>
      <w:r>
        <w:t xml:space="preserve"> 2025 Global Action Agenda is the closest current sector-level </w:t>
      </w:r>
      <w:r>
        <w:lastRenderedPageBreak/>
        <w:t>position; peak bodies for graduate students can name where its principles need operational extension.</w:t>
      </w:r>
    </w:p>
    <w:p w14:paraId="22B5EFA4" w14:textId="77777777" w:rsidR="00170D13" w:rsidRDefault="00000000">
      <w:pPr>
        <w:pStyle w:val="BodyText"/>
      </w:pPr>
      <w:r>
        <w:t xml:space="preserve">Second, </w:t>
      </w:r>
      <w:r>
        <w:rPr>
          <w:i/>
          <w:iCs/>
        </w:rPr>
        <w:t>advocate for the funder and institutional investment</w:t>
      </w:r>
      <w: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w:t>
      </w:r>
      <w:proofErr w:type="spellStart"/>
      <w:r>
        <w:t>Centres</w:t>
      </w:r>
      <w:proofErr w:type="spellEnd"/>
      <w:r>
        <w:t xml:space="preserve"> for Doctoral Training and £117 million commitment is the largest current investment of this kind; peak bodies for graduate students can name what comparable national investments would look like in their jurisdictions.</w:t>
      </w:r>
    </w:p>
    <w:p w14:paraId="38B71C3A" w14:textId="77777777" w:rsidR="00170D13" w:rsidRDefault="00000000">
      <w:pPr>
        <w:pStyle w:val="BodyText"/>
      </w:pPr>
      <w:r>
        <w:t xml:space="preserve">Third, </w:t>
      </w:r>
      <w:r>
        <w:rPr>
          <w:i/>
          <w:iCs/>
        </w:rPr>
        <w:t>commission and publish independent benchmarking</w:t>
      </w:r>
      <w: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6"/>
      <w:bookmarkEnd w:id="41"/>
    </w:p>
    <w:p w14:paraId="63C2B901" w14:textId="77777777" w:rsidR="00170D13" w:rsidRDefault="00000000">
      <w:pPr>
        <w:pStyle w:val="Heading2"/>
      </w:pPr>
      <w:bookmarkStart w:id="42" w:name="conclusion-1"/>
      <w:r>
        <w:t>Conclusion</w:t>
      </w:r>
    </w:p>
    <w:p w14:paraId="404056B2" w14:textId="77777777" w:rsidR="00170D13" w:rsidRDefault="00000000">
      <w:pPr>
        <w:pStyle w:val="FirstParagraph"/>
      </w:pPr>
      <w:r>
        <w:t xml:space="preserve">The world’s major academic publishers acted in ten weeks. National research funders have acted, unevenly, over three years. International competency-framework bodies have published the AI-literacy literature universities now cite. Universities themselves, the institutions that </w:t>
      </w:r>
      <w:proofErr w:type="gramStart"/>
      <w:r>
        <w:t>actually train</w:t>
      </w:r>
      <w:proofErr w:type="gramEnd"/>
      <w:r>
        <w:t xml:space="preserve">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14:paraId="7F4AC3C0" w14:textId="77777777" w:rsidR="00170D13" w:rsidRDefault="00000000">
      <w:pPr>
        <w:pStyle w:val="BodyText"/>
      </w:pPr>
      <w:r>
        <w:t xml:space="preserve">This matters beyond institutional compliance. Universities train the researchers who produce the knowledge for public decisions on health, climate, economic policy, and technology. Society relies on universities as epistemic infrastructure: institutions that </w:t>
      </w:r>
      <w:proofErr w:type="spellStart"/>
      <w:r>
        <w:lastRenderedPageBreak/>
        <w:t>organise</w:t>
      </w:r>
      <w:proofErr w:type="spellEnd"/>
      <w:r>
        <w:t xml:space="preserv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w:t>
      </w:r>
      <w:proofErr w:type="gramStart"/>
      <w:r>
        <w:t>an obligation universities</w:t>
      </w:r>
      <w:proofErr w:type="gramEnd"/>
      <w:r>
        <w:t xml:space="preserve"> owe society, because the social </w:t>
      </w:r>
      <w:proofErr w:type="spellStart"/>
      <w:r>
        <w:t>licence</w:t>
      </w:r>
      <w:proofErr w:type="spellEnd"/>
      <w:r>
        <w:t xml:space="preserve"> of research depends on knowledge that remains ethical, valid, reproducible, and transparent.</w:t>
      </w:r>
    </w:p>
    <w:p w14:paraId="72449BD3" w14:textId="77777777" w:rsidR="00170D13" w:rsidRDefault="00000000">
      <w:pPr>
        <w:pStyle w:val="BodyText"/>
      </w:pPr>
      <w:r>
        <w:t xml:space="preserve">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w:t>
      </w:r>
      <w:proofErr w:type="gramStart"/>
      <w:r>
        <w:t>policies, and</w:t>
      </w:r>
      <w:proofErr w:type="gramEnd"/>
      <w:r>
        <w:t xml:space="preserve"> not bolt-</w:t>
      </w:r>
      <w:proofErr w:type="spellStart"/>
      <w:r>
        <w:t>ons</w:t>
      </w:r>
      <w:proofErr w:type="spellEnd"/>
      <w:r>
        <w:t xml:space="preserve">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2"/>
    </w:p>
    <w:p w14:paraId="4D1AF040" w14:textId="77777777" w:rsidR="00170D13" w:rsidRDefault="00000000">
      <w:pPr>
        <w:pStyle w:val="Heading2"/>
      </w:pPr>
      <w:bookmarkStart w:id="43" w:name="Xe68ee8087a0fb6c54faf307f3bd4ef6aae1293d"/>
      <w:r>
        <w:t>Appendix A — The maturity grid, full version</w:t>
      </w:r>
    </w:p>
    <w:p w14:paraId="1D7FB82B" w14:textId="77777777" w:rsidR="00170D13" w:rsidRDefault="00000000">
      <w:pPr>
        <w:pStyle w:val="FirstParagraph"/>
      </w:pPr>
      <w:r>
        <w:t xml:space="preserve">Appendix A is the full grid table. Five framework dimensions on the row axis (Dimension 1 through Dimension 5 per Part 2); four maturity levels on the column axis (absent, nascent, established, leading). Each cell describes observable institutional </w:t>
      </w:r>
      <w:proofErr w:type="spellStart"/>
      <w:r>
        <w:t>behaviour</w:t>
      </w:r>
      <w:proofErr w:type="spellEnd"/>
      <w:r>
        <w:t xml:space="preserve"> at the dimension-and-level intersection, evaluated against the four institutional axes from §2.5 (policy / people / systems / process). The descriptions are deliberately short and observable; a workshop facilitator should be able to apply them to a candidate institution in an </w:t>
      </w:r>
      <w:proofErr w:type="gramStart"/>
      <w:r>
        <w:t>hour</w:t>
      </w:r>
      <w:proofErr w:type="gramEnd"/>
      <w:r>
        <w:t xml:space="preserve"> and the result should be reviewable by anyone else who reads the grid.</w:t>
      </w:r>
    </w:p>
    <w:tbl>
      <w:tblPr>
        <w:tblStyle w:val="Table"/>
        <w:tblW w:w="5000" w:type="pct"/>
        <w:tblInd w:w="108" w:type="dxa"/>
        <w:tblLayout w:type="fixed"/>
        <w:tblCellMar>
          <w:left w:w="108" w:type="dxa"/>
          <w:right w:w="108" w:type="dxa"/>
        </w:tblCellMar>
        <w:tblLook w:val="0020" w:firstRow="1" w:lastRow="0" w:firstColumn="0" w:lastColumn="0" w:noHBand="0" w:noVBand="0"/>
      </w:tblPr>
      <w:tblGrid>
        <w:gridCol w:w="1881"/>
        <w:gridCol w:w="1881"/>
        <w:gridCol w:w="1881"/>
        <w:gridCol w:w="1881"/>
        <w:gridCol w:w="1882"/>
      </w:tblGrid>
      <w:tr w:rsidR="00170D13" w14:paraId="5A1982EF" w14:textId="77777777">
        <w:trPr>
          <w:tblHeader/>
        </w:trPr>
        <w:tc>
          <w:tcPr>
            <w:tcW w:w="1881" w:type="dxa"/>
          </w:tcPr>
          <w:p w14:paraId="47C91932" w14:textId="77777777" w:rsidR="00170D13" w:rsidRDefault="00000000">
            <w:pPr>
              <w:pStyle w:val="TableText"/>
              <w:spacing w:before="0"/>
            </w:pPr>
            <w:r>
              <w:lastRenderedPageBreak/>
              <w:t>Dimension</w:t>
            </w:r>
          </w:p>
        </w:tc>
        <w:tc>
          <w:tcPr>
            <w:tcW w:w="1881" w:type="dxa"/>
          </w:tcPr>
          <w:p w14:paraId="08D86943" w14:textId="77777777" w:rsidR="00170D13" w:rsidRDefault="00000000">
            <w:pPr>
              <w:pStyle w:val="TableText"/>
              <w:spacing w:before="0"/>
            </w:pPr>
            <w:r>
              <w:t>Absent</w:t>
            </w:r>
          </w:p>
        </w:tc>
        <w:tc>
          <w:tcPr>
            <w:tcW w:w="1881" w:type="dxa"/>
          </w:tcPr>
          <w:p w14:paraId="714AD780" w14:textId="77777777" w:rsidR="00170D13" w:rsidRDefault="00000000">
            <w:pPr>
              <w:pStyle w:val="TableText"/>
              <w:spacing w:before="0"/>
            </w:pPr>
            <w:r>
              <w:t>Nascent</w:t>
            </w:r>
          </w:p>
        </w:tc>
        <w:tc>
          <w:tcPr>
            <w:tcW w:w="1881" w:type="dxa"/>
          </w:tcPr>
          <w:p w14:paraId="5F3A3120" w14:textId="77777777" w:rsidR="00170D13" w:rsidRDefault="00000000">
            <w:pPr>
              <w:pStyle w:val="TableText"/>
              <w:spacing w:before="0"/>
            </w:pPr>
            <w:r>
              <w:t>Established</w:t>
            </w:r>
          </w:p>
        </w:tc>
        <w:tc>
          <w:tcPr>
            <w:tcW w:w="1882" w:type="dxa"/>
          </w:tcPr>
          <w:p w14:paraId="567B7A8E" w14:textId="77777777" w:rsidR="00170D13" w:rsidRDefault="00000000">
            <w:pPr>
              <w:pStyle w:val="TableText"/>
              <w:spacing w:before="0"/>
            </w:pPr>
            <w:r>
              <w:t>Leading</w:t>
            </w:r>
          </w:p>
        </w:tc>
      </w:tr>
      <w:tr w:rsidR="00170D13" w14:paraId="7F803DDC" w14:textId="77777777">
        <w:tc>
          <w:tcPr>
            <w:tcW w:w="1881" w:type="dxa"/>
          </w:tcPr>
          <w:p w14:paraId="1FC0F380" w14:textId="77777777" w:rsidR="00170D13" w:rsidRDefault="00000000">
            <w:pPr>
              <w:pStyle w:val="TableText"/>
              <w:spacing w:before="0"/>
            </w:pPr>
            <w:r>
              <w:rPr>
                <w:b/>
                <w:bCs/>
              </w:rPr>
              <w:t>1. Human-in-the-loop discipline</w:t>
            </w:r>
          </w:p>
        </w:tc>
        <w:tc>
          <w:tcPr>
            <w:tcW w:w="1881" w:type="dxa"/>
          </w:tcPr>
          <w:p w14:paraId="484A45D3" w14:textId="77777777" w:rsidR="00170D13" w:rsidRDefault="00000000">
            <w:pPr>
              <w:pStyle w:val="TableText"/>
              <w:spacing w:before="0"/>
            </w:pPr>
            <w:r>
              <w:t xml:space="preserve">No published institutional position on which research tasks AI may augment and which it may not. </w:t>
            </w:r>
            <w:proofErr w:type="spellStart"/>
            <w:r>
              <w:t>Labour</w:t>
            </w:r>
            <w:proofErr w:type="spellEnd"/>
            <w:r>
              <w:t>-vs-judgement demarcation is left to individual supervisors. AI-related accountability language appears only in student-conduct or assessment-integrity policy.</w:t>
            </w:r>
          </w:p>
        </w:tc>
        <w:tc>
          <w:tcPr>
            <w:tcW w:w="1881" w:type="dxa"/>
          </w:tcPr>
          <w:p w14:paraId="64657EB3" w14:textId="77777777" w:rsidR="00170D13" w:rsidRDefault="00000000">
            <w:pPr>
              <w:pStyle w:val="TableText"/>
              <w:spacing w:before="0"/>
            </w:pPr>
            <w:r>
              <w:t>Institutional position articulated in principle (typically a single AI-policy document</w:t>
            </w:r>
            <w:proofErr w:type="gramStart"/>
            <w:r>
              <w:t>)</w:t>
            </w:r>
            <w:proofErr w:type="gramEnd"/>
            <w:r>
              <w:t xml:space="preserve"> but task-level demarcation not specified. The “AI cannot replace expert opinion or judgement” sentence appears in the policy without operational guidance on what counts as judgement.</w:t>
            </w:r>
          </w:p>
        </w:tc>
        <w:tc>
          <w:tcPr>
            <w:tcW w:w="1881" w:type="dxa"/>
          </w:tcPr>
          <w:p w14:paraId="24BA8B12" w14:textId="77777777" w:rsidR="00170D13" w:rsidRDefault="00000000">
            <w:pPr>
              <w:pStyle w:val="TableText"/>
              <w:spacing w:before="0"/>
            </w:pPr>
            <w: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Pr>
          <w:p w14:paraId="2375F68D" w14:textId="77777777" w:rsidR="00170D13" w:rsidRDefault="00000000">
            <w:pPr>
              <w:pStyle w:val="TableText"/>
              <w:spacing w:before="0"/>
            </w:pPr>
            <w:proofErr w:type="gramStart"/>
            <w:r>
              <w:t>All of</w:t>
            </w:r>
            <w:proofErr w:type="gramEnd"/>
            <w:r>
              <w:t xml:space="preserve"> </w:t>
            </w:r>
            <w:r>
              <w:rPr>
                <w:i/>
                <w:iCs/>
              </w:rPr>
              <w:t>established</w:t>
            </w:r>
            <w: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rsidR="00170D13" w14:paraId="70896A4F" w14:textId="77777777">
        <w:tc>
          <w:tcPr>
            <w:tcW w:w="1881" w:type="dxa"/>
          </w:tcPr>
          <w:p w14:paraId="75D21B6D" w14:textId="77777777" w:rsidR="00170D13" w:rsidRDefault="00000000">
            <w:pPr>
              <w:pStyle w:val="TableText"/>
              <w:spacing w:before="0"/>
            </w:pPr>
            <w:r>
              <w:rPr>
                <w:b/>
                <w:bCs/>
              </w:rPr>
              <w:t>2. Responsible use in practice</w:t>
            </w:r>
          </w:p>
        </w:tc>
        <w:tc>
          <w:tcPr>
            <w:tcW w:w="1881" w:type="dxa"/>
          </w:tcPr>
          <w:p w14:paraId="18732434" w14:textId="77777777" w:rsidR="00170D13" w:rsidRDefault="00000000">
            <w:pPr>
              <w:pStyle w:val="TableText"/>
              <w:spacing w:before="0"/>
            </w:pPr>
            <w:r>
              <w:t>Responsible-use language confined to student-conduct or assessment-integrity rules. No task-level rules for AI-use modes. Disclosure-on-output is delegated to the publisher policy applicable to each submission.</w:t>
            </w:r>
          </w:p>
        </w:tc>
        <w:tc>
          <w:tcPr>
            <w:tcW w:w="1881" w:type="dxa"/>
          </w:tcPr>
          <w:p w14:paraId="14409F42" w14:textId="77777777" w:rsidR="00170D13" w:rsidRDefault="00000000">
            <w:pPr>
              <w:pStyle w:val="TableText"/>
              <w:spacing w:before="0"/>
            </w:pPr>
            <w:r>
              <w:t>Single institutional disclosure template published but task-level rules for the four AI-use modes (search, co-author, validator, tutor) not specified. Disclosure is acknowledged but not assessed.</w:t>
            </w:r>
          </w:p>
        </w:tc>
        <w:tc>
          <w:tcPr>
            <w:tcW w:w="1881" w:type="dxa"/>
          </w:tcPr>
          <w:p w14:paraId="0E2A5B94" w14:textId="77777777" w:rsidR="00170D13" w:rsidRDefault="00000000">
            <w:pPr>
              <w:pStyle w:val="TableText"/>
              <w:spacing w:before="0"/>
            </w:pPr>
            <w:r>
              <w:t xml:space="preserve">Task-level rules published for all four AI-use modes; institutional disclosure template aligned with publisher policy convention; rules taught in methods curriculum; verification expectation </w:t>
            </w:r>
            <w:proofErr w:type="spellStart"/>
            <w:r>
              <w:t>operationalised</w:t>
            </w:r>
            <w:proofErr w:type="spellEnd"/>
            <w:r>
              <w:t xml:space="preserve"> in supervision and at examination.</w:t>
            </w:r>
          </w:p>
        </w:tc>
        <w:tc>
          <w:tcPr>
            <w:tcW w:w="1882" w:type="dxa"/>
          </w:tcPr>
          <w:p w14:paraId="0A0803E0" w14:textId="77777777" w:rsidR="00170D13" w:rsidRDefault="00000000">
            <w:pPr>
              <w:pStyle w:val="TableText"/>
              <w:spacing w:before="0"/>
            </w:pPr>
            <w:proofErr w:type="gramStart"/>
            <w:r>
              <w:t>All of</w:t>
            </w:r>
            <w:proofErr w:type="gramEnd"/>
            <w:r>
              <w:t xml:space="preserve"> </w:t>
            </w:r>
            <w:r>
              <w:rPr>
                <w:i/>
                <w:iCs/>
              </w:rPr>
              <w:t>established</w:t>
            </w:r>
            <w: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rsidR="00170D13" w14:paraId="0565D5B8" w14:textId="77777777">
        <w:tc>
          <w:tcPr>
            <w:tcW w:w="1881" w:type="dxa"/>
          </w:tcPr>
          <w:p w14:paraId="62C052E8" w14:textId="77777777" w:rsidR="00170D13" w:rsidRDefault="00000000">
            <w:pPr>
              <w:pStyle w:val="TableText"/>
              <w:spacing w:before="0"/>
            </w:pPr>
            <w:r>
              <w:rPr>
                <w:b/>
                <w:bCs/>
              </w:rPr>
              <w:t>3. Tooling that promotes responsible use</w:t>
            </w:r>
          </w:p>
        </w:tc>
        <w:tc>
          <w:tcPr>
            <w:tcW w:w="1881" w:type="dxa"/>
          </w:tcPr>
          <w:p w14:paraId="07397204" w14:textId="77777777" w:rsidR="00170D13" w:rsidRDefault="00000000">
            <w:pPr>
              <w:pStyle w:val="TableText"/>
              <w:spacing w:before="0"/>
            </w:pPr>
            <w:r>
              <w:t>No institutional AI procurement gate; tool choice is private to each laboratory. The observable-</w:t>
            </w:r>
            <w:r>
              <w:lastRenderedPageBreak/>
              <w:t>property test (verifiable citation; data residency; uncertainty reporting; reproducibility; auditability; open-source options where workload permits) is not applied at institutional level.</w:t>
            </w:r>
          </w:p>
        </w:tc>
        <w:tc>
          <w:tcPr>
            <w:tcW w:w="1881" w:type="dxa"/>
          </w:tcPr>
          <w:p w14:paraId="41D7ADDD" w14:textId="77777777" w:rsidR="00170D13" w:rsidRDefault="00000000">
            <w:pPr>
              <w:pStyle w:val="TableText"/>
              <w:spacing w:before="0"/>
            </w:pPr>
            <w:r>
              <w:lastRenderedPageBreak/>
              <w:t xml:space="preserve">Institutional AI procurement gate exists but criteria are vendor-led; the resolvability test is </w:t>
            </w:r>
            <w:r>
              <w:lastRenderedPageBreak/>
              <w:t>named but not consistently applied; data-residency posture is articulated for some research workloads but not all.</w:t>
            </w:r>
          </w:p>
        </w:tc>
        <w:tc>
          <w:tcPr>
            <w:tcW w:w="1881" w:type="dxa"/>
          </w:tcPr>
          <w:p w14:paraId="0A35C9C9" w14:textId="77777777" w:rsidR="00170D13" w:rsidRDefault="00000000">
            <w:pPr>
              <w:pStyle w:val="TableText"/>
              <w:spacing w:before="0"/>
            </w:pPr>
            <w:r>
              <w:lastRenderedPageBreak/>
              <w:t xml:space="preserve">Procurement standard published, incorporating the six observable properties from </w:t>
            </w:r>
            <w:r>
              <w:lastRenderedPageBreak/>
              <w:t>§2.3;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Pr>
          <w:p w14:paraId="4C8AD6F8" w14:textId="77777777" w:rsidR="00170D13" w:rsidRDefault="00000000">
            <w:pPr>
              <w:pStyle w:val="TableText"/>
              <w:spacing w:before="0"/>
            </w:pPr>
            <w:proofErr w:type="gramStart"/>
            <w:r>
              <w:lastRenderedPageBreak/>
              <w:t>All of</w:t>
            </w:r>
            <w:proofErr w:type="gramEnd"/>
            <w:r>
              <w:t xml:space="preserve"> </w:t>
            </w:r>
            <w:r>
              <w:rPr>
                <w:i/>
                <w:iCs/>
              </w:rPr>
              <w:t>established</w:t>
            </w:r>
            <w:r>
              <w:t xml:space="preserve">, plus the institution publishes its tooling-procurement audit </w:t>
            </w:r>
            <w:r>
              <w:lastRenderedPageBreak/>
              <w:t>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rsidR="00170D13" w14:paraId="02E6515E" w14:textId="77777777">
        <w:tc>
          <w:tcPr>
            <w:tcW w:w="1881" w:type="dxa"/>
          </w:tcPr>
          <w:p w14:paraId="2EC49D5B" w14:textId="77777777" w:rsidR="00170D13" w:rsidRDefault="00000000">
            <w:pPr>
              <w:pStyle w:val="TableText"/>
              <w:spacing w:before="0"/>
            </w:pPr>
            <w:r>
              <w:rPr>
                <w:b/>
                <w:bCs/>
              </w:rPr>
              <w:lastRenderedPageBreak/>
              <w:t>4. AI-literate humans</w:t>
            </w:r>
          </w:p>
        </w:tc>
        <w:tc>
          <w:tcPr>
            <w:tcW w:w="1881" w:type="dxa"/>
          </w:tcPr>
          <w:p w14:paraId="47D577A9" w14:textId="77777777" w:rsidR="00170D13" w:rsidRDefault="00000000">
            <w:pPr>
              <w:pStyle w:val="TableText"/>
              <w:spacing w:before="0"/>
            </w:pPr>
            <w:r>
              <w:t>AI literacy is treated as a tooling-skills problem (“which buttons to press”). No PhD methods curriculum content; no supervisor training; no examiner training on AI verification.</w:t>
            </w:r>
          </w:p>
        </w:tc>
        <w:tc>
          <w:tcPr>
            <w:tcW w:w="1881" w:type="dxa"/>
          </w:tcPr>
          <w:p w14:paraId="635C72CC" w14:textId="77777777" w:rsidR="00170D13" w:rsidRDefault="00000000">
            <w:pPr>
              <w:pStyle w:val="TableText"/>
              <w:spacing w:before="0"/>
            </w:pPr>
            <w:r>
              <w:t>Some institutional AI-literacy provision exists (a MOOC; a library guide; a one-off seminar) but it is not integrated with the PhD methods curriculum, supervisor development, or examiner training. Participation is voluntary.</w:t>
            </w:r>
          </w:p>
        </w:tc>
        <w:tc>
          <w:tcPr>
            <w:tcW w:w="1881" w:type="dxa"/>
          </w:tcPr>
          <w:p w14:paraId="6CACE53B" w14:textId="77777777" w:rsidR="00170D13" w:rsidRDefault="00000000">
            <w:pPr>
              <w:pStyle w:val="TableText"/>
              <w:spacing w:before="0"/>
            </w:pPr>
            <w:r>
              <w:t xml:space="preserve">The six load-bearing AI-era competencies from §2.4 are named outcomes in the PhD methods curriculum; supervisors are trained on the same; examiners are trained on the corresponding verification skills; the competencies are additive to the pre-AI reproducibility-and-validity canon, not </w:t>
            </w:r>
            <w:r>
              <w:lastRenderedPageBreak/>
              <w:t>replacement. Curriculum is reviewed at a stated cadence against the AI tool landscape.</w:t>
            </w:r>
          </w:p>
        </w:tc>
        <w:tc>
          <w:tcPr>
            <w:tcW w:w="1882" w:type="dxa"/>
          </w:tcPr>
          <w:p w14:paraId="3FE30291" w14:textId="77777777" w:rsidR="00170D13" w:rsidRDefault="00000000">
            <w:pPr>
              <w:pStyle w:val="TableText"/>
              <w:spacing w:before="0"/>
            </w:pPr>
            <w:proofErr w:type="gramStart"/>
            <w:r>
              <w:lastRenderedPageBreak/>
              <w:t>All of</w:t>
            </w:r>
            <w:proofErr w:type="gramEnd"/>
            <w:r>
              <w:t xml:space="preserve"> </w:t>
            </w:r>
            <w:r>
              <w:rPr>
                <w:i/>
                <w:iCs/>
              </w:rPr>
              <w:t>established</w:t>
            </w:r>
            <w:r>
              <w:t>, plus the institution publishes evidence on competency-acquisition outcomes (a graduate-research survey instrument; a thesis-declaration-form analysis; supervisor self-assessment); contributes the evidence to sector-level benchmarking; operates a curriculum-</w:t>
            </w:r>
            <w:r>
              <w:lastRenderedPageBreak/>
              <w:t>improvement cycle informed by external review.</w:t>
            </w:r>
          </w:p>
        </w:tc>
      </w:tr>
      <w:tr w:rsidR="00170D13" w14:paraId="4848A741" w14:textId="77777777">
        <w:tc>
          <w:tcPr>
            <w:tcW w:w="1881" w:type="dxa"/>
          </w:tcPr>
          <w:p w14:paraId="58CC2AB6" w14:textId="77777777" w:rsidR="00170D13" w:rsidRDefault="00000000">
            <w:pPr>
              <w:pStyle w:val="TableText"/>
              <w:spacing w:before="0"/>
            </w:pPr>
            <w:r>
              <w:rPr>
                <w:b/>
                <w:bCs/>
              </w:rPr>
              <w:lastRenderedPageBreak/>
              <w:t>5. Institutional benchmarking grid</w:t>
            </w:r>
          </w:p>
        </w:tc>
        <w:tc>
          <w:tcPr>
            <w:tcW w:w="1881" w:type="dxa"/>
          </w:tcPr>
          <w:p w14:paraId="2B8F5E5D" w14:textId="77777777" w:rsidR="00170D13" w:rsidRDefault="00000000">
            <w:pPr>
              <w:pStyle w:val="TableText"/>
              <w:spacing w:before="0"/>
            </w:pPr>
            <w: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Pr>
          <w:p w14:paraId="3623E2E3" w14:textId="77777777" w:rsidR="00170D13" w:rsidRDefault="00000000">
            <w:pPr>
              <w:pStyle w:val="TableText"/>
              <w:spacing w:before="0"/>
            </w:pPr>
            <w:r>
              <w:t xml:space="preserve">The institutional benchmarking-and-improvement cycle is articulated in principle but not </w:t>
            </w:r>
            <w:proofErr w:type="spellStart"/>
            <w:r>
              <w:t>operationalised</w:t>
            </w:r>
            <w:proofErr w:type="spellEnd"/>
            <w:r>
              <w:t xml:space="preserve">. A named owner exists for the policy axis; people/systems/process axes are partially populated. Regulatory deadlines are </w:t>
            </w:r>
            <w:proofErr w:type="spellStart"/>
            <w:r>
              <w:t>recognised</w:t>
            </w:r>
            <w:proofErr w:type="spellEnd"/>
            <w:r>
              <w:t xml:space="preserve"> but not assigned.</w:t>
            </w:r>
          </w:p>
        </w:tc>
        <w:tc>
          <w:tcPr>
            <w:tcW w:w="1881" w:type="dxa"/>
          </w:tcPr>
          <w:p w14:paraId="19C3F4C9" w14:textId="77777777" w:rsidR="00170D13" w:rsidRDefault="00000000">
            <w:pPr>
              <w:pStyle w:val="TableText"/>
              <w:spacing w:before="0"/>
            </w:pPr>
            <w: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Pr>
          <w:p w14:paraId="0D928017" w14:textId="77777777" w:rsidR="00170D13" w:rsidRDefault="00000000">
            <w:pPr>
              <w:pStyle w:val="TableText"/>
              <w:spacing w:before="0"/>
            </w:pPr>
            <w:proofErr w:type="gramStart"/>
            <w:r>
              <w:t>All of</w:t>
            </w:r>
            <w:proofErr w:type="gramEnd"/>
            <w:r>
              <w:t xml:space="preserve"> </w:t>
            </w:r>
            <w:r>
              <w:rPr>
                <w:i/>
                <w:iCs/>
              </w:rPr>
              <w:t>established</w:t>
            </w:r>
            <w:r>
              <w:t xml:space="preserve">, plus the institution publishes its scoring (with explicit method); uses external benchmarking or peer audit at a stated cadence; publishes the results of its preparation-plan execution for the regulatory deadlines; contributes its scoring methodology to sector-level </w:t>
            </w:r>
            <w:proofErr w:type="spellStart"/>
            <w:r>
              <w:t>standardisation</w:t>
            </w:r>
            <w:proofErr w:type="spellEnd"/>
            <w:r>
              <w:t xml:space="preserve"> work.</w:t>
            </w:r>
          </w:p>
        </w:tc>
      </w:tr>
    </w:tbl>
    <w:p w14:paraId="26454B98" w14:textId="77777777" w:rsidR="00170D13" w:rsidRDefault="00000000">
      <w:pPr>
        <w:pStyle w:val="BodyText"/>
      </w:pPr>
      <w:r>
        <w:t xml:space="preserve">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w:t>
      </w:r>
      <w:proofErr w:type="gramStart"/>
      <w:r>
        <w:t>occupy:</w:t>
      </w:r>
      <w:proofErr w:type="gramEnd"/>
      <w:r>
        <w:t xml:space="preserve"> that is an institutional choice informed by context, scope, regulatory environment, and resource. The grid specifies only the criteria against which the choice is observable.</w:t>
      </w:r>
    </w:p>
    <w:p w14:paraId="4B71DE09" w14:textId="77777777" w:rsidR="00170D13" w:rsidRDefault="00000000">
      <w:pPr>
        <w:pStyle w:val="BodyText"/>
      </w:pPr>
      <w:r>
        <w:t xml:space="preserve">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w:t>
      </w:r>
      <w:r>
        <w:lastRenderedPageBreak/>
        <w:t xml:space="preserve">operational answer to the question this report opened </w:t>
      </w:r>
      <w:proofErr w:type="gramStart"/>
      <w:r>
        <w:t>with:</w:t>
      </w:r>
      <w:proofErr w:type="gramEnd"/>
      <w:r>
        <w:t xml:space="preserve"> what does responsible AI use look like at the PhD level, and how would a university know whether it is doing it well.</w:t>
      </w:r>
      <w:bookmarkEnd w:id="43"/>
    </w:p>
    <w:p w14:paraId="6A5FD49C" w14:textId="77777777" w:rsidR="00170D13" w:rsidRDefault="00000000">
      <w:pPr>
        <w:pStyle w:val="Heading2"/>
      </w:pPr>
      <w:bookmarkStart w:id="44" w:name="Xa84783782a8a542074362876906e23e4f0078b9"/>
      <w:r>
        <w:t>Appendix B — Country and institutional dossiers</w:t>
      </w:r>
    </w:p>
    <w:p w14:paraId="796C609A" w14:textId="77777777" w:rsidR="00170D13" w:rsidRDefault="00000000">
      <w:pPr>
        <w:pStyle w:val="FirstParagraph"/>
      </w:pPr>
      <w:r>
        <w:t xml:space="preserve">Appendix B compresses the country-level evidence base from Dossier 1 (national research-funder AI policies) and Dossier 2 (top-tier university institutional AI policies). Each country block </w:t>
      </w:r>
      <w:proofErr w:type="spellStart"/>
      <w:r>
        <w:t>summarises</w:t>
      </w:r>
      <w:proofErr w:type="spellEnd"/>
      <w:r>
        <w:t xml:space="preserve"> the funder posture, the institutional sample, the class distribution across the Part 1.3 taxonomy, and the key finding from the country’s evidence. Full per-funder and per-institution evidence with primary-source URLs is in the underlying dossier files.</w:t>
      </w:r>
    </w:p>
    <w:p w14:paraId="4DC2DE6B" w14:textId="77777777" w:rsidR="00170D13" w:rsidRDefault="00000000">
      <w:pPr>
        <w:pStyle w:val="BodyText"/>
      </w:pPr>
      <w:r>
        <w:rPr>
          <w:b/>
          <w:bCs/>
        </w:rPr>
        <w:t>United Kingdom.</w:t>
      </w:r>
      <w:r>
        <w:t xml:space="preserve"> Funder: UK Research and Innovation. Policy live since 23 September 2024, transparency expectation added 3 December 2024; AI Research and Innovation Strategic Framework published 19 February 2026 with £117 million across twelve AI </w:t>
      </w:r>
      <w:proofErr w:type="spellStart"/>
      <w:r>
        <w:t>Centres</w:t>
      </w:r>
      <w:proofErr w:type="spellEnd"/>
      <w:r>
        <w:t xml:space="preserve"> for Doctoral Training at sixteen universities and continuing-professional-development commitments.</w:t>
      </w:r>
      <w:r>
        <w:rPr>
          <w:rFonts w:ascii="Inter" w:hAnsi="Inter" w:cs="Inter"/>
          <w:b/>
          <w:color w:val="3092B1"/>
          <w:position w:val="8"/>
          <w:sz w:val="18"/>
          <w:szCs w:val="18"/>
          <w:vertAlign w:val="superscript"/>
        </w:rPr>
        <w:footnoteReference w:id="74"/>
      </w:r>
      <w: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w:t>
      </w:r>
      <w:r>
        <w:lastRenderedPageBreak/>
        <w:t>addresses AI literacy in funded training environments (the Research Council of Norway has a parallel posture at national-strategy rather than funder-policy level); UK universities, by contrast, are the most bimodal in the sample.</w:t>
      </w:r>
    </w:p>
    <w:p w14:paraId="47DB8D0E" w14:textId="77777777" w:rsidR="00170D13" w:rsidRDefault="00000000">
      <w:pPr>
        <w:pStyle w:val="BodyText"/>
      </w:pPr>
      <w:r>
        <w:rPr>
          <w:b/>
          <w:bCs/>
        </w:rPr>
        <w:t>United States.</w:t>
      </w:r>
      <w: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14:paraId="4CBF384A" w14:textId="77777777" w:rsidR="00170D13" w:rsidRDefault="00000000">
      <w:pPr>
        <w:pStyle w:val="BodyText"/>
      </w:pPr>
      <w:r>
        <w:rPr>
          <w:b/>
          <w:bCs/>
        </w:rPr>
        <w:t>Australia.</w:t>
      </w:r>
      <w: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t xml:space="preserve"> Institutional sample: six Group </w:t>
      </w:r>
      <w:r>
        <w:lastRenderedPageBreak/>
        <w:t>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14:paraId="5EDF3F6E" w14:textId="77777777" w:rsidR="00170D13" w:rsidRDefault="00000000">
      <w:pPr>
        <w:pStyle w:val="BodyText"/>
      </w:pPr>
      <w:r>
        <w:rPr>
          <w:b/>
          <w:bCs/>
        </w:rPr>
        <w:t>Germany.</w:t>
      </w:r>
      <w:r>
        <w:t xml:space="preserve"> Funder: Deutsche </w:t>
      </w:r>
      <w:proofErr w:type="spellStart"/>
      <w:r>
        <w:t>Forschungsgemeinschaft</w:t>
      </w:r>
      <w:proofErr w:type="spellEnd"/>
      <w:r>
        <w: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proofErr w:type="spellStart"/>
      <w:r>
        <w:rPr>
          <w:i/>
          <w:iCs/>
        </w:rPr>
        <w:t>eidesstattliche</w:t>
      </w:r>
      <w:proofErr w:type="spellEnd"/>
      <w:r>
        <w:rPr>
          <w:i/>
          <w:iCs/>
        </w:rPr>
        <w:t xml:space="preserve"> Versicherung</w:t>
      </w:r>
      <w:r>
        <w:t xml:space="preserve"> (</w:t>
      </w:r>
      <w:proofErr w:type="gramStart"/>
      <w:r>
        <w:t>sworn affidavit</w:t>
      </w:r>
      <w:proofErr w:type="gramEnd"/>
      <w:r>
        <w: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14:paraId="359142EB" w14:textId="77777777" w:rsidR="00170D13" w:rsidRDefault="00000000">
      <w:pPr>
        <w:pStyle w:val="BodyText"/>
      </w:pPr>
      <w:r>
        <w:rPr>
          <w:b/>
          <w:bCs/>
        </w:rPr>
        <w:lastRenderedPageBreak/>
        <w:t>Continental Europe.</w:t>
      </w:r>
      <w:r>
        <w:t xml:space="preserve"> Funders: European Research Council (applicant-side December 2023, evaluation-side March 2026); Netherlands </w:t>
      </w:r>
      <w:proofErr w:type="spellStart"/>
      <w:r>
        <w:t>Organisation</w:t>
      </w:r>
      <w:proofErr w:type="spellEnd"/>
      <w:r>
        <w:t xml:space="preserve">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w:t>
      </w:r>
      <w:proofErr w:type="spellStart"/>
      <w:r>
        <w:t>Garante</w:t>
      </w:r>
      <w:proofErr w:type="spellEnd"/>
      <w:r>
        <w:t xml:space="preserv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t xml:space="preserve">, </w:t>
      </w:r>
      <w:r>
        <w:rPr>
          <w:rFonts w:ascii="Inter" w:hAnsi="Inter" w:cs="Inter"/>
          <w:b/>
          <w:color w:val="3092B1"/>
          <w:position w:val="8"/>
          <w:sz w:val="18"/>
          <w:szCs w:val="18"/>
          <w:vertAlign w:val="superscript"/>
        </w:rPr>
        <w:footnoteReference w:id="81"/>
      </w:r>
    </w:p>
    <w:p w14:paraId="20C0F0B0" w14:textId="77777777" w:rsidR="00170D13" w:rsidRDefault="00000000">
      <w:pPr>
        <w:pStyle w:val="BodyText"/>
      </w:pPr>
      <w:r>
        <w:rPr>
          <w:b/>
          <w:bCs/>
        </w:rPr>
        <w:t>Asia.</w:t>
      </w:r>
      <w:r>
        <w:t xml:space="preserve"> Funders: Singapore Agency for Science, Technology and Research (no AI-specific grant policy located; 2016 ethics statement is umbrella code); Japan Society for the Promotion of Science KAKENHI (no AI-specific position located; FY2025 application </w:t>
      </w:r>
      <w:r>
        <w:lastRenderedPageBreak/>
        <w:t>procedures partial reference).</w:t>
      </w:r>
      <w:r>
        <w:rPr>
          <w:rFonts w:ascii="Inter" w:hAnsi="Inter" w:cs="Inter"/>
          <w:b/>
          <w:color w:val="3092B1"/>
          <w:position w:val="8"/>
          <w:sz w:val="18"/>
          <w:szCs w:val="18"/>
          <w:vertAlign w:val="superscript"/>
        </w:rPr>
        <w:footnoteReference w:id="82"/>
      </w:r>
      <w: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w:t>
      </w:r>
      <w:proofErr w:type="gramStart"/>
      <w:r>
        <w:t>university</w:t>
      </w:r>
      <w:proofErr w:type="gramEnd"/>
      <w:r>
        <w:t>-wide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14:paraId="24DE5613" w14:textId="77777777" w:rsidR="00170D13" w:rsidRDefault="00000000">
      <w:pPr>
        <w:pStyle w:val="BodyText"/>
      </w:pPr>
      <w:r>
        <w:rPr>
          <w:b/>
          <w:bCs/>
        </w:rPr>
        <w:t>Canada.</w:t>
      </w:r>
      <w: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w:t>
      </w:r>
      <w:r>
        <w:lastRenderedPageBreak/>
        <w:t>“students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14:paraId="0098CAFB" w14:textId="77777777" w:rsidR="00170D13" w:rsidRDefault="00000000">
      <w:pPr>
        <w:pStyle w:val="BodyText"/>
      </w:pPr>
      <w:r>
        <w:rPr>
          <w:b/>
          <w:bCs/>
        </w:rPr>
        <w:t>Supranational and treaty layer.</w:t>
      </w:r>
      <w: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t xml:space="preserve"> The Council of Graduate Schools and </w:t>
      </w:r>
      <w:proofErr w:type="spellStart"/>
      <w:r>
        <w:t>Institut</w:t>
      </w:r>
      <w:proofErr w:type="spellEnd"/>
      <w:r>
        <w:t xml:space="preserve"> national de la recherche </w:t>
      </w:r>
      <w:proofErr w:type="spellStart"/>
      <w:r>
        <w:t>scientifique</w:t>
      </w:r>
      <w:proofErr w:type="spellEnd"/>
      <w:r>
        <w:t xml:space="preserve"> Global Action Agenda (13 November 2025) is the closest existing peer to the report’s audience-tier framing and is the principle-level antecedent the report’s Dimension 1 through Dimension 5 </w:t>
      </w:r>
      <w:proofErr w:type="spellStart"/>
      <w:r>
        <w:t>operationalises</w:t>
      </w:r>
      <w:proofErr w:type="spellEnd"/>
      <w:r>
        <w:t>. The OECD AI Principles (2019, updated 2024) supply the global non-binding baseline. Together these layers carry weight comparable to a national funder in regions where domestic regulation is less specific.</w:t>
      </w:r>
    </w:p>
    <w:p w14:paraId="00AFBBE1" w14:textId="77777777" w:rsidR="00170D13" w:rsidRDefault="00000000">
      <w:pPr>
        <w:pStyle w:val="BodyText"/>
      </w:pPr>
      <w:r>
        <w:t xml:space="preserve">The cross-country picture is the central evidentiary finding of Part 3: publishers </w:t>
      </w:r>
      <w:proofErr w:type="spellStart"/>
      <w:r>
        <w:t>standardised</w:t>
      </w:r>
      <w:proofErr w:type="spellEnd"/>
      <w:r>
        <w:t xml:space="preserve"> disclosure and authorship rules across the sector in roughly ten weeks, while national research funders </w:t>
      </w:r>
      <w:proofErr w:type="spellStart"/>
      <w:r>
        <w:t>standardised</w:t>
      </w:r>
      <w:proofErr w:type="spellEnd"/>
      <w:r>
        <w:t xml:space="preserve"> AI-in-application policies unevenly over roughly three years. Universities have not built research-training competency at scale; the framework’s Dimension 5 maturity grid is where they can self-diagnose against that pattern.</w:t>
      </w:r>
      <w:bookmarkEnd w:id="44"/>
    </w:p>
    <w:p w14:paraId="70C75F28" w14:textId="77777777" w:rsidR="00170D13" w:rsidRDefault="00000000">
      <w:pPr>
        <w:pStyle w:val="Heading2"/>
      </w:pPr>
      <w:bookmarkStart w:id="45" w:name="appendix-c-glossary-of-ai-tool-classes-1"/>
      <w:r>
        <w:lastRenderedPageBreak/>
        <w:t>Appendix C — Glossary of AI tool classes</w:t>
      </w:r>
    </w:p>
    <w:p w14:paraId="2B9A849E" w14:textId="77777777" w:rsidR="00170D13" w:rsidRDefault="00000000">
      <w:pPr>
        <w:pStyle w:val="FirstParagraph"/>
      </w:pPr>
      <w: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t xml:space="preserve">; the key public sources are in </w:t>
      </w:r>
      <w:hyperlink w:anchor="appendix-e-sources-1">
        <w:r w:rsidR="00170D13">
          <w:rPr>
            <w:rStyle w:val="Hyperlink1"/>
          </w:rPr>
          <w:t>Appendix E</w:t>
        </w:r>
      </w:hyperlink>
      <w:r>
        <w:t>.</w:t>
      </w:r>
    </w:p>
    <w:p w14:paraId="61DE6EF3" w14:textId="77777777" w:rsidR="00170D13" w:rsidRDefault="00000000">
      <w:pPr>
        <w:pStyle w:val="BodyText"/>
      </w:pPr>
      <w:r>
        <w:rPr>
          <w:b/>
          <w:bCs/>
        </w:rPr>
        <w:t>Note on terminology — “agentic.”</w:t>
      </w:r>
      <w:r>
        <w:t xml:space="preserve"> This report describes the AI tools below as </w:t>
      </w:r>
      <w:r>
        <w:rPr>
          <w:i/>
          <w:iCs/>
        </w:rPr>
        <w:t>agentic research tools</w:t>
      </w:r>
      <w:r>
        <w:t xml:space="preserve">: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w:t>
      </w:r>
      <w:proofErr w:type="spellStart"/>
      <w:r>
        <w:t>operationalises</w:t>
      </w:r>
      <w:proofErr w:type="spellEnd"/>
      <w:r>
        <w:t xml:space="preserve"> that distinction.</w:t>
      </w:r>
    </w:p>
    <w:p w14:paraId="2D533A0B" w14:textId="77777777" w:rsidR="00170D13" w:rsidRDefault="00000000">
      <w:pPr>
        <w:pStyle w:val="BodyText"/>
      </w:pPr>
      <w:r>
        <w:rPr>
          <w:b/>
          <w:bCs/>
        </w:rPr>
        <w:t>Class 1 — Large-language-model search.</w:t>
      </w:r>
      <w: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w:t>
      </w:r>
      <w:proofErr w:type="gramStart"/>
      <w:r>
        <w:t>present</w:t>
      </w:r>
      <w:proofErr w:type="gramEnd"/>
      <w:r>
        <w:t xml:space="preserve"> in the source; the source the publisher of record; reproducibility at a known model version; session-log auditability.</w:t>
      </w:r>
    </w:p>
    <w:p w14:paraId="6CE682B2" w14:textId="77777777" w:rsidR="00170D13" w:rsidRDefault="00000000">
      <w:pPr>
        <w:pStyle w:val="BodyText"/>
      </w:pPr>
      <w:r>
        <w:rPr>
          <w:b/>
          <w:bCs/>
        </w:rPr>
        <w:lastRenderedPageBreak/>
        <w:t>Class 2 — Large-language-model co-author.</w:t>
      </w:r>
      <w:r>
        <w:t xml:space="preserve"> An LLM used to draft, paraphrase, expand, </w:t>
      </w:r>
      <w:proofErr w:type="spellStart"/>
      <w:r>
        <w:t>summarise</w:t>
      </w:r>
      <w:proofErr w:type="spellEnd"/>
      <w:r>
        <w:t>,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14:paraId="6230EA89" w14:textId="77777777" w:rsidR="00170D13" w:rsidRDefault="00000000">
      <w:pPr>
        <w:pStyle w:val="BodyText"/>
      </w:pPr>
      <w:r>
        <w:rPr>
          <w:b/>
          <w:bCs/>
        </w:rPr>
        <w:t>Class 3 — Large-language-model validator.</w:t>
      </w:r>
      <w: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14:paraId="09A27DFD" w14:textId="77777777" w:rsidR="00170D13" w:rsidRDefault="00000000">
      <w:pPr>
        <w:pStyle w:val="BodyText"/>
      </w:pPr>
      <w:r>
        <w:rPr>
          <w:b/>
          <w:bCs/>
        </w:rPr>
        <w:t>Class 4 — Large-language-model tutor.</w:t>
      </w:r>
      <w: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w:t>
      </w:r>
      <w:proofErr w:type="spellStart"/>
      <w:r>
        <w:t>NotebookLM</w:t>
      </w:r>
      <w:proofErr w:type="spellEnd"/>
      <w:r>
        <w:t xml:space="preserve"> on a reading list, institutional RAG over required readings), refusal </w:t>
      </w:r>
      <w:proofErr w:type="spellStart"/>
      <w:r>
        <w:t>behaviours</w:t>
      </w:r>
      <w:proofErr w:type="spellEnd"/>
      <w:r>
        <w:t xml:space="preserve"> on assessable tasks, supervisor-accessible logging where consent permits.</w:t>
      </w:r>
    </w:p>
    <w:p w14:paraId="39C7FBD2" w14:textId="77777777" w:rsidR="00170D13" w:rsidRDefault="00000000">
      <w:pPr>
        <w:pStyle w:val="BodyText"/>
      </w:pPr>
      <w:r>
        <w:rPr>
          <w:b/>
          <w:bCs/>
        </w:rPr>
        <w:t>Class 5 — Large-language-model coder.</w:t>
      </w:r>
      <w:r>
        <w:t xml:space="preserve"> An LLM used to generate, debug, or refactor research code; statistical-pipeline assistance; data-cleaning automation. Good for: </w:t>
      </w:r>
      <w:r>
        <w:lastRenderedPageBreak/>
        <w:t xml:space="preserve">boilerplate, statistical-platform syntax conversion, debugging suggestions, data-wrangling pipelines. Fails at: security weaknesses in generated code (ACM TOSEM 2024: around 29.5 per cent of Python and 24.2 per cent of JavaScript Copilot, </w:t>
      </w:r>
      <w:proofErr w:type="spellStart"/>
      <w:r>
        <w:t>CodeWhisperer</w:t>
      </w:r>
      <w:proofErr w:type="spellEnd"/>
      <w:r>
        <w:t>,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14:paraId="481487DF" w14:textId="77777777" w:rsidR="00170D13" w:rsidRDefault="00000000">
      <w:pPr>
        <w:pStyle w:val="BodyText"/>
      </w:pPr>
      <w:r>
        <w:rPr>
          <w:b/>
          <w:bCs/>
        </w:rPr>
        <w:t>Class 6 — Retrieval-augmented research assistants.</w:t>
      </w:r>
      <w:r>
        <w:t xml:space="preserve"> RAG-anchored tools that answer questions against a corpus the researcher selected or trusts (Elicit, Consensus, Scite Assistant, </w:t>
      </w:r>
      <w:proofErr w:type="spellStart"/>
      <w:r>
        <w:t>SciSpace</w:t>
      </w:r>
      <w:proofErr w:type="spellEnd"/>
      <w:r>
        <w:t xml:space="preserve">, </w:t>
      </w:r>
      <w:proofErr w:type="spellStart"/>
      <w:r>
        <w:t>NotebookLM</w:t>
      </w:r>
      <w:proofErr w:type="spellEnd"/>
      <w:r>
        <w:t xml:space="preserve">,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w:t>
      </w:r>
      <w:proofErr w:type="gramStart"/>
      <w:r>
        <w:t>suggest</w:t>
      </w:r>
      <w:proofErr w:type="gramEnd"/>
      <w:r>
        <w:t xml:space="preserve"> (Stanford </w:t>
      </w:r>
      <w:proofErr w:type="spellStart"/>
      <w:r>
        <w:t>RegLab</w:t>
      </w:r>
      <w:proofErr w:type="spellEnd"/>
      <w:r>
        <w:t xml:space="preserve">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14:paraId="56AD5505" w14:textId="77777777" w:rsidR="00170D13" w:rsidRDefault="00000000">
      <w:pPr>
        <w:pStyle w:val="BodyText"/>
      </w:pPr>
      <w:r>
        <w:rPr>
          <w:b/>
          <w:bCs/>
        </w:rPr>
        <w:t>Class 7 — Automated literature-synthesis tools.</w:t>
      </w:r>
      <w:r>
        <w:t xml:space="preserve"> Systematic-review-adjacent tooling: Rayyan (with 2024-2026 AI augments), Covidence, </w:t>
      </w:r>
      <w:proofErr w:type="spellStart"/>
      <w:r>
        <w:t>ASReview</w:t>
      </w:r>
      <w:proofErr w:type="spellEnd"/>
      <w:r>
        <w:t xml:space="preserve"> (open-source, active-learning core), </w:t>
      </w:r>
      <w:proofErr w:type="spellStart"/>
      <w:r>
        <w:t>DistillerSR</w:t>
      </w:r>
      <w:proofErr w:type="spellEnd"/>
      <w:r>
        <w:t xml:space="preserve">, EPPI-Reviewer, </w:t>
      </w:r>
      <w:proofErr w:type="spellStart"/>
      <w:r>
        <w:t>RobotReviewer</w:t>
      </w:r>
      <w:proofErr w:type="spellEnd"/>
      <w:r>
        <w:t xml:space="preserve">. Good for: </w:t>
      </w:r>
      <w:proofErr w:type="spellStart"/>
      <w:r>
        <w:t>prioritising</w:t>
      </w:r>
      <w:proofErr w:type="spellEnd"/>
      <w:r>
        <w:t xml:space="preserve"> titles and abstracts for screening (</w:t>
      </w:r>
      <w:proofErr w:type="spellStart"/>
      <w:r>
        <w:t>ASReview</w:t>
      </w:r>
      <w:proofErr w:type="spellEnd"/>
      <w:r>
        <w:t xml:space="preserve">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w:t>
      </w:r>
      <w:r>
        <w:lastRenderedPageBreak/>
        <w:t xml:space="preserve">areas. Responsible-by-construction: open-source codebase, local execution, full screening-history audit trail, pre-registration alignment (PROSPERO; OSF), reporting-standards alignment (PRISMA AI-augment extension). </w:t>
      </w:r>
      <w:proofErr w:type="spellStart"/>
      <w:r>
        <w:t>ASReview</w:t>
      </w:r>
      <w:proofErr w:type="spellEnd"/>
      <w:r>
        <w:t xml:space="preserve"> is the closest current exemplar.</w:t>
      </w:r>
    </w:p>
    <w:p w14:paraId="52A386F1" w14:textId="77777777" w:rsidR="00170D13" w:rsidRDefault="00000000">
      <w:pPr>
        <w:pStyle w:val="BodyText"/>
      </w:pPr>
      <w:r>
        <w:rPr>
          <w:b/>
          <w:bCs/>
        </w:rPr>
        <w:t xml:space="preserve">Class 8 — </w:t>
      </w:r>
      <w:proofErr w:type="spellStart"/>
      <w:r>
        <w:rPr>
          <w:b/>
          <w:bCs/>
        </w:rPr>
        <w:t>Specialised</w:t>
      </w:r>
      <w:proofErr w:type="spellEnd"/>
      <w:r>
        <w:rPr>
          <w:b/>
          <w:bCs/>
        </w:rPr>
        <w:t xml:space="preserve"> research-coding-and-analysis assistants.</w:t>
      </w:r>
      <w:r>
        <w:t xml:space="preserve"> Domain-specific deep-learning systems for protein structure prediction (AlphaFold 2/3, </w:t>
      </w:r>
      <w:proofErr w:type="spellStart"/>
      <w:r>
        <w:t>ESMFold</w:t>
      </w:r>
      <w:proofErr w:type="spellEnd"/>
      <w:r>
        <w:t xml:space="preserve">, </w:t>
      </w:r>
      <w:proofErr w:type="spellStart"/>
      <w:r>
        <w:t>RoseTTAFold</w:t>
      </w:r>
      <w:proofErr w:type="spellEnd"/>
      <w:r>
        <w:t xml:space="preserve">, </w:t>
      </w:r>
      <w:proofErr w:type="spellStart"/>
      <w:r>
        <w:t>OpenFold</w:t>
      </w:r>
      <w:proofErr w:type="spellEnd"/>
      <w:r>
        <w:t>), weather forecasting (</w:t>
      </w:r>
      <w:proofErr w:type="spellStart"/>
      <w:r>
        <w:t>GraphCast</w:t>
      </w:r>
      <w:proofErr w:type="spellEnd"/>
      <w:r>
        <w:t xml:space="preserve">, </w:t>
      </w:r>
      <w:proofErr w:type="spellStart"/>
      <w:r>
        <w:t>GenCast</w:t>
      </w:r>
      <w:proofErr w:type="spellEnd"/>
      <w:r>
        <w:t xml:space="preserve">),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w:t>
      </w:r>
      <w:proofErr w:type="spellStart"/>
      <w:r>
        <w:t>pLDDT</w:t>
      </w:r>
      <w:proofErr w:type="spellEnd"/>
      <w:r>
        <w:t xml:space="preserve"> over 90 in error by over 2 Å; 22 per cent at 80-90; 33 per cent at 70-80; 77 per cent at under 70); fold-switching proteins; ligand-binding effects; dynamic systems. Responsible-by-construction: per-residue confidence (</w:t>
      </w:r>
      <w:proofErr w:type="spellStart"/>
      <w:r>
        <w:t>pLDDT</w:t>
      </w:r>
      <w:proofErr w:type="spellEnd"/>
      <w:r>
        <w:t>), pairwise alignment-error matrices (PAE), inter-chain confidence (</w:t>
      </w:r>
      <w:proofErr w:type="spellStart"/>
      <w:r>
        <w:t>ipTM</w:t>
      </w:r>
      <w:proofErr w:type="spellEnd"/>
      <w:r>
        <w:t>) as first-class outputs; public model versions; open weights where permitted. The existence proof that uncertainty reporting can be first-class.</w:t>
      </w:r>
    </w:p>
    <w:p w14:paraId="667CBB7E" w14:textId="77777777" w:rsidR="00170D13" w:rsidRDefault="00000000">
      <w:pPr>
        <w:pStyle w:val="BodyText"/>
      </w:pPr>
      <w:r>
        <w:rPr>
          <w:b/>
          <w:bCs/>
        </w:rPr>
        <w:t>Class 9 — Image and figure generation tools.</w:t>
      </w:r>
      <w: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w:t>
      </w:r>
      <w:r>
        <w:lastRenderedPageBreak/>
        <w:t xml:space="preserve">Content Credentials in Adobe Firefly), watermarking (Google </w:t>
      </w:r>
      <w:proofErr w:type="spellStart"/>
      <w:r>
        <w:t>SynthID</w:t>
      </w:r>
      <w:proofErr w:type="spellEnd"/>
      <w:r>
        <w:t>, Stability AI watermarking).</w:t>
      </w:r>
    </w:p>
    <w:p w14:paraId="5A31B8D9" w14:textId="77777777" w:rsidR="00170D13" w:rsidRDefault="00000000">
      <w:pPr>
        <w:pStyle w:val="BodyText"/>
      </w:pPr>
      <w:r>
        <w:rPr>
          <w:b/>
          <w:bCs/>
        </w:rPr>
        <w:t>Class 10 — Voice and transcription tools.</w:t>
      </w:r>
      <w:r>
        <w:t xml:space="preserve"> Speech-to-text systems for interview transcription, focus-group transcription, observation-log dictation, meeting capture (Whisper, Otter.ai, </w:t>
      </w:r>
      <w:proofErr w:type="spellStart"/>
      <w:r>
        <w:t>NotebookLM</w:t>
      </w:r>
      <w:proofErr w:type="spellEnd"/>
      <w:r>
        <w:t xml:space="preserve"> transcription, Microsoft Teams transcription, Apple Voice Memos). Good for: transcription at a quality good enough for human checking against audio. Fails at: producing transcripts faithful in their entirety (Koenecke et al. ACM </w:t>
      </w:r>
      <w:proofErr w:type="spellStart"/>
      <w:r>
        <w:t>FAccT</w:t>
      </w:r>
      <w:proofErr w:type="spellEnd"/>
      <w:r>
        <w:t xml:space="preserve">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w:t>
      </w:r>
      <w:proofErr w:type="spellStart"/>
      <w:r>
        <w:t>MacWhisper</w:t>
      </w:r>
      <w:proofErr w:type="spellEnd"/>
      <w:r>
        <w:t>), enterprise-tenanted cloud (Teams in an M365 tenant with EU Data Boundary), segment-level confidence reporting, audit-trail logging for research-ethics review.</w:t>
      </w:r>
    </w:p>
    <w:p w14:paraId="408D4223" w14:textId="77777777" w:rsidR="00170D13" w:rsidRDefault="00000000">
      <w:pPr>
        <w:pStyle w:val="BodyText"/>
      </w:pPr>
      <w:r>
        <w:rPr>
          <w:b/>
          <w:bCs/>
        </w:rPr>
        <w:t>Class 11 — AI-detection tools.</w:t>
      </w:r>
      <w:r>
        <w:t xml:space="preserve"> Statistical or watermark-detection classifiers used to flag whether text was written or substantially edited by an AI tool (Turnitin AI Detection, </w:t>
      </w:r>
      <w:proofErr w:type="spellStart"/>
      <w:r>
        <w:t>GPTZero</w:t>
      </w:r>
      <w:proofErr w:type="spellEnd"/>
      <w:r>
        <w:t xml:space="preserve">, Originality.ai, </w:t>
      </w:r>
      <w:proofErr w:type="spellStart"/>
      <w:r>
        <w:t>Copyleaks</w:t>
      </w:r>
      <w:proofErr w:type="spellEnd"/>
      <w:r>
        <w:t xml:space="preserve">, Winston AI, Sapling, </w:t>
      </w:r>
      <w:proofErr w:type="spellStart"/>
      <w:r>
        <w:t>Crossplag</w:t>
      </w:r>
      <w:proofErr w:type="spellEnd"/>
      <w:r>
        <w:t xml:space="preserve">).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w:t>
      </w:r>
      <w:proofErr w:type="gramStart"/>
      <w:r>
        <w:lastRenderedPageBreak/>
        <w:t>displaces:</w:t>
      </w:r>
      <w:proofErr w:type="gramEnd"/>
      <w:r>
        <w:t xml:space="preserve"> AI-detection treats surface authorship signals as a proxy for research validity, which they are not.</w:t>
      </w:r>
      <w:bookmarkEnd w:id="45"/>
    </w:p>
    <w:p w14:paraId="062F0260" w14:textId="77777777" w:rsidR="00170D13" w:rsidRDefault="00000000">
      <w:pPr>
        <w:pStyle w:val="Heading2"/>
      </w:pPr>
      <w:bookmarkStart w:id="46" w:name="appendix-d-about-this-report-1"/>
      <w:r>
        <w:t>Appendix D — About this report</w:t>
      </w:r>
    </w:p>
    <w:p w14:paraId="547ABF31" w14:textId="77777777" w:rsidR="00170D13" w:rsidRDefault="00000000">
      <w:pPr>
        <w:pStyle w:val="FirstParagraph"/>
      </w:pPr>
      <w:r>
        <w:rPr>
          <w:b/>
          <w:bCs/>
        </w:rPr>
        <w:t>About the author.</w:t>
      </w:r>
      <w:r>
        <w:t xml:space="preserve"> Michael J. Zyphur is the Director of Instats and a Professor of Quantitative Methods at the University of Queensland. His research is at </w:t>
      </w:r>
      <w:hyperlink r:id="rId16">
        <w:r w:rsidR="00170D13">
          <w:rPr>
            <w:rStyle w:val="Hyperlink1"/>
          </w:rPr>
          <w:t>Google Scholar</w:t>
        </w:r>
      </w:hyperlink>
      <w:r>
        <w:t xml:space="preserve">. ORCID: </w:t>
      </w:r>
      <w:hyperlink r:id="rId17">
        <w:r w:rsidR="00170D13">
          <w:rPr>
            <w:rStyle w:val="Hyperlink1"/>
          </w:rPr>
          <w:t>0000-0003-3237-7892</w:t>
        </w:r>
      </w:hyperlink>
      <w:r>
        <w:t xml:space="preserve">. Contact: </w:t>
      </w:r>
      <w:hyperlink r:id="rId18">
        <w:r w:rsidR="00170D13">
          <w:rPr>
            <w:rStyle w:val="Hyperlink1"/>
          </w:rPr>
          <w:t>support@instats.org</w:t>
        </w:r>
      </w:hyperlink>
      <w:r>
        <w:t>.</w:t>
      </w:r>
    </w:p>
    <w:p w14:paraId="04059BFD" w14:textId="77777777" w:rsidR="00170D13" w:rsidRDefault="00000000">
      <w:pPr>
        <w:pStyle w:val="BodyText"/>
      </w:pPr>
      <w:r>
        <w:rPr>
          <w:b/>
          <w:bCs/>
        </w:rPr>
        <w:t>Scope.</w:t>
      </w:r>
      <w: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14:paraId="663DDC93" w14:textId="77777777" w:rsidR="00170D13" w:rsidRDefault="00000000">
      <w:pPr>
        <w:pStyle w:val="BodyText"/>
      </w:pPr>
      <w:r>
        <w:rPr>
          <w:b/>
          <w:bCs/>
        </w:rPr>
        <w:t>Methodology.</w:t>
      </w:r>
      <w:r>
        <w:t xml:space="preserve"> Forensic, source-anchored analysis. Synthesis claims that consolidate multiple primary sources are anchored through the publication’s evidence dossiers (Appendix E), </w:t>
      </w:r>
      <w:proofErr w:type="spellStart"/>
      <w:r>
        <w:t>organised</w:t>
      </w:r>
      <w:proofErr w:type="spellEnd"/>
      <w:r>
        <w:t xml:space="preserve"> by evidence axis: national research-funder policies; institutional AI policies; competency frameworks; publisher and journal policies; AI tool taxonomy; privacy and governance frameworks; reproducibility-crisis intersection; adversarial-review patterns.</w:t>
      </w:r>
    </w:p>
    <w:p w14:paraId="6E43DEEC" w14:textId="77777777" w:rsidR="00170D13" w:rsidRDefault="00000000">
      <w:pPr>
        <w:pStyle w:val="BodyText"/>
      </w:pPr>
      <w:r>
        <w:rPr>
          <w:b/>
          <w:bCs/>
        </w:rPr>
        <w:t>AI assistance.</w:t>
      </w:r>
      <w:r>
        <w:t xml:space="preserve"> This report used assistance from Anthropic Claude Code (Opus 4.7), OpenAI Codex (GPT-5.5), and Google Gemini (3 Flash Preview) for research review, </w:t>
      </w:r>
      <w:r>
        <w:lastRenderedPageBreak/>
        <w:t>drafting, code/release checks, and copy-editing. The author is responsible for every factual claim, source interpretation, calculation, caveat, and final wording.</w:t>
      </w:r>
    </w:p>
    <w:p w14:paraId="3CCBF6AD" w14:textId="77777777" w:rsidR="00170D13" w:rsidRDefault="00000000">
      <w:pPr>
        <w:pStyle w:val="BodyText"/>
      </w:pPr>
      <w:r>
        <w:rPr>
          <w:b/>
          <w:bCs/>
        </w:rPr>
        <w:t>Conflict-of-interest disclosure.</w:t>
      </w:r>
      <w: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6"/>
    </w:p>
    <w:p w14:paraId="77C316BF" w14:textId="77777777" w:rsidR="00170D13" w:rsidRDefault="00000000">
      <w:pPr>
        <w:pStyle w:val="Heading2"/>
      </w:pPr>
      <w:bookmarkStart w:id="47" w:name="appendix-e-sources-1"/>
      <w:r>
        <w:t>Appendix E — Sources</w:t>
      </w:r>
    </w:p>
    <w:p w14:paraId="124C9DAB" w14:textId="77777777" w:rsidR="00170D13" w:rsidRDefault="00000000">
      <w:pPr>
        <w:pStyle w:val="FirstParagraph"/>
      </w:pPr>
      <w:r>
        <w:t xml:space="preserve">The report’s full evidence base is documented across eight primary-source dossiers in the project’s </w:t>
      </w:r>
      <w:r>
        <w:rPr>
          <w:rStyle w:val="VerbatimChar"/>
        </w:rPr>
        <w:t>research/</w:t>
      </w:r>
      <w:r>
        <w:t xml:space="preserve"> directory. Each dossier carries an </w:t>
      </w:r>
      <w:proofErr w:type="spellStart"/>
      <w:r>
        <w:t>alphabetised</w:t>
      </w:r>
      <w:proofErr w:type="spellEnd"/>
      <w:r>
        <w:t xml:space="preserve">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14:paraId="20495B66" w14:textId="77777777" w:rsidR="00170D13" w:rsidRDefault="00000000">
      <w:pPr>
        <w:pStyle w:val="BodyText"/>
      </w:pPr>
      <w:r>
        <w:t>The eight dossiers are:</w:t>
      </w:r>
    </w:p>
    <w:p w14:paraId="39442D53" w14:textId="77777777" w:rsidR="00170D13" w:rsidRDefault="00000000">
      <w:pPr>
        <w:pStyle w:val="Compact"/>
        <w:numPr>
          <w:ilvl w:val="0"/>
          <w:numId w:val="7"/>
        </w:numPr>
      </w:pPr>
      <w:r>
        <w:rPr>
          <w:rStyle w:val="VerbatimChar"/>
        </w:rPr>
        <w:t>research/dossier_01_national_funders.md</w:t>
      </w:r>
      <w:r>
        <w:t xml:space="preserve"> — fourteen national research funders across thirteen countries (UKRI; NSF; NIH; ARC; NHMRC; DFG; ERC; A*STAR; JSPS; Canadian tri-agency; NWO; SNSF; Swedish Research Council; Research Council of Norway).</w:t>
      </w:r>
    </w:p>
    <w:p w14:paraId="078B97C2" w14:textId="77777777" w:rsidR="00170D13" w:rsidRDefault="00000000">
      <w:pPr>
        <w:pStyle w:val="Compact"/>
        <w:numPr>
          <w:ilvl w:val="0"/>
          <w:numId w:val="7"/>
        </w:numPr>
      </w:pPr>
      <w:r>
        <w:rPr>
          <w:rStyle w:val="VerbatimChar"/>
        </w:rPr>
        <w:t>research/dossier_02_university_policies.md</w:t>
      </w:r>
      <w:r>
        <w:t xml:space="preserve"> — thirty-eight top-tier doctoral universities across fifteen countries and jurisdictions (UK Russell Group; US Ivy-</w:t>
      </w:r>
      <w:r>
        <w:lastRenderedPageBreak/>
        <w:t>Plus and AAU; Australian Group of Eight; German U15; continental European research-intensives; Asian RU11 and adjacent; Canadian U15).</w:t>
      </w:r>
    </w:p>
    <w:p w14:paraId="11498F59" w14:textId="77777777" w:rsidR="00170D13" w:rsidRDefault="00000000">
      <w:pPr>
        <w:pStyle w:val="Compact"/>
        <w:numPr>
          <w:ilvl w:val="0"/>
          <w:numId w:val="7"/>
        </w:numPr>
      </w:pPr>
      <w:r>
        <w:rPr>
          <w:rStyle w:val="VerbatimChar"/>
        </w:rPr>
        <w:t>research/dossier_03_competency_frameworks.md</w:t>
      </w:r>
      <w:r>
        <w:t xml:space="preserve"> — thirteen competency frameworks (UNESCO AI CF for Students and Teachers; OECD-EC </w:t>
      </w:r>
      <w:proofErr w:type="spellStart"/>
      <w:r>
        <w:t>AILit</w:t>
      </w:r>
      <w:proofErr w:type="spellEnd"/>
      <w:r>
        <w:t xml:space="preserve">; </w:t>
      </w:r>
      <w:proofErr w:type="spellStart"/>
      <w:r>
        <w:t>DigComp</w:t>
      </w:r>
      <w:proofErr w:type="spellEnd"/>
      <w:r>
        <w:t xml:space="preserve"> 2.2; </w:t>
      </w:r>
      <w:proofErr w:type="spellStart"/>
      <w:r>
        <w:t>Jisc</w:t>
      </w:r>
      <w:proofErr w:type="spellEnd"/>
      <w:r>
        <w:t>; EDUCAUSE; Vitae RDF; CGS-INRS Global Action Agenda; EUA; US National Academies / PNAS; TEQSA; Russell Group; Digital Education Council).</w:t>
      </w:r>
    </w:p>
    <w:p w14:paraId="4E0D00B4" w14:textId="77777777" w:rsidR="00170D13" w:rsidRDefault="00000000">
      <w:pPr>
        <w:pStyle w:val="Compact"/>
        <w:numPr>
          <w:ilvl w:val="0"/>
          <w:numId w:val="7"/>
        </w:numPr>
      </w:pPr>
      <w:r>
        <w:rPr>
          <w:rStyle w:val="VerbatimChar"/>
        </w:rPr>
        <w:t>research/dossier_04_publisher_policies.md</w:t>
      </w:r>
      <w: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w:t>
      </w:r>
      <w:proofErr w:type="spellStart"/>
      <w:r>
        <w:t>arXiv</w:t>
      </w:r>
      <w:proofErr w:type="spellEnd"/>
      <w:r>
        <w:t xml:space="preserve">; bioRxiv; </w:t>
      </w:r>
      <w:proofErr w:type="spellStart"/>
      <w:r>
        <w:t>medRxiv</w:t>
      </w:r>
      <w:proofErr w:type="spellEnd"/>
      <w:r>
        <w:t>).</w:t>
      </w:r>
    </w:p>
    <w:p w14:paraId="63E0DC25" w14:textId="77777777" w:rsidR="00170D13" w:rsidRDefault="00000000">
      <w:pPr>
        <w:pStyle w:val="Compact"/>
        <w:numPr>
          <w:ilvl w:val="0"/>
          <w:numId w:val="7"/>
        </w:numPr>
      </w:pPr>
      <w:r>
        <w:rPr>
          <w:rStyle w:val="VerbatimChar"/>
        </w:rPr>
        <w:t>research/dossier_05_ai_tool_taxonomy.md</w:t>
      </w:r>
      <w:r>
        <w:t xml:space="preserve"> — eleven AI tool classes (LLM-as-search; LLM-as-co-author; LLM-as-validator; LLM-as-tutor; LLM-as-coder; RAG-anchored research assistants; automated literature-synthesis tools; AlphaFold-class </w:t>
      </w:r>
      <w:proofErr w:type="spellStart"/>
      <w:r>
        <w:t>specialised</w:t>
      </w:r>
      <w:proofErr w:type="spellEnd"/>
      <w:r>
        <w:t xml:space="preserve"> assistants; image-and-figure generation; voice-and-transcription; AI-detection).</w:t>
      </w:r>
    </w:p>
    <w:p w14:paraId="446A60B7" w14:textId="77777777" w:rsidR="00170D13" w:rsidRDefault="00000000">
      <w:pPr>
        <w:pStyle w:val="Compact"/>
        <w:numPr>
          <w:ilvl w:val="0"/>
          <w:numId w:val="7"/>
        </w:numPr>
      </w:pPr>
      <w:r>
        <w:rPr>
          <w:rStyle w:val="VerbatimChar"/>
        </w:rPr>
        <w:t>research/dossier_06_privacy_ip_governance.md</w:t>
      </w:r>
      <w: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14:paraId="400D2E30" w14:textId="77777777" w:rsidR="00170D13" w:rsidRDefault="00000000">
      <w:pPr>
        <w:pStyle w:val="Compact"/>
        <w:numPr>
          <w:ilvl w:val="0"/>
          <w:numId w:val="7"/>
        </w:numPr>
      </w:pPr>
      <w:r>
        <w:rPr>
          <w:rStyle w:val="VerbatimChar"/>
        </w:rPr>
        <w:t>research/dossier_07_reproducibility_intersection.md</w:t>
      </w:r>
      <w:r>
        <w:t xml:space="preserve"> — pre-AI reproducibility-crisis literature anchor (Ioannidis 2005; OSC 2015; Begley-Ellis 2012; Errington 2021; Camerer 2018; Many Labs 1-3; Voelkl 2018; Bouter / Gopalakrishna 2022) and the AI-augmentation intersection (multiplier-side §7a-§7i; solver-side §7j-§7n).</w:t>
      </w:r>
    </w:p>
    <w:p w14:paraId="54B1BBE1" w14:textId="77777777" w:rsidR="00170D13" w:rsidRDefault="00000000">
      <w:pPr>
        <w:pStyle w:val="Compact"/>
        <w:numPr>
          <w:ilvl w:val="0"/>
          <w:numId w:val="7"/>
        </w:numPr>
      </w:pPr>
      <w:r>
        <w:rPr>
          <w:rStyle w:val="VerbatimChar"/>
        </w:rPr>
        <w:lastRenderedPageBreak/>
        <w:t>research/dossier_08_adversarial_review_patterns.md</w:t>
      </w:r>
      <w:r>
        <w:t xml:space="preserve"> — nine adversarial-review patterns (red-team / blue-team; devil’s-advocate; pre-mortem; structured analytic techniques; adversarial collaboration; multi-agent LLM debate; constitutional AI / self-critique chains; AI red-teaming as research method; pre-registration).</w:t>
      </w:r>
    </w:p>
    <w:p w14:paraId="41819BC7" w14:textId="77777777" w:rsidR="00170D13" w:rsidRDefault="00000000">
      <w:pPr>
        <w:pStyle w:val="FirstParagraph"/>
      </w:pPr>
      <w: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7"/>
    </w:p>
    <w:p w14:paraId="2441F07F" w14:textId="77777777" w:rsidR="00170D13" w:rsidRDefault="00000000">
      <w:pPr>
        <w:pStyle w:val="Heading2"/>
      </w:pPr>
      <w:bookmarkStart w:id="48" w:name="appendix-f-regional-adaptation-note-1"/>
      <w:r>
        <w:t>Appendix F — Regional-adaptation note</w:t>
      </w:r>
    </w:p>
    <w:p w14:paraId="10B3EB64" w14:textId="77777777" w:rsidR="00170D13" w:rsidRDefault="00000000">
      <w:pPr>
        <w:pStyle w:val="FirstParagraph"/>
      </w:pPr>
      <w:r>
        <w:t xml:space="preserve">This report is the global anchor of a planned regional series. The framework in Part 2 and the maturity grid in Part 4 </w:t>
      </w:r>
      <w:proofErr w:type="gramStart"/>
      <w:r>
        <w:t>are</w:t>
      </w:r>
      <w:proofErr w:type="gramEnd"/>
      <w:r>
        <w:t xml:space="preserve"> deliberately built to be reusable: the framework’s five dimensions and the grid’s four maturity levels do not change between the global view and a regional adaptation. What changes is the evidence that populates each cell.</w:t>
      </w:r>
    </w:p>
    <w:p w14:paraId="615A1818" w14:textId="77777777" w:rsidR="00170D13" w:rsidRDefault="00000000">
      <w:pPr>
        <w:pStyle w:val="BodyText"/>
      </w:pPr>
      <w:r>
        <w:t xml:space="preserve">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w:t>
      </w:r>
      <w:r>
        <w:lastRenderedPageBreak/>
        <w:t>follow the regional adaptations: within-US (state and system differentiation); UK versus wider Europe; East versus West Europe; North versus South Europe.</w:t>
      </w:r>
    </w:p>
    <w:p w14:paraId="585B3678" w14:textId="77777777" w:rsidR="00170D13" w:rsidRDefault="00000000">
      <w:pPr>
        <w:pStyle w:val="BodyText"/>
      </w:pPr>
      <w:r>
        <w:t xml:space="preserve">Three design choices make the framework reusable. First, the five dimensions are defined in terms of observable institutional </w:t>
      </w:r>
      <w:proofErr w:type="spellStart"/>
      <w:r>
        <w:t>behaviour</w:t>
      </w:r>
      <w:proofErr w:type="spellEnd"/>
      <w:r>
        <w:t xml:space="preserve">, not in terms of named documents or instruments specific to a single jurisdiction. The German </w:t>
      </w:r>
      <w:proofErr w:type="spellStart"/>
      <w:r>
        <w:rPr>
          <w:i/>
          <w:iCs/>
        </w:rPr>
        <w:t>eidesstattliche</w:t>
      </w:r>
      <w:proofErr w:type="spellEnd"/>
      <w:r>
        <w:rPr>
          <w:i/>
          <w:iCs/>
        </w:rPr>
        <w:t xml:space="preserve"> Versicherung</w:t>
      </w:r>
      <w: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14:paraId="3E458D0F" w14:textId="77777777" w:rsidR="00170D13" w:rsidRDefault="00000000">
      <w:pPr>
        <w:pStyle w:val="BodyText"/>
      </w:pPr>
      <w:r>
        <w:t xml:space="preserve">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w:t>
      </w:r>
      <w:r>
        <w:lastRenderedPageBreak/>
        <w:t>evidence agrees with the global pattern and where it diverges. The cross-references the regional adaptations build allow sub-regional and longitudinal comparisons that the global view alone cannot support.</w:t>
      </w:r>
    </w:p>
    <w:p w14:paraId="0D414EC5" w14:textId="77777777" w:rsidR="00170D13" w:rsidRDefault="00000000">
      <w:pPr>
        <w:pStyle w:val="BodyText"/>
      </w:pPr>
      <w: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8"/>
    </w:p>
    <w:p w14:paraId="1D7798A3" w14:textId="77777777" w:rsidR="00170D13" w:rsidRDefault="00000000">
      <w:pPr>
        <w:pStyle w:val="Heading2"/>
      </w:pPr>
      <w:bookmarkStart w:id="49" w:name="X17285a873e63ccb0cca26e646af65800f47b2e1"/>
      <w:r>
        <w:t xml:space="preserve">Appendix G — </w:t>
      </w:r>
      <w:proofErr w:type="spellStart"/>
      <w:r>
        <w:t>Labour</w:t>
      </w:r>
      <w:proofErr w:type="spellEnd"/>
      <w:r>
        <w:t>-vs-judgement task taxonomy</w:t>
      </w:r>
    </w:p>
    <w:p w14:paraId="10275A1E" w14:textId="77777777" w:rsidR="00170D13" w:rsidRDefault="00000000">
      <w:pPr>
        <w:pStyle w:val="FirstParagraph"/>
      </w:pPr>
      <w:r>
        <w:t xml:space="preserve">The framework’s Dimension 1 (human-in-the-loop discipline) requires that institutions publish a research-task-level demarcation between </w:t>
      </w:r>
      <w:proofErr w:type="spellStart"/>
      <w:r>
        <w:rPr>
          <w:i/>
          <w:iCs/>
        </w:rPr>
        <w:t>labour</w:t>
      </w:r>
      <w:proofErr w:type="spellEnd"/>
      <w:r>
        <w:t xml:space="preserve"> (work AI augmentation may carry, with human verification of derived results) and </w:t>
      </w:r>
      <w:r>
        <w:rPr>
          <w:i/>
          <w:iCs/>
        </w:rPr>
        <w:t>judgement</w:t>
      </w:r>
      <w: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w:t>
      </w:r>
      <w:proofErr w:type="spellStart"/>
      <w:r>
        <w:t>labour</w:t>
      </w:r>
      <w:proofErr w:type="spellEnd"/>
      <w:r>
        <w:t xml:space="preserve"> with verification; a humanities PhD’s “interpreting an archive document” is judgement under any taxonomy).</w:t>
      </w:r>
    </w:p>
    <w:tbl>
      <w:tblPr>
        <w:tblStyle w:val="Table"/>
        <w:tblW w:w="5000" w:type="pct"/>
        <w:tblInd w:w="108" w:type="dxa"/>
        <w:tblLayout w:type="fixed"/>
        <w:tblCellMar>
          <w:left w:w="108" w:type="dxa"/>
          <w:right w:w="108" w:type="dxa"/>
        </w:tblCellMar>
        <w:tblLook w:val="0020" w:firstRow="1" w:lastRow="0" w:firstColumn="0" w:lastColumn="0" w:noHBand="0" w:noVBand="0"/>
      </w:tblPr>
      <w:tblGrid>
        <w:gridCol w:w="3135"/>
        <w:gridCol w:w="3135"/>
        <w:gridCol w:w="3136"/>
      </w:tblGrid>
      <w:tr w:rsidR="00170D13" w14:paraId="29B2EA37" w14:textId="77777777">
        <w:trPr>
          <w:tblHeader/>
        </w:trPr>
        <w:tc>
          <w:tcPr>
            <w:tcW w:w="3135" w:type="dxa"/>
          </w:tcPr>
          <w:p w14:paraId="50B8ED84" w14:textId="77777777" w:rsidR="00170D13" w:rsidRDefault="00000000">
            <w:pPr>
              <w:pStyle w:val="TableText"/>
              <w:spacing w:before="0"/>
            </w:pPr>
            <w:r>
              <w:t>Research task</w:t>
            </w:r>
          </w:p>
        </w:tc>
        <w:tc>
          <w:tcPr>
            <w:tcW w:w="3135" w:type="dxa"/>
          </w:tcPr>
          <w:p w14:paraId="617CB8C4" w14:textId="77777777" w:rsidR="00170D13" w:rsidRDefault="00000000">
            <w:pPr>
              <w:pStyle w:val="TableText"/>
              <w:spacing w:before="0"/>
            </w:pPr>
            <w:r>
              <w:t>Default class</w:t>
            </w:r>
          </w:p>
        </w:tc>
        <w:tc>
          <w:tcPr>
            <w:tcW w:w="3136" w:type="dxa"/>
          </w:tcPr>
          <w:p w14:paraId="08C932EA" w14:textId="77777777" w:rsidR="00170D13" w:rsidRDefault="00000000">
            <w:pPr>
              <w:pStyle w:val="TableText"/>
              <w:spacing w:before="0"/>
            </w:pPr>
            <w:r>
              <w:t>Notes for institutional policy</w:t>
            </w:r>
          </w:p>
        </w:tc>
      </w:tr>
      <w:tr w:rsidR="00170D13" w14:paraId="5D0CF1F9" w14:textId="77777777">
        <w:tc>
          <w:tcPr>
            <w:tcW w:w="3135" w:type="dxa"/>
          </w:tcPr>
          <w:p w14:paraId="4FD00417" w14:textId="77777777" w:rsidR="00170D13" w:rsidRDefault="00000000">
            <w:pPr>
              <w:pStyle w:val="TableText"/>
              <w:spacing w:before="0"/>
            </w:pPr>
            <w:r>
              <w:t>Initial literature scoping (search-term iteration; reading-list assembly from broad queries)</w:t>
            </w:r>
          </w:p>
        </w:tc>
        <w:tc>
          <w:tcPr>
            <w:tcW w:w="3135" w:type="dxa"/>
          </w:tcPr>
          <w:p w14:paraId="7A39C476" w14:textId="77777777" w:rsidR="00170D13" w:rsidRDefault="00000000">
            <w:pPr>
              <w:pStyle w:val="TableText"/>
              <w:spacing w:before="0"/>
            </w:pPr>
            <w:proofErr w:type="spellStart"/>
            <w:r>
              <w:t>Labour</w:t>
            </w:r>
            <w:proofErr w:type="spellEnd"/>
          </w:p>
        </w:tc>
        <w:tc>
          <w:tcPr>
            <w:tcW w:w="3136" w:type="dxa"/>
          </w:tcPr>
          <w:p w14:paraId="1532E878" w14:textId="77777777" w:rsidR="00170D13" w:rsidRDefault="00000000">
            <w:pPr>
              <w:pStyle w:val="TableText"/>
              <w:spacing w:before="0"/>
            </w:pPr>
            <w:r>
              <w:t>RAG-anchored research-assistant class is the responsible-by-construction tool; researcher verifies citations against primary sources before incorporating.</w:t>
            </w:r>
          </w:p>
        </w:tc>
      </w:tr>
      <w:tr w:rsidR="00170D13" w14:paraId="27D90D4E" w14:textId="77777777">
        <w:tc>
          <w:tcPr>
            <w:tcW w:w="3135" w:type="dxa"/>
          </w:tcPr>
          <w:p w14:paraId="54ABC801" w14:textId="77777777" w:rsidR="00170D13" w:rsidRDefault="00000000">
            <w:pPr>
              <w:pStyle w:val="TableText"/>
              <w:spacing w:before="0"/>
            </w:pPr>
            <w:r>
              <w:t>Citation accuracy verification at draft time</w:t>
            </w:r>
          </w:p>
        </w:tc>
        <w:tc>
          <w:tcPr>
            <w:tcW w:w="3135" w:type="dxa"/>
          </w:tcPr>
          <w:p w14:paraId="5D24B371" w14:textId="77777777" w:rsidR="00170D13" w:rsidRDefault="00000000">
            <w:pPr>
              <w:pStyle w:val="TableText"/>
              <w:spacing w:before="0"/>
            </w:pPr>
            <w:proofErr w:type="spellStart"/>
            <w:r>
              <w:t>Labour</w:t>
            </w:r>
            <w:proofErr w:type="spellEnd"/>
          </w:p>
        </w:tc>
        <w:tc>
          <w:tcPr>
            <w:tcW w:w="3136" w:type="dxa"/>
          </w:tcPr>
          <w:p w14:paraId="6404D129" w14:textId="77777777" w:rsidR="00170D13" w:rsidRDefault="00000000">
            <w:pPr>
              <w:pStyle w:val="TableText"/>
              <w:spacing w:before="0"/>
            </w:pPr>
            <w:r>
              <w:t xml:space="preserve">AI may flag candidate matches; researcher must resolve every citation to the primary source per </w:t>
            </w:r>
            <w:r>
              <w:lastRenderedPageBreak/>
              <w:t>the Walters &amp; Wilder 18-55 per cent fabrication-rate evidence (§1.1).</w:t>
            </w:r>
          </w:p>
        </w:tc>
      </w:tr>
      <w:tr w:rsidR="00170D13" w14:paraId="7E3E4C7D" w14:textId="77777777">
        <w:tc>
          <w:tcPr>
            <w:tcW w:w="3135" w:type="dxa"/>
          </w:tcPr>
          <w:p w14:paraId="4CE02308" w14:textId="77777777" w:rsidR="00170D13" w:rsidRDefault="00000000">
            <w:pPr>
              <w:pStyle w:val="TableText"/>
              <w:spacing w:before="0"/>
            </w:pPr>
            <w:r>
              <w:lastRenderedPageBreak/>
              <w:t xml:space="preserve">Literature synthesis judgement (deciding which papers are </w:t>
            </w:r>
            <w:proofErr w:type="gramStart"/>
            <w:r>
              <w:t>load-bearing</w:t>
            </w:r>
            <w:proofErr w:type="gramEnd"/>
            <w:r>
              <w:t>; resolving conflicting findings)</w:t>
            </w:r>
          </w:p>
        </w:tc>
        <w:tc>
          <w:tcPr>
            <w:tcW w:w="3135" w:type="dxa"/>
          </w:tcPr>
          <w:p w14:paraId="4DACBE80" w14:textId="77777777" w:rsidR="00170D13" w:rsidRDefault="00000000">
            <w:pPr>
              <w:pStyle w:val="TableText"/>
              <w:spacing w:before="0"/>
            </w:pPr>
            <w:r>
              <w:t>Judgement</w:t>
            </w:r>
          </w:p>
        </w:tc>
        <w:tc>
          <w:tcPr>
            <w:tcW w:w="3136" w:type="dxa"/>
          </w:tcPr>
          <w:p w14:paraId="7715111C" w14:textId="77777777" w:rsidR="00170D13" w:rsidRDefault="00000000">
            <w:pPr>
              <w:pStyle w:val="TableText"/>
              <w:spacing w:before="0"/>
            </w:pPr>
            <w:r>
              <w:t>The synthesis is the research contribution; AI may scaffold the inputs but not substitute for the synthesis.</w:t>
            </w:r>
          </w:p>
        </w:tc>
      </w:tr>
      <w:tr w:rsidR="00170D13" w14:paraId="50DE852E" w14:textId="77777777">
        <w:tc>
          <w:tcPr>
            <w:tcW w:w="3135" w:type="dxa"/>
          </w:tcPr>
          <w:p w14:paraId="37095836" w14:textId="77777777" w:rsidR="00170D13" w:rsidRDefault="00000000">
            <w:pPr>
              <w:pStyle w:val="TableText"/>
              <w:spacing w:before="0"/>
            </w:pPr>
            <w:r>
              <w:t>Drafting prose from a researcher-generated outline (bullets to paragraphs; section drafts from notes)</w:t>
            </w:r>
          </w:p>
        </w:tc>
        <w:tc>
          <w:tcPr>
            <w:tcW w:w="3135" w:type="dxa"/>
          </w:tcPr>
          <w:p w14:paraId="7C89F2BE" w14:textId="77777777" w:rsidR="00170D13" w:rsidRDefault="00000000">
            <w:pPr>
              <w:pStyle w:val="TableText"/>
              <w:spacing w:before="0"/>
            </w:pPr>
            <w:proofErr w:type="spellStart"/>
            <w:r>
              <w:t>Labour</w:t>
            </w:r>
            <w:proofErr w:type="spellEnd"/>
          </w:p>
        </w:tc>
        <w:tc>
          <w:tcPr>
            <w:tcW w:w="3136" w:type="dxa"/>
          </w:tcPr>
          <w:p w14:paraId="53326F23" w14:textId="77777777" w:rsidR="00170D13" w:rsidRDefault="00000000">
            <w:pPr>
              <w:pStyle w:val="TableText"/>
              <w:spacing w:before="0"/>
            </w:pPr>
            <w:r>
              <w:t>Publisher disclosure rules apply; institutional disclosure template names the use.</w:t>
            </w:r>
          </w:p>
        </w:tc>
      </w:tr>
      <w:tr w:rsidR="00170D13" w14:paraId="06CFF7D4" w14:textId="77777777">
        <w:tc>
          <w:tcPr>
            <w:tcW w:w="3135" w:type="dxa"/>
          </w:tcPr>
          <w:p w14:paraId="03A80C08" w14:textId="77777777" w:rsidR="00170D13" w:rsidRDefault="00000000">
            <w:pPr>
              <w:pStyle w:val="TableText"/>
              <w:spacing w:before="0"/>
            </w:pPr>
            <w:r>
              <w:t xml:space="preserve">Drafting substantive </w:t>
            </w:r>
            <w:proofErr w:type="gramStart"/>
            <w:r>
              <w:t>content</w:t>
            </w:r>
            <w:proofErr w:type="gramEnd"/>
            <w:r>
              <w:t xml:space="preserve"> the researcher cannot independently produce or validate</w:t>
            </w:r>
          </w:p>
        </w:tc>
        <w:tc>
          <w:tcPr>
            <w:tcW w:w="3135" w:type="dxa"/>
          </w:tcPr>
          <w:p w14:paraId="60E24BF9" w14:textId="77777777" w:rsidR="00170D13" w:rsidRDefault="00000000">
            <w:pPr>
              <w:pStyle w:val="TableText"/>
              <w:spacing w:before="0"/>
            </w:pPr>
            <w:r>
              <w:t>Judgement</w:t>
            </w:r>
          </w:p>
        </w:tc>
        <w:tc>
          <w:tcPr>
            <w:tcW w:w="3136" w:type="dxa"/>
          </w:tcPr>
          <w:p w14:paraId="64896AB8" w14:textId="77777777" w:rsidR="00170D13" w:rsidRDefault="00000000">
            <w:pPr>
              <w:pStyle w:val="TableText"/>
              <w:spacing w:before="0"/>
            </w:pPr>
            <w:r>
              <w:t>The fabrication-risk surface; AI may not substitute.</w:t>
            </w:r>
          </w:p>
        </w:tc>
      </w:tr>
      <w:tr w:rsidR="00170D13" w14:paraId="17281776" w14:textId="77777777">
        <w:tc>
          <w:tcPr>
            <w:tcW w:w="3135" w:type="dxa"/>
          </w:tcPr>
          <w:p w14:paraId="73633177" w14:textId="77777777" w:rsidR="00170D13" w:rsidRDefault="00000000">
            <w:pPr>
              <w:pStyle w:val="TableText"/>
              <w:spacing w:before="0"/>
            </w:pPr>
            <w:r>
              <w:t>Language polishing on researcher-generated text (grammar, register, length compression)</w:t>
            </w:r>
          </w:p>
        </w:tc>
        <w:tc>
          <w:tcPr>
            <w:tcW w:w="3135" w:type="dxa"/>
          </w:tcPr>
          <w:p w14:paraId="3F6D9DF0" w14:textId="77777777" w:rsidR="00170D13" w:rsidRDefault="00000000">
            <w:pPr>
              <w:pStyle w:val="TableText"/>
              <w:spacing w:before="0"/>
            </w:pPr>
            <w:proofErr w:type="spellStart"/>
            <w:r>
              <w:t>Labour</w:t>
            </w:r>
            <w:proofErr w:type="spellEnd"/>
          </w:p>
        </w:tc>
        <w:tc>
          <w:tcPr>
            <w:tcW w:w="3136" w:type="dxa"/>
          </w:tcPr>
          <w:p w14:paraId="6B50D5D4" w14:textId="77777777" w:rsidR="00170D13" w:rsidRDefault="00000000">
            <w:pPr>
              <w:pStyle w:val="TableText"/>
              <w:spacing w:before="0"/>
            </w:pPr>
            <w:r>
              <w:t>Major-publisher carve-outs permit this without disclosure beyond general AI-use note.</w:t>
            </w:r>
          </w:p>
        </w:tc>
      </w:tr>
      <w:tr w:rsidR="00170D13" w14:paraId="38B64EBA" w14:textId="77777777">
        <w:tc>
          <w:tcPr>
            <w:tcW w:w="3135" w:type="dxa"/>
          </w:tcPr>
          <w:p w14:paraId="7818BD7D" w14:textId="77777777" w:rsidR="00170D13" w:rsidRDefault="00000000">
            <w:pPr>
              <w:pStyle w:val="TableText"/>
              <w:spacing w:before="0"/>
            </w:pPr>
            <w:r>
              <w:t>Translation of researcher-generated text between languages</w:t>
            </w:r>
          </w:p>
        </w:tc>
        <w:tc>
          <w:tcPr>
            <w:tcW w:w="3135" w:type="dxa"/>
          </w:tcPr>
          <w:p w14:paraId="682A6A61" w14:textId="77777777" w:rsidR="00170D13" w:rsidRDefault="00000000">
            <w:pPr>
              <w:pStyle w:val="TableText"/>
              <w:spacing w:before="0"/>
            </w:pPr>
            <w:proofErr w:type="spellStart"/>
            <w:r>
              <w:t>Labour</w:t>
            </w:r>
            <w:proofErr w:type="spellEnd"/>
          </w:p>
        </w:tc>
        <w:tc>
          <w:tcPr>
            <w:tcW w:w="3136" w:type="dxa"/>
          </w:tcPr>
          <w:p w14:paraId="3E4002C0" w14:textId="77777777" w:rsidR="00170D13" w:rsidRDefault="00000000">
            <w:pPr>
              <w:pStyle w:val="TableText"/>
              <w:spacing w:before="0"/>
            </w:pPr>
            <w:r>
              <w:t>Audit-trail captures the source text; researcher signs the translation.</w:t>
            </w:r>
          </w:p>
        </w:tc>
      </w:tr>
      <w:tr w:rsidR="00170D13" w14:paraId="30853779" w14:textId="77777777">
        <w:tc>
          <w:tcPr>
            <w:tcW w:w="3135" w:type="dxa"/>
          </w:tcPr>
          <w:p w14:paraId="44F6FA48" w14:textId="77777777" w:rsidR="00170D13" w:rsidRDefault="00000000">
            <w:pPr>
              <w:pStyle w:val="TableText"/>
              <w:spacing w:before="0"/>
            </w:pPr>
            <w:r>
              <w:t>Code generation for data-cleaning and analysis pipelines</w:t>
            </w:r>
          </w:p>
        </w:tc>
        <w:tc>
          <w:tcPr>
            <w:tcW w:w="3135" w:type="dxa"/>
          </w:tcPr>
          <w:p w14:paraId="51EC6549" w14:textId="77777777" w:rsidR="00170D13" w:rsidRDefault="00000000">
            <w:pPr>
              <w:pStyle w:val="TableText"/>
              <w:spacing w:before="0"/>
            </w:pPr>
            <w:proofErr w:type="spellStart"/>
            <w:r>
              <w:t>Labour</w:t>
            </w:r>
            <w:proofErr w:type="spellEnd"/>
          </w:p>
        </w:tc>
        <w:tc>
          <w:tcPr>
            <w:tcW w:w="3136" w:type="dxa"/>
          </w:tcPr>
          <w:p w14:paraId="74F68625" w14:textId="77777777" w:rsidR="00170D13" w:rsidRDefault="00000000">
            <w:pPr>
              <w:pStyle w:val="TableText"/>
              <w:spacing w:before="0"/>
            </w:pPr>
            <w:r>
              <w:t>LLM-as-coder class; researcher reviews diff, runs tests, signs the commit.</w:t>
            </w:r>
          </w:p>
        </w:tc>
      </w:tr>
      <w:tr w:rsidR="00170D13" w14:paraId="163172B3" w14:textId="77777777">
        <w:tc>
          <w:tcPr>
            <w:tcW w:w="3135" w:type="dxa"/>
          </w:tcPr>
          <w:p w14:paraId="01ADE45E" w14:textId="77777777" w:rsidR="00170D13" w:rsidRDefault="00000000">
            <w:pPr>
              <w:pStyle w:val="TableText"/>
              <w:spacing w:before="0"/>
            </w:pPr>
            <w:r>
              <w:t>Method choice and analytic-plan design</w:t>
            </w:r>
          </w:p>
        </w:tc>
        <w:tc>
          <w:tcPr>
            <w:tcW w:w="3135" w:type="dxa"/>
          </w:tcPr>
          <w:p w14:paraId="071EA199" w14:textId="77777777" w:rsidR="00170D13" w:rsidRDefault="00000000">
            <w:pPr>
              <w:pStyle w:val="TableText"/>
              <w:spacing w:before="0"/>
            </w:pPr>
            <w:r>
              <w:t>Judgement</w:t>
            </w:r>
          </w:p>
        </w:tc>
        <w:tc>
          <w:tcPr>
            <w:tcW w:w="3136" w:type="dxa"/>
          </w:tcPr>
          <w:p w14:paraId="3D2A2DF2" w14:textId="77777777" w:rsidR="00170D13" w:rsidRDefault="00000000">
            <w:pPr>
              <w:pStyle w:val="TableText"/>
              <w:spacing w:before="0"/>
            </w:pPr>
            <w:r>
              <w:t>The method choice is the research stance; AI may scaffold options, not decide.</w:t>
            </w:r>
          </w:p>
        </w:tc>
      </w:tr>
      <w:tr w:rsidR="00170D13" w14:paraId="3E1FD958" w14:textId="77777777">
        <w:tc>
          <w:tcPr>
            <w:tcW w:w="3135" w:type="dxa"/>
          </w:tcPr>
          <w:p w14:paraId="020A06C3" w14:textId="77777777" w:rsidR="00170D13" w:rsidRDefault="00000000">
            <w:pPr>
              <w:pStyle w:val="TableText"/>
              <w:spacing w:before="0"/>
            </w:pPr>
            <w:r>
              <w:t>Statistical-assumption checking and outlier-decision adjudication</w:t>
            </w:r>
          </w:p>
        </w:tc>
        <w:tc>
          <w:tcPr>
            <w:tcW w:w="3135" w:type="dxa"/>
          </w:tcPr>
          <w:p w14:paraId="55B21020" w14:textId="77777777" w:rsidR="00170D13" w:rsidRDefault="00000000">
            <w:pPr>
              <w:pStyle w:val="TableText"/>
              <w:spacing w:before="0"/>
            </w:pPr>
            <w:r>
              <w:t>Judgement</w:t>
            </w:r>
          </w:p>
        </w:tc>
        <w:tc>
          <w:tcPr>
            <w:tcW w:w="3136" w:type="dxa"/>
          </w:tcPr>
          <w:p w14:paraId="2B2178B1" w14:textId="77777777" w:rsidR="00170D13" w:rsidRDefault="00000000">
            <w:pPr>
              <w:pStyle w:val="TableText"/>
              <w:spacing w:before="0"/>
            </w:pPr>
            <w:r>
              <w:t>The decisions define the inferences.</w:t>
            </w:r>
          </w:p>
        </w:tc>
      </w:tr>
      <w:tr w:rsidR="00170D13" w14:paraId="078A9B70" w14:textId="77777777">
        <w:tc>
          <w:tcPr>
            <w:tcW w:w="3135" w:type="dxa"/>
          </w:tcPr>
          <w:p w14:paraId="66E1E3E7" w14:textId="77777777" w:rsidR="00170D13" w:rsidRDefault="00000000">
            <w:pPr>
              <w:pStyle w:val="TableText"/>
              <w:spacing w:before="0"/>
            </w:pPr>
            <w:r>
              <w:t>Hypothesis formulation prior to data collection</w:t>
            </w:r>
          </w:p>
        </w:tc>
        <w:tc>
          <w:tcPr>
            <w:tcW w:w="3135" w:type="dxa"/>
          </w:tcPr>
          <w:p w14:paraId="02F0F415" w14:textId="77777777" w:rsidR="00170D13" w:rsidRDefault="00000000">
            <w:pPr>
              <w:pStyle w:val="TableText"/>
              <w:spacing w:before="0"/>
            </w:pPr>
            <w:r>
              <w:t>Judgement</w:t>
            </w:r>
          </w:p>
        </w:tc>
        <w:tc>
          <w:tcPr>
            <w:tcW w:w="3136" w:type="dxa"/>
          </w:tcPr>
          <w:p w14:paraId="70D070F7" w14:textId="77777777" w:rsidR="00170D13" w:rsidRDefault="00000000">
            <w:pPr>
              <w:pStyle w:val="TableText"/>
              <w:spacing w:before="0"/>
            </w:pPr>
            <w:r>
              <w:t xml:space="preserve">Pre-registration discipline applies; AI may </w:t>
            </w:r>
            <w:proofErr w:type="gramStart"/>
            <w:r>
              <w:t>suggest,</w:t>
            </w:r>
            <w:proofErr w:type="gramEnd"/>
            <w:r>
              <w:t xml:space="preserve"> researcher commits in the registered plan.</w:t>
            </w:r>
          </w:p>
        </w:tc>
      </w:tr>
      <w:tr w:rsidR="00170D13" w14:paraId="6E1B2234" w14:textId="77777777">
        <w:tc>
          <w:tcPr>
            <w:tcW w:w="3135" w:type="dxa"/>
          </w:tcPr>
          <w:p w14:paraId="6B79CAB6" w14:textId="77777777" w:rsidR="00170D13" w:rsidRDefault="00000000">
            <w:pPr>
              <w:pStyle w:val="TableText"/>
              <w:spacing w:before="0"/>
            </w:pPr>
            <w:r>
              <w:t>Inclusion / exclusion criteria for systematic review or meta-analysis</w:t>
            </w:r>
          </w:p>
        </w:tc>
        <w:tc>
          <w:tcPr>
            <w:tcW w:w="3135" w:type="dxa"/>
          </w:tcPr>
          <w:p w14:paraId="3A629CB5" w14:textId="77777777" w:rsidR="00170D13" w:rsidRDefault="00000000">
            <w:pPr>
              <w:pStyle w:val="TableText"/>
              <w:spacing w:before="0"/>
            </w:pPr>
            <w:r>
              <w:t>Judgement</w:t>
            </w:r>
          </w:p>
        </w:tc>
        <w:tc>
          <w:tcPr>
            <w:tcW w:w="3136" w:type="dxa"/>
          </w:tcPr>
          <w:p w14:paraId="74229781" w14:textId="77777777" w:rsidR="00170D13" w:rsidRDefault="00000000">
            <w:pPr>
              <w:pStyle w:val="TableText"/>
              <w:spacing w:before="0"/>
            </w:pPr>
            <w:r>
              <w:t xml:space="preserve">The criteria are the methods; AI-augmented screening is a </w:t>
            </w:r>
            <w:proofErr w:type="spellStart"/>
            <w:r>
              <w:t>labour</w:t>
            </w:r>
            <w:proofErr w:type="spellEnd"/>
            <w:r>
              <w:t xml:space="preserve"> subset.</w:t>
            </w:r>
          </w:p>
        </w:tc>
      </w:tr>
      <w:tr w:rsidR="00170D13" w14:paraId="3B882A34" w14:textId="77777777">
        <w:tc>
          <w:tcPr>
            <w:tcW w:w="3135" w:type="dxa"/>
          </w:tcPr>
          <w:p w14:paraId="21FC05C6" w14:textId="77777777" w:rsidR="00170D13" w:rsidRDefault="00000000">
            <w:pPr>
              <w:pStyle w:val="TableText"/>
              <w:spacing w:before="0"/>
            </w:pPr>
            <w:r>
              <w:t>Active-learning screening of titles and abstracts (</w:t>
            </w:r>
            <w:proofErr w:type="spellStart"/>
            <w:r>
              <w:t>ASReview</w:t>
            </w:r>
            <w:proofErr w:type="spellEnd"/>
            <w:r>
              <w:t>-class)</w:t>
            </w:r>
          </w:p>
        </w:tc>
        <w:tc>
          <w:tcPr>
            <w:tcW w:w="3135" w:type="dxa"/>
          </w:tcPr>
          <w:p w14:paraId="5C765186" w14:textId="77777777" w:rsidR="00170D13" w:rsidRDefault="00000000">
            <w:pPr>
              <w:pStyle w:val="TableText"/>
              <w:spacing w:before="0"/>
            </w:pPr>
            <w:proofErr w:type="spellStart"/>
            <w:r>
              <w:t>Labour</w:t>
            </w:r>
            <w:proofErr w:type="spellEnd"/>
          </w:p>
        </w:tc>
        <w:tc>
          <w:tcPr>
            <w:tcW w:w="3136" w:type="dxa"/>
          </w:tcPr>
          <w:p w14:paraId="42225E4B" w14:textId="77777777" w:rsidR="00170D13" w:rsidRDefault="00000000">
            <w:pPr>
              <w:pStyle w:val="TableText"/>
              <w:spacing w:before="0"/>
            </w:pPr>
            <w:r>
              <w:t>Open-source-and-local responsible-by-construction exemplar; researcher reviews borderline decisions.</w:t>
            </w:r>
          </w:p>
        </w:tc>
      </w:tr>
      <w:tr w:rsidR="00170D13" w14:paraId="4290E68B" w14:textId="77777777">
        <w:tc>
          <w:tcPr>
            <w:tcW w:w="3135" w:type="dxa"/>
          </w:tcPr>
          <w:p w14:paraId="71C7E740" w14:textId="77777777" w:rsidR="00170D13" w:rsidRDefault="00000000">
            <w:pPr>
              <w:pStyle w:val="TableText"/>
              <w:spacing w:before="0"/>
            </w:pPr>
            <w:r>
              <w:t>Transcription of interviews and focus groups (with audio retained for human verification)</w:t>
            </w:r>
          </w:p>
        </w:tc>
        <w:tc>
          <w:tcPr>
            <w:tcW w:w="3135" w:type="dxa"/>
          </w:tcPr>
          <w:p w14:paraId="1CFF84B4" w14:textId="77777777" w:rsidR="00170D13" w:rsidRDefault="00000000">
            <w:pPr>
              <w:pStyle w:val="TableText"/>
              <w:spacing w:before="0"/>
            </w:pPr>
            <w:proofErr w:type="spellStart"/>
            <w:r>
              <w:t>Labour</w:t>
            </w:r>
            <w:proofErr w:type="spellEnd"/>
          </w:p>
        </w:tc>
        <w:tc>
          <w:tcPr>
            <w:tcW w:w="3136" w:type="dxa"/>
          </w:tcPr>
          <w:p w14:paraId="1192AA03" w14:textId="77777777" w:rsidR="00170D13" w:rsidRDefault="00000000">
            <w:pPr>
              <w:pStyle w:val="TableText"/>
              <w:spacing w:before="0"/>
            </w:pPr>
            <w:r>
              <w:t>Local Whisper class; researcher verifies transcript against audio per the Koenecke et al. 1 per cent invented-content evidence.</w:t>
            </w:r>
          </w:p>
        </w:tc>
      </w:tr>
      <w:tr w:rsidR="00170D13" w14:paraId="05DDCD1E" w14:textId="77777777">
        <w:tc>
          <w:tcPr>
            <w:tcW w:w="3135" w:type="dxa"/>
          </w:tcPr>
          <w:p w14:paraId="4BE937D7" w14:textId="77777777" w:rsidR="00170D13" w:rsidRDefault="00000000">
            <w:pPr>
              <w:pStyle w:val="TableText"/>
              <w:spacing w:before="0"/>
            </w:pPr>
            <w:r>
              <w:t xml:space="preserve">Image / figure generation for illustrative or schematic purposes </w:t>
            </w:r>
            <w:r>
              <w:lastRenderedPageBreak/>
              <w:t>(talks, slides, teaching materials, cover art)</w:t>
            </w:r>
          </w:p>
        </w:tc>
        <w:tc>
          <w:tcPr>
            <w:tcW w:w="3135" w:type="dxa"/>
          </w:tcPr>
          <w:p w14:paraId="4D1008AC" w14:textId="77777777" w:rsidR="00170D13" w:rsidRDefault="00000000">
            <w:pPr>
              <w:pStyle w:val="TableText"/>
              <w:spacing w:before="0"/>
            </w:pPr>
            <w:proofErr w:type="spellStart"/>
            <w:r>
              <w:lastRenderedPageBreak/>
              <w:t>Labour</w:t>
            </w:r>
            <w:proofErr w:type="spellEnd"/>
          </w:p>
        </w:tc>
        <w:tc>
          <w:tcPr>
            <w:tcW w:w="3136" w:type="dxa"/>
          </w:tcPr>
          <w:p w14:paraId="7B2998F4" w14:textId="77777777" w:rsidR="00170D13" w:rsidRDefault="00000000">
            <w:pPr>
              <w:pStyle w:val="TableText"/>
              <w:spacing w:before="0"/>
            </w:pPr>
            <w:r>
              <w:t>Disclosure per publisher policy; not for data figures.</w:t>
            </w:r>
          </w:p>
        </w:tc>
      </w:tr>
      <w:tr w:rsidR="00170D13" w14:paraId="67042312" w14:textId="77777777">
        <w:tc>
          <w:tcPr>
            <w:tcW w:w="3135" w:type="dxa"/>
          </w:tcPr>
          <w:p w14:paraId="2912B0C5" w14:textId="77777777" w:rsidR="00170D13" w:rsidRDefault="00000000">
            <w:pPr>
              <w:pStyle w:val="TableText"/>
              <w:spacing w:before="0"/>
            </w:pPr>
            <w:r>
              <w:t>Image / figure generation for data presentation (graphs, microscopy, gel images, structural diagrams)</w:t>
            </w:r>
          </w:p>
        </w:tc>
        <w:tc>
          <w:tcPr>
            <w:tcW w:w="3135" w:type="dxa"/>
          </w:tcPr>
          <w:p w14:paraId="4D144A3C" w14:textId="77777777" w:rsidR="00170D13" w:rsidRDefault="00000000">
            <w:pPr>
              <w:pStyle w:val="TableText"/>
              <w:spacing w:before="0"/>
            </w:pPr>
            <w:r>
              <w:t>Judgement (prohibited)</w:t>
            </w:r>
          </w:p>
        </w:tc>
        <w:tc>
          <w:tcPr>
            <w:tcW w:w="3136" w:type="dxa"/>
          </w:tcPr>
          <w:p w14:paraId="1E70C361" w14:textId="77777777" w:rsidR="00170D13" w:rsidRDefault="00000000">
            <w:pPr>
              <w:pStyle w:val="TableText"/>
              <w:spacing w:before="0"/>
            </w:pPr>
            <w:r>
              <w:t>Publisher convergence is against any data-figure use; the demarcation crosses into prohibition.</w:t>
            </w:r>
          </w:p>
        </w:tc>
      </w:tr>
      <w:tr w:rsidR="00170D13" w14:paraId="27C37EBF" w14:textId="77777777">
        <w:tc>
          <w:tcPr>
            <w:tcW w:w="3135" w:type="dxa"/>
          </w:tcPr>
          <w:p w14:paraId="24C26AA4" w14:textId="77777777" w:rsidR="00170D13" w:rsidRDefault="00000000">
            <w:pPr>
              <w:pStyle w:val="TableText"/>
              <w:spacing w:before="0"/>
            </w:pPr>
            <w:r>
              <w:t>Adversarial review of one’s own argument (red-team, devil’s-advocate, pre-mortem)</w:t>
            </w:r>
          </w:p>
        </w:tc>
        <w:tc>
          <w:tcPr>
            <w:tcW w:w="3135" w:type="dxa"/>
          </w:tcPr>
          <w:p w14:paraId="5181EE25" w14:textId="77777777" w:rsidR="00170D13" w:rsidRDefault="00000000">
            <w:pPr>
              <w:pStyle w:val="TableText"/>
              <w:spacing w:before="0"/>
            </w:pPr>
            <w:r>
              <w:t>Judgement (with AI augmentation)</w:t>
            </w:r>
          </w:p>
        </w:tc>
        <w:tc>
          <w:tcPr>
            <w:tcW w:w="3136" w:type="dxa"/>
          </w:tcPr>
          <w:p w14:paraId="0099CFBF" w14:textId="77777777" w:rsidR="00170D13" w:rsidRDefault="00000000">
            <w:pPr>
              <w:pStyle w:val="TableText"/>
              <w:spacing w:before="0"/>
            </w:pPr>
            <w:r>
              <w:t>The model-heterogeneity discipline and human-as-verifier discipline from Dimension 4 apply; AI scaffolds without substituting.</w:t>
            </w:r>
          </w:p>
        </w:tc>
      </w:tr>
      <w:tr w:rsidR="00170D13" w14:paraId="4D791549" w14:textId="77777777">
        <w:tc>
          <w:tcPr>
            <w:tcW w:w="3135" w:type="dxa"/>
          </w:tcPr>
          <w:p w14:paraId="11E22D3F" w14:textId="77777777" w:rsidR="00170D13" w:rsidRDefault="00000000">
            <w:pPr>
              <w:pStyle w:val="TableText"/>
              <w:spacing w:before="0"/>
            </w:pPr>
            <w:r>
              <w:t>Examiner judgement at viva voce</w:t>
            </w:r>
          </w:p>
        </w:tc>
        <w:tc>
          <w:tcPr>
            <w:tcW w:w="3135" w:type="dxa"/>
          </w:tcPr>
          <w:p w14:paraId="2CEE9049" w14:textId="77777777" w:rsidR="00170D13" w:rsidRDefault="00000000">
            <w:pPr>
              <w:pStyle w:val="TableText"/>
              <w:spacing w:before="0"/>
            </w:pPr>
            <w:r>
              <w:t>Judgement (humans only)</w:t>
            </w:r>
          </w:p>
        </w:tc>
        <w:tc>
          <w:tcPr>
            <w:tcW w:w="3136" w:type="dxa"/>
          </w:tcPr>
          <w:p w14:paraId="5721F9CD" w14:textId="77777777" w:rsidR="00170D13" w:rsidRDefault="00000000">
            <w:pPr>
              <w:pStyle w:val="TableText"/>
              <w:spacing w:before="0"/>
            </w:pPr>
            <w:r>
              <w:t>The examination is the verification mechanism for the entire research-training pipeline; AI may not participate as an examiner.</w:t>
            </w:r>
          </w:p>
        </w:tc>
      </w:tr>
      <w:tr w:rsidR="00170D13" w14:paraId="39E7856E" w14:textId="77777777">
        <w:tc>
          <w:tcPr>
            <w:tcW w:w="3135" w:type="dxa"/>
          </w:tcPr>
          <w:p w14:paraId="393271A7" w14:textId="77777777" w:rsidR="00170D13" w:rsidRDefault="00000000">
            <w:pPr>
              <w:pStyle w:val="TableText"/>
              <w:spacing w:before="0"/>
            </w:pPr>
            <w:r>
              <w:t>Supervisor approval of an analysis chapter</w:t>
            </w:r>
          </w:p>
        </w:tc>
        <w:tc>
          <w:tcPr>
            <w:tcW w:w="3135" w:type="dxa"/>
          </w:tcPr>
          <w:p w14:paraId="5F3EEF3B" w14:textId="77777777" w:rsidR="00170D13" w:rsidRDefault="00000000">
            <w:pPr>
              <w:pStyle w:val="TableText"/>
              <w:spacing w:before="0"/>
            </w:pPr>
            <w:r>
              <w:t>Judgement (humans only)</w:t>
            </w:r>
          </w:p>
        </w:tc>
        <w:tc>
          <w:tcPr>
            <w:tcW w:w="3136" w:type="dxa"/>
          </w:tcPr>
          <w:p w14:paraId="0C6C82ED" w14:textId="77777777" w:rsidR="00170D13" w:rsidRDefault="00000000">
            <w:pPr>
              <w:pStyle w:val="TableText"/>
              <w:spacing w:before="0"/>
            </w:pPr>
            <w:r>
              <w:t>The approval is the institutional verification; AI may flag issues, not substitute for the approval.</w:t>
            </w:r>
          </w:p>
        </w:tc>
      </w:tr>
      <w:tr w:rsidR="00170D13" w14:paraId="25593480" w14:textId="77777777">
        <w:tc>
          <w:tcPr>
            <w:tcW w:w="3135" w:type="dxa"/>
          </w:tcPr>
          <w:p w14:paraId="01F6A3CF" w14:textId="77777777" w:rsidR="00170D13" w:rsidRDefault="00000000">
            <w:pPr>
              <w:pStyle w:val="TableText"/>
              <w:spacing w:before="0"/>
            </w:pPr>
            <w:r>
              <w:t>Co-authorship determination</w:t>
            </w:r>
          </w:p>
        </w:tc>
        <w:tc>
          <w:tcPr>
            <w:tcW w:w="3135" w:type="dxa"/>
          </w:tcPr>
          <w:p w14:paraId="6DF6DD51" w14:textId="77777777" w:rsidR="00170D13" w:rsidRDefault="00000000">
            <w:pPr>
              <w:pStyle w:val="TableText"/>
              <w:spacing w:before="0"/>
            </w:pPr>
            <w:r>
              <w:t>Judgement (humans only)</w:t>
            </w:r>
          </w:p>
        </w:tc>
        <w:tc>
          <w:tcPr>
            <w:tcW w:w="3136" w:type="dxa"/>
          </w:tcPr>
          <w:p w14:paraId="32955135" w14:textId="77777777" w:rsidR="00170D13" w:rsidRDefault="00000000">
            <w:pPr>
              <w:pStyle w:val="TableText"/>
              <w:spacing w:before="0"/>
            </w:pPr>
            <w:r>
              <w:t>The publisher convergence (§3.3) excludes AI from author roles.</w:t>
            </w:r>
          </w:p>
        </w:tc>
      </w:tr>
      <w:tr w:rsidR="00170D13" w14:paraId="14946095" w14:textId="77777777">
        <w:tc>
          <w:tcPr>
            <w:tcW w:w="3135" w:type="dxa"/>
          </w:tcPr>
          <w:p w14:paraId="6A3FC899" w14:textId="77777777" w:rsidR="00170D13" w:rsidRDefault="00000000">
            <w:pPr>
              <w:pStyle w:val="TableText"/>
              <w:spacing w:before="0"/>
            </w:pPr>
            <w:r>
              <w:t>Peer-review decision on a submitted manuscript</w:t>
            </w:r>
          </w:p>
        </w:tc>
        <w:tc>
          <w:tcPr>
            <w:tcW w:w="3135" w:type="dxa"/>
          </w:tcPr>
          <w:p w14:paraId="2BFF74F8" w14:textId="77777777" w:rsidR="00170D13" w:rsidRDefault="00000000">
            <w:pPr>
              <w:pStyle w:val="TableText"/>
              <w:spacing w:before="0"/>
            </w:pPr>
            <w:r>
              <w:t>Judgement (humans only)</w:t>
            </w:r>
          </w:p>
        </w:tc>
        <w:tc>
          <w:tcPr>
            <w:tcW w:w="3136" w:type="dxa"/>
          </w:tcPr>
          <w:p w14:paraId="02370A57" w14:textId="77777777" w:rsidR="00170D13" w:rsidRDefault="00000000">
            <w:pPr>
              <w:pStyle w:val="TableText"/>
              <w:spacing w:before="0"/>
            </w:pPr>
            <w:r>
              <w:t>Per the reviewer-side publisher convergence and the Dimension 4 sycophancy-detection competency, AI may scaffold reading but not substitute for the decision.</w:t>
            </w:r>
          </w:p>
        </w:tc>
      </w:tr>
    </w:tbl>
    <w:p w14:paraId="1B49F7B8" w14:textId="77777777" w:rsidR="00170D13" w:rsidRDefault="00000000">
      <w:pPr>
        <w:pStyle w:val="BodyText"/>
      </w:pPr>
      <w:r>
        <w:t xml:space="preserve">The taxonomy is illustrative, not exhaustive. Two operational notes for faculty deans, graduate-school deans, and higher-degrees committees building their own institutional version: first, the </w:t>
      </w:r>
      <w:proofErr w:type="spellStart"/>
      <w:r>
        <w:rPr>
          <w:i/>
          <w:iCs/>
        </w:rPr>
        <w:t>labour</w:t>
      </w:r>
      <w:proofErr w:type="spellEnd"/>
      <w:r>
        <w:t xml:space="preserve"> class is not a permission slip; AI use in </w:t>
      </w:r>
      <w:proofErr w:type="spellStart"/>
      <w:r>
        <w:t>labour</w:t>
      </w:r>
      <w:proofErr w:type="spellEnd"/>
      <w:r>
        <w:t xml:space="preserve"> tasks still requires the institutional disclosure standard from Dimension 2. Second, the </w:t>
      </w:r>
      <w:r>
        <w:rPr>
          <w:i/>
          <w:iCs/>
        </w:rPr>
        <w:t>judgement</w:t>
      </w:r>
      <w: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14:paraId="7FB1122D" w14:textId="77777777" w:rsidR="00170D13" w:rsidRDefault="00000000">
      <w:pPr>
        <w:pStyle w:val="BodyText"/>
      </w:pPr>
      <w:r>
        <w:t>The catalogue is intentionally short and discipline-blind so that faculties adapt rather than copy. A computational-biology faculty extending the taxonomy will add entries for protein-structure-prediction-with-</w:t>
      </w:r>
      <w:proofErr w:type="spellStart"/>
      <w:r>
        <w:t>pLDDT</w:t>
      </w:r>
      <w:proofErr w:type="spellEnd"/>
      <w:r>
        <w:t>-thresholds, molecular-dynamics-simulation-</w:t>
      </w:r>
      <w:r>
        <w:lastRenderedPageBreak/>
        <w:t>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49"/>
    </w:p>
    <w:p w14:paraId="47133B5D" w14:textId="77777777" w:rsidR="00170D13" w:rsidRDefault="00000000">
      <w:pPr>
        <w:pStyle w:val="Heading2"/>
      </w:pPr>
      <w:bookmarkStart w:id="50" w:name="sources-and-footnotes"/>
      <w:r>
        <w:t>Sources and footnotes</w:t>
      </w:r>
      <w:bookmarkEnd w:id="3"/>
      <w:bookmarkEnd w:id="50"/>
    </w:p>
    <w:sectPr w:rsidR="00170D13">
      <w:headerReference w:type="even" r:id="rId19"/>
      <w:headerReference w:type="default" r:id="rId20"/>
      <w:footerReference w:type="even" r:id="rId21"/>
      <w:footerReference w:type="default" r:id="rId22"/>
      <w:headerReference w:type="first" r:id="rId23"/>
      <w:footerReference w:type="first" r:id="rId24"/>
      <w:pgSz w:w="12240" w:h="15840"/>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1C40A4" w14:textId="77777777" w:rsidR="00AA0999" w:rsidRDefault="00AA0999">
      <w:pPr>
        <w:spacing w:after="0" w:line="240" w:lineRule="auto"/>
      </w:pPr>
      <w:r>
        <w:separator/>
      </w:r>
    </w:p>
  </w:endnote>
  <w:endnote w:type="continuationSeparator" w:id="0">
    <w:p w14:paraId="758EBEDD" w14:textId="77777777" w:rsidR="00AA0999" w:rsidRDefault="00AA09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erif 4">
    <w:panose1 w:val="02040603050405020204"/>
    <w:charset w:val="00"/>
    <w:family w:val="roman"/>
    <w:pitch w:val="variable"/>
    <w:sig w:usb0="20000287" w:usb1="02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Inter">
    <w:panose1 w:val="02000503000000020004"/>
    <w:charset w:val="00"/>
    <w:family w:val="auto"/>
    <w:notTrueType/>
    <w:pitch w:val="variable"/>
    <w:sig w:usb0="E0000AFF" w:usb1="5200A1FF" w:usb2="00000021" w:usb3="00000000" w:csb0="0000019F" w:csb1="00000000"/>
  </w:font>
  <w:font w:name="Menlo">
    <w:panose1 w:val="020B0609030804020204"/>
    <w:charset w:val="00"/>
    <w:family w:val="modern"/>
    <w:pitch w:val="fixed"/>
    <w:sig w:usb0="E60022FF" w:usb1="D200F9FB" w:usb2="02000028" w:usb3="00000000" w:csb0="000001D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Montserrat">
    <w:panose1 w:val="020B0604020202020204"/>
    <w:charset w:val="4D"/>
    <w:family w:val="auto"/>
    <w:pitch w:val="variable"/>
    <w:sig w:usb0="A00002FF" w:usb1="400020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673843" w14:textId="77777777" w:rsidR="00170D13" w:rsidRDefault="00170D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9354EF" w14:textId="77777777" w:rsidR="00170D13" w:rsidRDefault="00000000">
    <w:pPr>
      <w:pStyle w:val="Footer"/>
      <w:jc w:val="center"/>
    </w:pPr>
    <w:r>
      <w:fldChar w:fldCharType="begin"/>
    </w:r>
    <w:r>
      <w:instrText xml:space="preserve"> PAGE </w:instrText>
    </w:r>
    <w:r>
      <w:fldChar w:fldCharType="separate"/>
    </w:r>
    <w:r>
      <w:t>97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09A3B" w14:textId="77777777" w:rsidR="00170D13" w:rsidRDefault="00170D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599757" w14:textId="77777777" w:rsidR="00AA0999" w:rsidRDefault="00AA0999">
      <w:r>
        <w:separator/>
      </w:r>
    </w:p>
  </w:footnote>
  <w:footnote w:type="continuationSeparator" w:id="0">
    <w:p w14:paraId="2F853082" w14:textId="77777777" w:rsidR="00AA0999" w:rsidRDefault="00AA0999">
      <w:r>
        <w:continuationSeparator/>
      </w:r>
    </w:p>
  </w:footnote>
  <w:footnote w:id="1">
    <w:p w14:paraId="757BD344" w14:textId="77777777" w:rsidR="00170D13" w:rsidRDefault="00000000">
      <w:pPr>
        <w:pStyle w:val="FootnoteText1"/>
      </w:pPr>
      <w:r>
        <w:rPr>
          <w:rStyle w:val="FootnoteCharacters"/>
        </w:rPr>
        <w:footnoteRef/>
      </w:r>
      <w:r>
        <w:t xml:space="preserve"> </w:t>
      </w:r>
      <w:r>
        <w:rPr>
          <w:i/>
          <w:iCs/>
        </w:rPr>
        <w:t>Sources</w:t>
      </w:r>
      <w: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p>
  </w:footnote>
  <w:footnote w:id="2">
    <w:p w14:paraId="2A64C134" w14:textId="77777777" w:rsidR="00170D13" w:rsidRDefault="00000000">
      <w:pPr>
        <w:pStyle w:val="FootnoteText1"/>
      </w:pPr>
      <w:r>
        <w:rPr>
          <w:rStyle w:val="FootnoteCharacters"/>
        </w:rPr>
        <w:footnoteRef/>
      </w:r>
      <w:r>
        <w:t xml:space="preserve"> Hill, M., quoted in Cambridge University Press’s “Cambridge launches AI research ethics policy” press release, March 2023. URL: https://www.cambridge.org/news-and-insights/cambridge-launches-ai-research-ethics-policy · snapshotted 2026-05-18.</w:t>
      </w:r>
    </w:p>
  </w:footnote>
  <w:footnote w:id="3">
    <w:p w14:paraId="7654B823" w14:textId="77777777" w:rsidR="00170D13" w:rsidRDefault="00000000">
      <w:pPr>
        <w:pStyle w:val="FootnoteText1"/>
      </w:pPr>
      <w:r>
        <w:rPr>
          <w:rStyle w:val="FootnoteCharacters"/>
        </w:rPr>
        <w:footnoteRef/>
      </w:r>
      <w:r>
        <w:t xml:space="preserve"> </w:t>
      </w:r>
      <w:proofErr w:type="spellStart"/>
      <w:r>
        <w:t>Synthesised</w:t>
      </w:r>
      <w:proofErr w:type="spellEnd"/>
      <w:r>
        <w:t xml:space="preserve"> across the eighteen-entry publisher-policy dossier (</w:t>
      </w:r>
      <w:r>
        <w:rPr>
          <w:rStyle w:val="VerbatimChar"/>
        </w:rPr>
        <w:t>research/dossier_04_publisher_policies.md</w:t>
      </w:r>
      <w:r>
        <w:t>).</w:t>
      </w:r>
    </w:p>
  </w:footnote>
  <w:footnote w:id="4">
    <w:p w14:paraId="2B290529" w14:textId="77777777" w:rsidR="00170D13" w:rsidRDefault="00000000">
      <w:pPr>
        <w:pStyle w:val="FootnoteText1"/>
      </w:pPr>
      <w:r>
        <w:rPr>
          <w:rStyle w:val="FootnoteCharacters"/>
        </w:rPr>
        <w:footnoteRef/>
      </w:r>
      <w:r>
        <w:t xml:space="preserve"> </w:t>
      </w:r>
      <w:proofErr w:type="spellStart"/>
      <w:r>
        <w:t>Synthesised</w:t>
      </w:r>
      <w:proofErr w:type="spellEnd"/>
      <w:r>
        <w:t xml:space="preserve"> across the fourteen-entry national-funder dossier; see </w:t>
      </w:r>
      <w:r>
        <w:rPr>
          <w:rStyle w:val="VerbatimChar"/>
        </w:rPr>
        <w:t>research/dossier_01_national_funders.md</w:t>
      </w:r>
      <w:r>
        <w:t>.</w:t>
      </w:r>
    </w:p>
  </w:footnote>
  <w:footnote w:id="5">
    <w:p w14:paraId="5FB7C5B1" w14:textId="77777777" w:rsidR="00170D13" w:rsidRDefault="00000000">
      <w:pPr>
        <w:pStyle w:val="FootnoteText1"/>
      </w:pPr>
      <w:r>
        <w:rPr>
          <w:rStyle w:val="FootnoteCharacters"/>
        </w:rPr>
        <w:footnoteRef/>
      </w:r>
      <w:r>
        <w:t xml:space="preserve"> </w:t>
      </w:r>
      <w:proofErr w:type="spellStart"/>
      <w:r>
        <w:t>arXiv</w:t>
      </w:r>
      <w:proofErr w:type="spellEnd"/>
      <w:r>
        <w:t xml:space="preserve"> internal moderation findings reported in 2025; methodology and threshold detailed in the publisher-policy dossier (</w:t>
      </w:r>
      <w:r>
        <w:rPr>
          <w:rStyle w:val="VerbatimChar"/>
        </w:rPr>
        <w:t>research/dossier_04_publisher_policies.md</w:t>
      </w:r>
      <w:r>
        <w:t>).</w:t>
      </w:r>
    </w:p>
  </w:footnote>
  <w:footnote w:id="6">
    <w:p w14:paraId="2828024D" w14:textId="77777777" w:rsidR="00170D13" w:rsidRDefault="00000000">
      <w:pPr>
        <w:pStyle w:val="FootnoteText1"/>
      </w:pPr>
      <w:r>
        <w:rPr>
          <w:rStyle w:val="FootnoteCharacters"/>
        </w:rPr>
        <w:footnoteRef/>
      </w:r>
      <w:r>
        <w:t xml:space="preserve"> BMJ Author Hub, “AI policy and submission form disclosure,” April 2024; 2025 Peer Review Congress disclosure-rate report. URL: https://authors.bmj.com/policies/bmj-policy-on-artificial-intelligence/ · snapshotted 2026-05-18.</w:t>
      </w:r>
    </w:p>
  </w:footnote>
  <w:footnote w:id="7">
    <w:p w14:paraId="21ED0623" w14:textId="77777777" w:rsidR="00170D13" w:rsidRDefault="00000000">
      <w:pPr>
        <w:pStyle w:val="FootnoteText1"/>
      </w:pPr>
      <w:r>
        <w:rPr>
          <w:rStyle w:val="FootnoteCharacters"/>
        </w:rPr>
        <w:footnoteRef/>
      </w:r>
      <w:r>
        <w:t xml:space="preserve"> Deutsche </w:t>
      </w:r>
      <w:proofErr w:type="spellStart"/>
      <w:r>
        <w:t>Forschungsgemeinschaft</w:t>
      </w:r>
      <w:proofErr w:type="spellEnd"/>
      <w:r>
        <w:t>, Executive Committee statement on the use of generative models in research, 21 September 2023. URL: https://www.dfg.de/en/service/press/press-releases/2023/press-release-no-39 · snapshotted 2026-05-18.</w:t>
      </w:r>
    </w:p>
  </w:footnote>
  <w:footnote w:id="8">
    <w:p w14:paraId="1D112F1B" w14:textId="77777777" w:rsidR="00170D13" w:rsidRDefault="00000000">
      <w:pPr>
        <w:pStyle w:val="FootnoteText1"/>
      </w:pPr>
      <w:r>
        <w:rPr>
          <w:rStyle w:val="FootnoteCharacters"/>
        </w:rPr>
        <w:footnoteRef/>
      </w:r>
      <w:r>
        <w:t xml:space="preserve"> 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14:paraId="3748CFBD" w14:textId="77777777" w:rsidR="00170D13" w:rsidRDefault="00000000">
      <w:pPr>
        <w:pStyle w:val="FootnoteText1"/>
      </w:pPr>
      <w:r>
        <w:rPr>
          <w:rStyle w:val="FootnoteCharacters"/>
        </w:rPr>
        <w:footnoteRef/>
      </w:r>
      <w:r>
        <w:t xml:space="preserve"> 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14:paraId="7F565096" w14:textId="77777777" w:rsidR="00170D13" w:rsidRDefault="00000000">
      <w:pPr>
        <w:pStyle w:val="FootnoteText1"/>
      </w:pPr>
      <w:r>
        <w:rPr>
          <w:rStyle w:val="FootnoteCharacters"/>
        </w:rPr>
        <w:footnoteRef/>
      </w:r>
      <w:r>
        <w:t xml:space="preserve"> Cell Press, </w:t>
      </w:r>
      <w:r>
        <w:rPr>
          <w:i/>
          <w:iCs/>
        </w:rPr>
        <w:t>Newton</w:t>
      </w:r>
      <w:r>
        <w:t xml:space="preserve"> journal Information for Authors (April 2024 issue), </w:t>
      </w:r>
      <w:proofErr w:type="spellStart"/>
      <w:r>
        <w:t>summarising</w:t>
      </w:r>
      <w:proofErr w:type="spellEnd"/>
      <w:r>
        <w:t xml:space="preserve"> the Cell Press-wide AI disclosure rule.</w:t>
      </w:r>
    </w:p>
  </w:footnote>
  <w:footnote w:id="11">
    <w:p w14:paraId="2D5E7CE9" w14:textId="77777777" w:rsidR="00170D13" w:rsidRDefault="00000000">
      <w:pPr>
        <w:pStyle w:val="FootnoteText1"/>
      </w:pPr>
      <w:r>
        <w:rPr>
          <w:rStyle w:val="FootnoteCharacters"/>
        </w:rPr>
        <w:footnoteRef/>
      </w:r>
      <w:r>
        <w:t xml:space="preserve"> JAMA Network policy on the use of AI in scholarly publication, formal Guidance issued 27 July 2023. URL: https://jamanetwork.com/journals/jama/fullarticle/2807956 · snapshotted 2026-05-18.</w:t>
      </w:r>
    </w:p>
  </w:footnote>
  <w:footnote w:id="12">
    <w:p w14:paraId="1CEAB836" w14:textId="77777777" w:rsidR="00170D13" w:rsidRDefault="00000000">
      <w:pPr>
        <w:pStyle w:val="FootnoteText1"/>
      </w:pPr>
      <w:r>
        <w:rPr>
          <w:rStyle w:val="FootnoteCharacters"/>
        </w:rPr>
        <w:footnoteRef/>
      </w:r>
      <w:r>
        <w:t xml:space="preserve"> Public Library of Science, “The promise and perils of AI use in peer review,” The PLOS Blog, September 2025. URL: https://theplosblog.plos.org/2025/09/the-promise-and-perils-of-ai-use-in-peer-review/ · snapshotted 2026-05-18.</w:t>
      </w:r>
    </w:p>
  </w:footnote>
  <w:footnote w:id="13">
    <w:p w14:paraId="73A9A09E" w14:textId="77777777" w:rsidR="00170D13" w:rsidRDefault="00000000">
      <w:pPr>
        <w:pStyle w:val="FootnoteText1"/>
      </w:pPr>
      <w:r>
        <w:rPr>
          <w:rStyle w:val="FootnoteCharacters"/>
        </w:rPr>
        <w:footnoteRef/>
      </w:r>
      <w:r>
        <w:t xml:space="preserve"> UNESCO, AI Competency Framework for Students, issued 8 August 2024, revised 16 January 2026. URL: https://www.unesco.org/en/articles/ai-competency-framework-students · snapshotted 2026-05-18.</w:t>
      </w:r>
    </w:p>
  </w:footnote>
  <w:footnote w:id="14">
    <w:p w14:paraId="4D83C5A8" w14:textId="77777777" w:rsidR="00170D13" w:rsidRDefault="00000000">
      <w:pPr>
        <w:pStyle w:val="FootnoteText1"/>
      </w:pPr>
      <w:r>
        <w:rPr>
          <w:rStyle w:val="FootnoteCharacters"/>
        </w:rPr>
        <w:footnoteRef/>
      </w:r>
      <w:r>
        <w:t xml:space="preserve"> Council of Graduate Schools and </w:t>
      </w:r>
      <w:proofErr w:type="spellStart"/>
      <w:r>
        <w:t>Institut</w:t>
      </w:r>
      <w:proofErr w:type="spellEnd"/>
      <w:r>
        <w:t xml:space="preserve"> national de la recherche </w:t>
      </w:r>
      <w:proofErr w:type="spellStart"/>
      <w:r>
        <w:t>scientifique</w:t>
      </w:r>
      <w:proofErr w:type="spellEnd"/>
      <w:r>
        <w:t xml:space="preserve">, </w:t>
      </w:r>
      <w:r>
        <w:rPr>
          <w:i/>
          <w:iCs/>
        </w:rPr>
        <w:t>Global Action Agenda for Using AI to Improve Graduate Education and Workforce Preparation</w:t>
      </w:r>
      <w:r>
        <w:t>, 13 November 2025. URL: https://cgsnet.org/press-releases/new-action-agenda-for-using-ai-to-improve-graduate-education-and-workforce-preparation · snapshotted 2026-05-18.</w:t>
      </w:r>
    </w:p>
  </w:footnote>
  <w:footnote w:id="15">
    <w:p w14:paraId="5342AC66" w14:textId="77777777" w:rsidR="00170D13" w:rsidRDefault="00000000">
      <w:pPr>
        <w:pStyle w:val="FootnoteText1"/>
      </w:pPr>
      <w:r>
        <w:rPr>
          <w:rStyle w:val="FootnoteCharacters"/>
        </w:rPr>
        <w:footnoteRef/>
      </w:r>
      <w:r>
        <w:t xml:space="preserve"> Blau, W. </w:t>
      </w:r>
      <w:r>
        <w:rPr>
          <w:i/>
          <w:iCs/>
        </w:rPr>
        <w:t>et al.</w:t>
      </w:r>
      <w:r>
        <w:t xml:space="preserve">, “Protecting scientific integrity in an age of generative AI,” </w:t>
      </w:r>
      <w:r>
        <w:rPr>
          <w:i/>
          <w:iCs/>
        </w:rPr>
        <w:t>PNAS</w:t>
      </w:r>
      <w:r>
        <w:t>, 21 May 2024. DOI: 10.1073/pnas.2407886121. URL: https://www.pnas.org/doi/10.1073/pnas.2407886121 · snapshotted 2026-05-18.</w:t>
      </w:r>
    </w:p>
  </w:footnote>
  <w:footnote w:id="16">
    <w:p w14:paraId="3FDCB440" w14:textId="77777777" w:rsidR="00170D13" w:rsidRDefault="00000000">
      <w:pPr>
        <w:pStyle w:val="FootnoteText1"/>
      </w:pPr>
      <w:r>
        <w:rPr>
          <w:rStyle w:val="FootnoteCharacters"/>
        </w:rPr>
        <w:footnoteRef/>
      </w:r>
      <w:r>
        <w:t xml:space="preserve"> Thirty-eight-university sample; class distribution A=4, B=11, C=17, D=6 (38 total), from the per-institution policy classifications in the institutional-policy dossier (</w:t>
      </w:r>
      <w:r>
        <w:rPr>
          <w:rStyle w:val="VerbatimChar"/>
        </w:rPr>
        <w:t>research/dossier_02_university_policies.md</w:t>
      </w:r>
      <w:r>
        <w:t>).</w:t>
      </w:r>
    </w:p>
  </w:footnote>
  <w:footnote w:id="17">
    <w:p w14:paraId="10FBC402" w14:textId="77777777" w:rsidR="00170D13" w:rsidRDefault="00000000">
      <w:pPr>
        <w:pStyle w:val="FootnoteText1"/>
      </w:pPr>
      <w:r>
        <w:rPr>
          <w:rStyle w:val="FootnoteCharacters"/>
        </w:rPr>
        <w:footnoteRef/>
      </w:r>
      <w:r>
        <w:t xml:space="preserve"> 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14:paraId="259B4284" w14:textId="77777777" w:rsidR="00170D13" w:rsidRDefault="00000000">
      <w:pPr>
        <w:pStyle w:val="FootnoteText1"/>
      </w:pPr>
      <w:r>
        <w:rPr>
          <w:rStyle w:val="FootnoteCharacters"/>
        </w:rPr>
        <w:footnoteRef/>
      </w:r>
      <w:r>
        <w:t xml:space="preserve"> As cited above: ARC / NHMRC, joint policy on the use of generative AI in grant applications and assessment, effective 28 April 2026. URLs…</w:t>
      </w:r>
    </w:p>
  </w:footnote>
  <w:footnote w:id="19">
    <w:p w14:paraId="505387DC" w14:textId="77777777" w:rsidR="00170D13" w:rsidRDefault="00000000">
      <w:pPr>
        <w:pStyle w:val="FootnoteText1"/>
      </w:pPr>
      <w:r>
        <w:rPr>
          <w:rStyle w:val="FootnoteCharacters"/>
        </w:rPr>
        <w:footnoteRef/>
      </w:r>
      <w:r>
        <w:t xml:space="preserve"> As cited above: </w:t>
      </w:r>
      <w:proofErr w:type="spellStart"/>
      <w:r>
        <w:t>Synthesised</w:t>
      </w:r>
      <w:proofErr w:type="spellEnd"/>
      <w:r>
        <w:t xml:space="preserve"> across the eighteen-entry publisher-policy dossier (research/dossier_04_publisher_policies.md).</w:t>
      </w:r>
    </w:p>
  </w:footnote>
  <w:footnote w:id="20">
    <w:p w14:paraId="2F8FEED2" w14:textId="77777777" w:rsidR="00170D13" w:rsidRDefault="00000000">
      <w:pPr>
        <w:pStyle w:val="FootnoteText1"/>
      </w:pPr>
      <w:r>
        <w:rPr>
          <w:rStyle w:val="FootnoteCharacters"/>
        </w:rPr>
        <w:footnoteRef/>
      </w:r>
      <w:r>
        <w:t xml:space="preserve"> As cited above: Blau, W. et al., “Protecting scientific integrity in an age of generative AI,” PNAS, 21 May 2024. DOI: 10.1073/pnas.2407886121. URL…</w:t>
      </w:r>
    </w:p>
  </w:footnote>
  <w:footnote w:id="21">
    <w:p w14:paraId="3FC9B758" w14:textId="77777777" w:rsidR="00170D13" w:rsidRDefault="00000000">
      <w:pPr>
        <w:pStyle w:val="FootnoteText1"/>
      </w:pPr>
      <w:r>
        <w:rPr>
          <w:rStyle w:val="FootnoteCharacters"/>
        </w:rPr>
        <w:footnoteRef/>
      </w:r>
      <w:r>
        <w:t xml:space="preserve"> As cited above: Thirty-eight-university sample; class distribution A=4, B=11, C=17, D=6 (38 total), from the per-institution policy classifications in the…</w:t>
      </w:r>
    </w:p>
  </w:footnote>
  <w:footnote w:id="22">
    <w:p w14:paraId="388B88A1" w14:textId="77777777" w:rsidR="00170D13" w:rsidRDefault="00000000">
      <w:pPr>
        <w:pStyle w:val="FootnoteText1"/>
      </w:pPr>
      <w:r>
        <w:rPr>
          <w:rStyle w:val="FootnoteCharacters"/>
        </w:rPr>
        <w:footnoteRef/>
      </w:r>
      <w:r>
        <w:t xml:space="preserve"> As cited above: </w:t>
      </w:r>
      <w:proofErr w:type="spellStart"/>
      <w:r>
        <w:t>Synthesised</w:t>
      </w:r>
      <w:proofErr w:type="spellEnd"/>
      <w:r>
        <w:t xml:space="preserve"> across the fourteen-entry national-funder dossier; see research/dossier_01_national_funders.md.</w:t>
      </w:r>
    </w:p>
  </w:footnote>
  <w:footnote w:id="23">
    <w:p w14:paraId="5C056446" w14:textId="77777777" w:rsidR="00170D13" w:rsidRDefault="00000000">
      <w:pPr>
        <w:pStyle w:val="FootnoteText1"/>
      </w:pPr>
      <w:r>
        <w:rPr>
          <w:rStyle w:val="FootnoteCharacters"/>
        </w:rPr>
        <w:footnoteRef/>
      </w:r>
      <w:r>
        <w:t xml:space="preserve"> As cited above: Synthesised across the eighteen-entry publisher-policy dossier (research/dossier_04_publisher_policies.md).</w:t>
      </w:r>
    </w:p>
  </w:footnote>
  <w:footnote w:id="24">
    <w:p w14:paraId="55E4BED3" w14:textId="77777777" w:rsidR="00170D13" w:rsidRDefault="00000000">
      <w:pPr>
        <w:pStyle w:val="FootnoteText1"/>
      </w:pPr>
      <w:r>
        <w:rPr>
          <w:rStyle w:val="FootnoteCharacters"/>
        </w:rPr>
        <w:footnoteRef/>
      </w:r>
      <w:r>
        <w:t xml:space="preserve"> As cited above: Thirty-eight-university sample; class distribution A=4, B=11, C=17, D=6 (38 total), from the per-institution policy classifications in the…</w:t>
      </w:r>
    </w:p>
  </w:footnote>
  <w:footnote w:id="25">
    <w:p w14:paraId="437985FC" w14:textId="77777777" w:rsidR="00170D13" w:rsidRDefault="00000000">
      <w:pPr>
        <w:pStyle w:val="FootnoteText1"/>
      </w:pPr>
      <w:r>
        <w:rPr>
          <w:rStyle w:val="FootnoteCharacters"/>
        </w:rPr>
        <w:footnoteRef/>
      </w:r>
      <w:r>
        <w:t xml:space="preserve"> 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t>.</w:t>
      </w:r>
    </w:p>
  </w:footnote>
  <w:footnote w:id="26">
    <w:p w14:paraId="2815EC84" w14:textId="77777777" w:rsidR="00170D13" w:rsidRDefault="00000000">
      <w:pPr>
        <w:pStyle w:val="FootnoteText1"/>
      </w:pPr>
      <w:r>
        <w:rPr>
          <w:rStyle w:val="FootnoteCharacters"/>
        </w:rPr>
        <w:footnoteRef/>
      </w:r>
      <w:r>
        <w:t xml:space="preserve"> As cited above: Elsevier publisher-wide policy on the use of generative AI and AI-assisted technologies in scientific writing. URL…</w:t>
      </w:r>
    </w:p>
  </w:footnote>
  <w:footnote w:id="27">
    <w:p w14:paraId="6C1F40DE" w14:textId="77777777" w:rsidR="00170D13" w:rsidRDefault="00000000">
      <w:pPr>
        <w:pStyle w:val="FootnoteText1"/>
      </w:pPr>
      <w:r>
        <w:rPr>
          <w:rStyle w:val="FootnoteCharacters"/>
        </w:rPr>
        <w:footnoteRef/>
      </w:r>
      <w:r>
        <w:t xml:space="preserve"> As cited above: JAMA Network policy on the use of AI in scholarly publication, formal Guidance issued 27 July 2023. URL…</w:t>
      </w:r>
    </w:p>
  </w:footnote>
  <w:footnote w:id="28">
    <w:p w14:paraId="06087857" w14:textId="77777777" w:rsidR="00170D13" w:rsidRDefault="00000000">
      <w:pPr>
        <w:pStyle w:val="FootnoteText1"/>
      </w:pPr>
      <w:r>
        <w:rPr>
          <w:rStyle w:val="FootnoteCharacters"/>
        </w:rPr>
        <w:footnoteRef/>
      </w:r>
      <w:r>
        <w:t xml:space="preserve"> As cited above: Public Library of Science, “The promise and perils of AI use in peer review,” The PLOS Blog, September 2025. URL…</w:t>
      </w:r>
    </w:p>
  </w:footnote>
  <w:footnote w:id="29">
    <w:p w14:paraId="0DFD6678" w14:textId="77777777" w:rsidR="00170D13" w:rsidRDefault="00000000">
      <w:pPr>
        <w:pStyle w:val="FootnoteText1"/>
      </w:pPr>
      <w:r>
        <w:rPr>
          <w:rStyle w:val="FootnoteCharacters"/>
        </w:rPr>
        <w:footnoteRef/>
      </w:r>
      <w:r>
        <w:t xml:space="preserve"> As cited above: Council of Graduate Schools and Institut national de la recherche scientifique, Global Action Agenda for Using AI to Improve Graduate Education and…</w:t>
      </w:r>
    </w:p>
  </w:footnote>
  <w:footnote w:id="30">
    <w:p w14:paraId="4D50BA4C"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31">
    <w:p w14:paraId="2D07D1FF"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32">
    <w:p w14:paraId="200FFC0E" w14:textId="77777777" w:rsidR="00170D13" w:rsidRDefault="00000000">
      <w:pPr>
        <w:pStyle w:val="FootnoteText1"/>
      </w:pPr>
      <w:r>
        <w:rPr>
          <w:rStyle w:val="FootnoteCharacters"/>
        </w:rPr>
        <w:footnoteRef/>
      </w:r>
      <w:r>
        <w:t xml:space="preserve"> Synthesised across the eleven-class AI tool taxonomy dossier; see </w:t>
      </w:r>
      <w:r>
        <w:rPr>
          <w:rStyle w:val="VerbatimChar"/>
        </w:rPr>
        <w:t>research/dossier_05_ai_tool_taxonomy.md</w:t>
      </w:r>
      <w:r>
        <w:t xml:space="preserve"> and Appendix C of this report. The 8 mandatory classes plus 3 optional classes (image/figure generation, voice/transcription, AI-detection) populate the matrix the dimension’s procurement test references.</w:t>
      </w:r>
    </w:p>
  </w:footnote>
  <w:footnote w:id="33">
    <w:p w14:paraId="20456574" w14:textId="77777777" w:rsidR="00170D13" w:rsidRDefault="00000000">
      <w:pPr>
        <w:pStyle w:val="FootnoteText1"/>
      </w:pPr>
      <w:r>
        <w:rPr>
          <w:rStyle w:val="FootnoteCharacters"/>
        </w:rPr>
        <w:footnoteRef/>
      </w:r>
      <w:r>
        <w:t xml:space="preserve"> Walters, W. H., &amp; Wilder, E. I. (2023). “Fabrication and errors in the bibliographic citations generated by ChatGPT.” </w:t>
      </w:r>
      <w:r>
        <w:rPr>
          <w:i/>
          <w:iCs/>
        </w:rPr>
        <w:t>Scientific Reports</w:t>
      </w:r>
      <w:r>
        <w:t>, 13:14045. DOI: 10.1038/s41598-023-41032-5. URL: https://www.nature.com/articles/s41598-023-41032-5 · snapshotted 2026-05-18.</w:t>
      </w:r>
    </w:p>
  </w:footnote>
  <w:footnote w:id="34">
    <w:p w14:paraId="2151C7BE" w14:textId="77777777" w:rsidR="00170D13" w:rsidRDefault="00000000">
      <w:pPr>
        <w:pStyle w:val="FootnoteText1"/>
      </w:pPr>
      <w:r>
        <w:rPr>
          <w:rStyle w:val="FootnoteCharacters"/>
        </w:rPr>
        <w:footnoteRef/>
      </w:r>
      <w:r>
        <w:t xml:space="preserve"> Jaźwińska, K., &amp; Chandrasekar, A. (2025). “AI Search Has </w:t>
      </w:r>
      <w:proofErr w:type="gramStart"/>
      <w:r>
        <w:t>A</w:t>
      </w:r>
      <w:proofErr w:type="gramEnd"/>
      <w:r>
        <w:t xml:space="preserve">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14:paraId="59688B21" w14:textId="77777777" w:rsidR="00170D13" w:rsidRDefault="00000000">
      <w:pPr>
        <w:pStyle w:val="FootnoteText1"/>
      </w:pPr>
      <w:r>
        <w:rPr>
          <w:rStyle w:val="FootnoteCharacters"/>
        </w:rPr>
        <w:footnoteRef/>
      </w:r>
      <w:r>
        <w:t xml:space="preserve"> Huang, J., </w:t>
      </w:r>
      <w:r>
        <w:rPr>
          <w:i/>
          <w:iCs/>
        </w:rPr>
        <w:t>et al.</w:t>
      </w:r>
      <w:r>
        <w:t xml:space="preserve"> (2024). “Large Language Models Cannot Self-Correct Reasoning Yet.” </w:t>
      </w:r>
      <w:r>
        <w:rPr>
          <w:i/>
          <w:iCs/>
        </w:rPr>
        <w:t>Transactions of the Association for Computational Linguistics</w:t>
      </w:r>
      <w:r>
        <w:t>, 12. DOI: 10.1162/tacl_a_00713. URL: https://aclanthology.org/2024.tacl-1.43/ · snapshotted 2026-05-18.</w:t>
      </w:r>
    </w:p>
  </w:footnote>
  <w:footnote w:id="36">
    <w:p w14:paraId="1AAE594B" w14:textId="77777777" w:rsidR="00170D13" w:rsidRDefault="00000000">
      <w:pPr>
        <w:pStyle w:val="FootnoteText1"/>
      </w:pPr>
      <w:r>
        <w:rPr>
          <w:rStyle w:val="FootnoteCharacters"/>
        </w:rPr>
        <w:footnoteRef/>
      </w:r>
      <w:r>
        <w:t xml:space="preserve"> Wynn, S., Satija, T., &amp; Hadfield, G. (2025). “Talk Isn’t Always Cheap: Understanding Failure Modes in Multi-Agent Debate.” arXiv 2509.05396, September 2025. URL: https://arxiv.org/abs/2509.05396 · snapshotted 2026-05-18.</w:t>
      </w:r>
    </w:p>
  </w:footnote>
  <w:footnote w:id="37">
    <w:p w14:paraId="2DA43FBB" w14:textId="77777777" w:rsidR="00170D13" w:rsidRDefault="00000000">
      <w:pPr>
        <w:pStyle w:val="FootnoteText1"/>
      </w:pPr>
      <w:r>
        <w:rPr>
          <w:rStyle w:val="FootnoteCharacters"/>
        </w:rPr>
        <w:footnoteRef/>
      </w:r>
      <w:r>
        <w:t xml:space="preserve"> As cited above: Synthesised across the eleven-class AI tool taxonomy dossier; see research/dossier_05_ai_tool_taxonomy.md and Appendix C of this report. The 8…</w:t>
      </w:r>
    </w:p>
  </w:footnote>
  <w:footnote w:id="38">
    <w:p w14:paraId="112DA63A" w14:textId="77777777" w:rsidR="00170D13" w:rsidRDefault="00000000">
      <w:pPr>
        <w:pStyle w:val="FootnoteText1"/>
      </w:pPr>
      <w:r>
        <w:rPr>
          <w:rStyle w:val="FootnoteCharacters"/>
        </w:rPr>
        <w:footnoteRef/>
      </w:r>
      <w:r>
        <w:t xml:space="preserve"> 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14:paraId="1F4EC8E1" w14:textId="77777777" w:rsidR="00170D13" w:rsidRDefault="00000000">
      <w:pPr>
        <w:pStyle w:val="FootnoteText1"/>
      </w:pPr>
      <w:r>
        <w:rPr>
          <w:rStyle w:val="FootnoteCharacters"/>
        </w:rPr>
        <w:footnoteRef/>
      </w:r>
      <w:r>
        <w:t xml:space="preserve"> As cited above: Jaźwińska, K., &amp;amp; Chandrasekar, A. (2025). “AI Search Has </w:t>
      </w:r>
      <w:proofErr w:type="gramStart"/>
      <w:r>
        <w:t>A</w:t>
      </w:r>
      <w:proofErr w:type="gramEnd"/>
      <w:r>
        <w:t xml:space="preserve"> Citation Problem.” Tow Center for Digital Journalism, 6 March 2025. Eight consumer AI…</w:t>
      </w:r>
    </w:p>
  </w:footnote>
  <w:footnote w:id="40">
    <w:p w14:paraId="2C7D0FFE" w14:textId="77777777" w:rsidR="00170D13" w:rsidRDefault="00000000">
      <w:pPr>
        <w:pStyle w:val="FootnoteText1"/>
      </w:pPr>
      <w:r>
        <w:rPr>
          <w:rStyle w:val="FootnoteCharacters"/>
        </w:rPr>
        <w:footnoteRef/>
      </w:r>
      <w:r>
        <w:t xml:space="preserve"> 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t xml:space="preserve"> 1 May 2023; </w:t>
      </w:r>
      <w:r>
        <w:rPr>
          <w:i/>
          <w:iCs/>
        </w:rPr>
        <w:t>Forbes</w:t>
      </w:r>
      <w:r>
        <w:t xml:space="preserve"> 2 May 2023; </w:t>
      </w:r>
      <w:r>
        <w:rPr>
          <w:i/>
          <w:iCs/>
        </w:rPr>
        <w:t>Reuters</w:t>
      </w:r>
      <w:r>
        <w:t xml:space="preserve"> 2 May 2023. URL: https://www.bloomberg.com/news/articles/2023-05-02/samsung-bans-chatgpt-and-other-generative-ai-use-by-staff-after-leak · snapshotted 2026-05-18.</w:t>
      </w:r>
    </w:p>
  </w:footnote>
  <w:footnote w:id="41">
    <w:p w14:paraId="54DB5C36" w14:textId="77777777" w:rsidR="00170D13" w:rsidRDefault="00000000">
      <w:pPr>
        <w:pStyle w:val="FootnoteText1"/>
      </w:pPr>
      <w:r>
        <w:rPr>
          <w:rStyle w:val="FootnoteCharacters"/>
        </w:rPr>
        <w:footnoteRef/>
      </w:r>
      <w:r>
        <w:t xml:space="preserve"> Terwilliger, T. C., </w:t>
      </w:r>
      <w:r>
        <w:rPr>
          <w:i/>
          <w:iCs/>
        </w:rPr>
        <w:t>et al.</w:t>
      </w:r>
      <w:r>
        <w:t xml:space="preserve"> (2024). “AlphaFold predictions are valuable hypotheses and accelerate but do not replace experimental structure determination.” </w:t>
      </w:r>
      <w:r>
        <w:rPr>
          <w:i/>
          <w:iCs/>
        </w:rPr>
        <w:t>Nature Methods</w:t>
      </w:r>
      <w: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14:paraId="7E6D74C1" w14:textId="77777777" w:rsidR="00170D13" w:rsidRDefault="00000000">
      <w:pPr>
        <w:pStyle w:val="FootnoteText1"/>
      </w:pPr>
      <w:r>
        <w:rPr>
          <w:rStyle w:val="FootnoteCharacters"/>
        </w:rPr>
        <w:footnoteRef/>
      </w:r>
      <w:r>
        <w:t xml:space="preserve"> Synthesised from the reproducibility-crisis intersection dossier; see </w:t>
      </w:r>
      <w:r>
        <w:rPr>
          <w:rStyle w:val="VerbatimChar"/>
        </w:rPr>
        <w:t>research/dossier_07_reproducibility_intersection.md</w:t>
      </w:r>
      <w:r>
        <w:t xml:space="preserve">. The pre-AI anchor draws on Ioannidis (2005, </w:t>
      </w:r>
      <w:r>
        <w:rPr>
          <w:i/>
          <w:iCs/>
        </w:rPr>
        <w:t>PLOS Medicine</w:t>
      </w:r>
      <w:r>
        <w:t xml:space="preserve">), Open Science Collaboration (2015, </w:t>
      </w:r>
      <w:r>
        <w:rPr>
          <w:i/>
          <w:iCs/>
        </w:rPr>
        <w:t>Science</w:t>
      </w:r>
      <w:r>
        <w:t xml:space="preserve"> 349:aac4716), Begley and Ellis (2012, </w:t>
      </w:r>
      <w:r>
        <w:rPr>
          <w:i/>
          <w:iCs/>
        </w:rPr>
        <w:t>Nature</w:t>
      </w:r>
      <w:r>
        <w:t xml:space="preserve"> 483:531-533), Errington </w:t>
      </w:r>
      <w:r>
        <w:rPr>
          <w:i/>
          <w:iCs/>
        </w:rPr>
        <w:t>et al.</w:t>
      </w:r>
      <w:r>
        <w:t xml:space="preserve"> (2021, </w:t>
      </w:r>
      <w:r>
        <w:rPr>
          <w:i/>
          <w:iCs/>
        </w:rPr>
        <w:t>eLife</w:t>
      </w:r>
      <w:r>
        <w:t xml:space="preserve">), Camerer </w:t>
      </w:r>
      <w:r>
        <w:rPr>
          <w:i/>
          <w:iCs/>
        </w:rPr>
        <w:t>et al.</w:t>
      </w:r>
      <w:r>
        <w:t xml:space="preserve"> (2018, </w:t>
      </w:r>
      <w:r>
        <w:rPr>
          <w:i/>
          <w:iCs/>
        </w:rPr>
        <w:t>Nature Human Behaviour</w:t>
      </w:r>
      <w:r>
        <w:t xml:space="preserve"> 2:637-644), Many Labs 1-3, Voelkl </w:t>
      </w:r>
      <w:r>
        <w:rPr>
          <w:i/>
          <w:iCs/>
        </w:rPr>
        <w:t>et al.</w:t>
      </w:r>
      <w:r>
        <w:t xml:space="preserve"> (2018, </w:t>
      </w:r>
      <w:r>
        <w:rPr>
          <w:i/>
          <w:iCs/>
        </w:rPr>
        <w:t>PLOS Biology</w:t>
      </w:r>
      <w:r>
        <w:t xml:space="preserve">), and Bouter / Gopalakrishna (2022, </w:t>
      </w:r>
      <w:r>
        <w:rPr>
          <w:i/>
          <w:iCs/>
        </w:rPr>
        <w:t>PLOS ONE</w:t>
      </w:r>
      <w:r>
        <w:t>). The AI intersection draws on the multiplier-side §7a-§7i and the solver-side §7j-§7n.</w:t>
      </w:r>
    </w:p>
  </w:footnote>
  <w:footnote w:id="43">
    <w:p w14:paraId="48251AF5" w14:textId="77777777" w:rsidR="00170D13" w:rsidRDefault="00000000">
      <w:pPr>
        <w:pStyle w:val="FootnoteText1"/>
      </w:pPr>
      <w:r>
        <w:rPr>
          <w:rStyle w:val="FootnoteCharacters"/>
        </w:rPr>
        <w:footnoteRef/>
      </w:r>
      <w:r>
        <w:t xml:space="preserve"> 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14:paraId="5287F2CF" w14:textId="77777777" w:rsidR="00170D13" w:rsidRDefault="00000000">
      <w:pPr>
        <w:pStyle w:val="FootnoteText1"/>
      </w:pPr>
      <w:r>
        <w:rPr>
          <w:rStyle w:val="FootnoteCharacters"/>
        </w:rPr>
        <w:footnoteRef/>
      </w:r>
      <w:r>
        <w:t xml:space="preserve"> Commission Nationale de l’Informatique et des Libertés (CNIL). “AI system development: CNIL’s recommendations to comply with the GDPR.” 19 June 2025. URL: https://www.cnil.fr/en/ai-system-development-cnils-recommendations-to-comply-gdpr · snapshotted 2026-05-18.</w:t>
      </w:r>
    </w:p>
  </w:footnote>
  <w:footnote w:id="45">
    <w:p w14:paraId="447AC5D1" w14:textId="77777777" w:rsidR="00170D13" w:rsidRDefault="00000000">
      <w:pPr>
        <w:pStyle w:val="FootnoteText1"/>
      </w:pPr>
      <w:r>
        <w:rPr>
          <w:rStyle w:val="FootnoteCharacters"/>
        </w:rPr>
        <w:footnoteRef/>
      </w:r>
      <w:r>
        <w:t xml:space="preserve"> 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14:paraId="3503BBDE"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47">
    <w:p w14:paraId="6B4AFE6D" w14:textId="77777777" w:rsidR="00170D13" w:rsidRDefault="00000000">
      <w:pPr>
        <w:pStyle w:val="FootnoteText1"/>
      </w:pPr>
      <w:r>
        <w:rPr>
          <w:rStyle w:val="FootnoteCharacters"/>
        </w:rPr>
        <w:footnoteRef/>
      </w:r>
      <w:r>
        <w:t xml:space="preserve"> Russell Group. “Principles on the use of generative AI tools in education.” 3 July 2023. URL: https://www.russellgroup.ac.uk/policy/policy-briefings/principles-use-generative-ai-tools-education · snapshotted 2026-05-18.</w:t>
      </w:r>
    </w:p>
  </w:footnote>
  <w:footnote w:id="48">
    <w:p w14:paraId="370F8014" w14:textId="77777777" w:rsidR="00170D13" w:rsidRDefault="00000000">
      <w:pPr>
        <w:pStyle w:val="FootnoteText1"/>
      </w:pPr>
      <w:r>
        <w:rPr>
          <w:rStyle w:val="FootnoteCharacters"/>
        </w:rPr>
        <w:footnoteRef/>
      </w:r>
      <w:r>
        <w:t xml:space="preserve"> As cited above: Synthesised from the reproducibility-crisis intersection dossier; see research/dossier_07_reproducibility_intersection.md. The pre-AI anchor draws on…</w:t>
      </w:r>
    </w:p>
  </w:footnote>
  <w:footnote w:id="49">
    <w:p w14:paraId="68B14911" w14:textId="77777777" w:rsidR="00170D13" w:rsidRDefault="00000000">
      <w:pPr>
        <w:pStyle w:val="FootnoteText1"/>
      </w:pPr>
      <w:r>
        <w:rPr>
          <w:rStyle w:val="FootnoteCharacters"/>
        </w:rPr>
        <w:footnoteRef/>
      </w:r>
      <w:r>
        <w:t xml:space="preserve"> As cited above: Walters, W. H., &amp;amp; Wilder, E. I. (2023). “Fabrication and errors in the bibliographic citations generated by ChatGPT.” Scientific Reports…</w:t>
      </w:r>
    </w:p>
  </w:footnote>
  <w:footnote w:id="50">
    <w:p w14:paraId="744D0E27" w14:textId="77777777" w:rsidR="00170D13" w:rsidRDefault="00000000">
      <w:pPr>
        <w:pStyle w:val="FootnoteText1"/>
      </w:pPr>
      <w:r>
        <w:rPr>
          <w:rStyle w:val="FootnoteCharacters"/>
        </w:rPr>
        <w:footnoteRef/>
      </w:r>
      <w:r>
        <w:t xml:space="preserve"> Chelli, M., </w:t>
      </w:r>
      <w:r>
        <w:rPr>
          <w:i/>
          <w:iCs/>
        </w:rPr>
        <w:t>et al.</w:t>
      </w:r>
      <w:r>
        <w:t xml:space="preserve"> (2024). “Hallucination Rates and Reference Accuracy of ChatGPT and Bard for Systematic Reviews: Comparative Analysis.” </w:t>
      </w:r>
      <w:r>
        <w:rPr>
          <w:i/>
          <w:iCs/>
        </w:rPr>
        <w:t>Journal of Medical Internet Research</w:t>
      </w:r>
      <w:r>
        <w:t xml:space="preserve">, </w:t>
      </w:r>
      <w:proofErr w:type="gramStart"/>
      <w:r>
        <w:t>26:e</w:t>
      </w:r>
      <w:proofErr w:type="gramEnd"/>
      <w:r>
        <w:t>53164. DOI: 10.2196/53164. URL: https://www.jmir.org/2024/1/e53164 · snapshotted 2026-05-18.</w:t>
      </w:r>
    </w:p>
  </w:footnote>
  <w:footnote w:id="51">
    <w:p w14:paraId="4B24ED79" w14:textId="77777777" w:rsidR="00170D13" w:rsidRDefault="00000000">
      <w:pPr>
        <w:pStyle w:val="FootnoteText1"/>
      </w:pPr>
      <w:r>
        <w:rPr>
          <w:rStyle w:val="FootnoteCharacters"/>
        </w:rPr>
        <w:footnoteRef/>
      </w:r>
      <w:r>
        <w:t xml:space="preserve"> </w:t>
      </w:r>
      <w:r>
        <w:rPr>
          <w:i/>
          <w:iCs/>
        </w:rPr>
        <w:t>Mata v. Avianca, Inc.</w:t>
      </w:r>
      <w: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14:paraId="62B705CF" w14:textId="77777777" w:rsidR="00170D13" w:rsidRDefault="00000000">
      <w:pPr>
        <w:pStyle w:val="FootnoteText1"/>
      </w:pPr>
      <w:r>
        <w:rPr>
          <w:rStyle w:val="FootnoteCharacters"/>
        </w:rPr>
        <w:footnoteRef/>
      </w:r>
      <w:r>
        <w:t xml:space="preserve"> As cited above: Synthesised from the reproducibility-crisis intersection dossier; see research/dossier_07_reproducibility_intersection.md. The pre-AI anchor draws on…</w:t>
      </w:r>
    </w:p>
  </w:footnote>
  <w:footnote w:id="53">
    <w:p w14:paraId="2266C1A6" w14:textId="77777777" w:rsidR="00170D13" w:rsidRDefault="00000000">
      <w:pPr>
        <w:pStyle w:val="FootnoteText1"/>
      </w:pPr>
      <w:r>
        <w:rPr>
          <w:rStyle w:val="FootnoteCharacters"/>
        </w:rPr>
        <w:footnoteRef/>
      </w:r>
      <w:r>
        <w:t xml:space="preserve"> “Large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14:paraId="5B1FC2E9" w14:textId="77777777" w:rsidR="00170D13" w:rsidRDefault="00000000">
      <w:pPr>
        <w:pStyle w:val="FootnoteText1"/>
      </w:pPr>
      <w:r>
        <w:rPr>
          <w:rStyle w:val="FootnoteCharacters"/>
        </w:rPr>
        <w:footnoteRef/>
      </w:r>
      <w:r>
        <w:t xml:space="preserve"> Zhang, </w:t>
      </w:r>
      <w:r>
        <w:rPr>
          <w:i/>
          <w:iCs/>
        </w:rPr>
        <w:t>et al.</w:t>
      </w:r>
      <w: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14:paraId="6C855B07" w14:textId="77777777" w:rsidR="00170D13" w:rsidRDefault="00000000">
      <w:pPr>
        <w:pStyle w:val="FootnoteText1"/>
      </w:pPr>
      <w:r>
        <w:rPr>
          <w:rStyle w:val="FootnoteCharacters"/>
        </w:rPr>
        <w:footnoteRef/>
      </w:r>
      <w:r>
        <w:t xml:space="preserve"> As cited above: Huang, J., et al. (2024). “Large Language Models Cannot Self-Correct Reasoning Yet.” Transactions of the Association for Computational Linguistics…</w:t>
      </w:r>
    </w:p>
  </w:footnote>
  <w:footnote w:id="56">
    <w:p w14:paraId="53021B72" w14:textId="77777777" w:rsidR="00170D13" w:rsidRDefault="00000000">
      <w:pPr>
        <w:pStyle w:val="FootnoteText1"/>
      </w:pPr>
      <w:r>
        <w:rPr>
          <w:rStyle w:val="FootnoteCharacters"/>
        </w:rPr>
        <w:footnoteRef/>
      </w:r>
      <w:r>
        <w:t xml:space="preserve"> As cited above: Wynn, S., Satija, T., &amp;amp; Hadfield, G. (2025). “Talk Isn’t Always Cheap: Understanding Failure Modes in Multi-Agent Debate.” arXiv 2509.05396…</w:t>
      </w:r>
    </w:p>
  </w:footnote>
  <w:footnote w:id="57">
    <w:p w14:paraId="12E3C0A7" w14:textId="77777777" w:rsidR="00170D13" w:rsidRDefault="00000000">
      <w:pPr>
        <w:pStyle w:val="FootnoteText1"/>
      </w:pPr>
      <w:r>
        <w:rPr>
          <w:rStyle w:val="FootnoteCharacters"/>
        </w:rPr>
        <w:footnoteRef/>
      </w:r>
      <w:r>
        <w:t xml:space="preserve"> OWASP Foundation. “OWASP Top 10 for Large Language Model Applications 2025.” Open Worldwide Application Security Project, 12 March 2025. URL: https://owasp.org/www-project-top-10-for-large-language-model-applications/ · snapshotted 2026-05-18.</w:t>
      </w:r>
    </w:p>
  </w:footnote>
  <w:footnote w:id="58">
    <w:p w14:paraId="46629126" w14:textId="77777777" w:rsidR="00170D13" w:rsidRDefault="00000000">
      <w:pPr>
        <w:pStyle w:val="FootnoteText1"/>
      </w:pPr>
      <w:r>
        <w:rPr>
          <w:rStyle w:val="FootnoteCharacters"/>
        </w:rPr>
        <w:footnoteRef/>
      </w:r>
      <w:r>
        <w:t xml:space="preserve"> National Institute of Standards and Technology. “Artificial Intelligence Risk Management Framework: Generative AI Profile” (NIST AI 600-1). 26 July 2024. URL: https://www.nist.gov/itl/ai-risk-management-framework · snapshotted 2026-05-18.</w:t>
      </w:r>
    </w:p>
  </w:footnote>
  <w:footnote w:id="59">
    <w:p w14:paraId="4E672769" w14:textId="77777777" w:rsidR="00170D13" w:rsidRDefault="00000000">
      <w:pPr>
        <w:pStyle w:val="FootnoteText1"/>
      </w:pPr>
      <w:r>
        <w:rPr>
          <w:rStyle w:val="FootnoteCharacters"/>
        </w:rPr>
        <w:footnoteRef/>
      </w:r>
      <w:r>
        <w:t xml:space="preserve"> As cited above: Regulation (EU) 2024/1689 of the European Parliament and of the Council of 13 June 2024 laying down harmonised rules on artificial intelligence (AI…</w:t>
      </w:r>
    </w:p>
  </w:footnote>
  <w:footnote w:id="60">
    <w:p w14:paraId="665FC15B" w14:textId="77777777" w:rsidR="00170D13" w:rsidRDefault="00000000">
      <w:pPr>
        <w:pStyle w:val="FootnoteText1"/>
      </w:pPr>
      <w:r>
        <w:rPr>
          <w:rStyle w:val="FootnoteCharacters"/>
        </w:rPr>
        <w:footnoteRef/>
      </w:r>
      <w:r>
        <w:t xml:space="preserve"> 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14:paraId="0289B493"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62">
    <w:p w14:paraId="77E1302F" w14:textId="77777777" w:rsidR="00170D13" w:rsidRDefault="00000000">
      <w:pPr>
        <w:pStyle w:val="FootnoteText1"/>
      </w:pPr>
      <w:r>
        <w:rPr>
          <w:rStyle w:val="FootnoteCharacters"/>
        </w:rPr>
        <w:footnoteRef/>
      </w:r>
      <w:r>
        <w:t xml:space="preserve"> 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14:paraId="1502718B" w14:textId="77777777" w:rsidR="00170D13" w:rsidRDefault="00000000">
      <w:pPr>
        <w:pStyle w:val="FootnoteText1"/>
      </w:pPr>
      <w:r>
        <w:rPr>
          <w:rStyle w:val="FootnoteCharacters"/>
        </w:rPr>
        <w:footnoteRef/>
      </w:r>
      <w:r>
        <w:t xml:space="preserve"> Swedish Research Council (Vetenskapsrådet), “Guidelines for the use of AI tools.” Updated 28 August 2024. URL: https://www.vr.se/english/applying-for-funding/applying-for-a-grant/guidelines-for-the-use-of-ai-tools.html · snapshotted 2026-05-18.</w:t>
      </w:r>
    </w:p>
  </w:footnote>
  <w:footnote w:id="64">
    <w:p w14:paraId="19CA8C48" w14:textId="77777777" w:rsidR="00170D13" w:rsidRDefault="00000000">
      <w:pPr>
        <w:pStyle w:val="FootnoteText1"/>
      </w:pPr>
      <w:r>
        <w:rPr>
          <w:rStyle w:val="FootnoteCharacters"/>
        </w:rPr>
        <w:footnoteRef/>
      </w:r>
      <w:r>
        <w:t xml:space="preserve"> 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14:paraId="0A747522"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66">
    <w:p w14:paraId="30BE5E10" w14:textId="77777777" w:rsidR="00170D13" w:rsidRDefault="00000000">
      <w:pPr>
        <w:pStyle w:val="FootnoteText1"/>
      </w:pPr>
      <w:r>
        <w:rPr>
          <w:rStyle w:val="FootnoteCharacters"/>
        </w:rPr>
        <w:footnoteRef/>
      </w:r>
      <w:r>
        <w:t xml:space="preserve"> As cited above: Thirty-eight-university sample; class distribution A=4, B=11, C=17, D=6 (38 total), from the per-institution policy classifications in the…</w:t>
      </w:r>
    </w:p>
  </w:footnote>
  <w:footnote w:id="67">
    <w:p w14:paraId="122B54F2" w14:textId="77777777" w:rsidR="00170D13" w:rsidRDefault="00000000">
      <w:pPr>
        <w:pStyle w:val="FootnoteText1"/>
      </w:pPr>
      <w:r>
        <w:rPr>
          <w:rStyle w:val="FootnoteCharacters"/>
        </w:rPr>
        <w:footnoteRef/>
      </w:r>
      <w:r>
        <w:t xml:space="preserve"> As cited above: Class D institutional documents: - UCL Doctoral School, “Transparency on Authorship and Generative AI in Doctoral Research.” URL…</w:t>
      </w:r>
    </w:p>
  </w:footnote>
  <w:footnote w:id="68">
    <w:p w14:paraId="2366862E" w14:textId="77777777" w:rsidR="00170D13" w:rsidRDefault="00000000">
      <w:pPr>
        <w:pStyle w:val="FootnoteText1"/>
      </w:pPr>
      <w:r>
        <w:rPr>
          <w:rStyle w:val="FootnoteCharacters"/>
        </w:rPr>
        <w:footnoteRef/>
      </w:r>
      <w:r>
        <w:t xml:space="preserve"> As cited above: Class D institutional documents: - UCL Doctoral School, “Transparency on Authorship and Generative AI in Doctoral Research.” URL…</w:t>
      </w:r>
    </w:p>
  </w:footnote>
  <w:footnote w:id="69">
    <w:p w14:paraId="2F366A61" w14:textId="77777777" w:rsidR="00170D13" w:rsidRDefault="00000000">
      <w:pPr>
        <w:pStyle w:val="FootnoteText1"/>
      </w:pPr>
      <w:r>
        <w:rPr>
          <w:rStyle w:val="FootnoteCharacters"/>
        </w:rPr>
        <w:footnoteRef/>
      </w:r>
      <w:r>
        <w:t xml:space="preserve"> As cited above: Synthesised across the eighteen-entry publisher-policy dossier (research/dossier_04_publisher_policies.md).</w:t>
      </w:r>
    </w:p>
  </w:footnote>
  <w:footnote w:id="70">
    <w:p w14:paraId="559BD2A5" w14:textId="77777777" w:rsidR="00170D13" w:rsidRDefault="00000000">
      <w:pPr>
        <w:pStyle w:val="FootnoteText1"/>
      </w:pPr>
      <w:r>
        <w:rPr>
          <w:rStyle w:val="FootnoteCharacters"/>
        </w:rPr>
        <w:footnoteRef/>
      </w:r>
      <w:r>
        <w:t xml:space="preserve"> As cited above: Synthesised across the eighteen-entry publisher-policy dossier (research/dossier_04_publisher_policies.md).</w:t>
      </w:r>
    </w:p>
  </w:footnote>
  <w:footnote w:id="71">
    <w:p w14:paraId="55ECE1C0" w14:textId="77777777" w:rsidR="00170D13" w:rsidRDefault="00000000">
      <w:pPr>
        <w:pStyle w:val="FootnoteText1"/>
      </w:pPr>
      <w:r>
        <w:rPr>
          <w:rStyle w:val="FootnoteCharacters"/>
        </w:rPr>
        <w:footnoteRef/>
      </w:r>
      <w:r>
        <w:t xml:space="preserve"> As cited above: BMJ Author Hub, “AI policy and submission form disclosure,” April 2024; 2025 Peer Review Congress disclosure-rate report. URL…</w:t>
      </w:r>
    </w:p>
  </w:footnote>
  <w:footnote w:id="72">
    <w:p w14:paraId="7B9D6C78"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73">
    <w:p w14:paraId="6157431C" w14:textId="77777777" w:rsidR="00170D13" w:rsidRDefault="00000000">
      <w:pPr>
        <w:pStyle w:val="FootnoteText1"/>
      </w:pPr>
      <w:r>
        <w:rPr>
          <w:rStyle w:val="FootnoteCharacters"/>
        </w:rPr>
        <w:footnoteRef/>
      </w:r>
      <w:r>
        <w:t xml:space="preserve"> As cited above: Synthesised across the thirteen-entry competency-frameworks dossier covering UNESCO AI Competency Frameworks for Students and Teachers, the OECD-EC…</w:t>
      </w:r>
    </w:p>
  </w:footnote>
  <w:footnote w:id="74">
    <w:p w14:paraId="6BB66B40" w14:textId="77777777" w:rsidR="00170D13" w:rsidRDefault="00000000">
      <w:pPr>
        <w:pStyle w:val="FootnoteText1"/>
      </w:pPr>
      <w:r>
        <w:rPr>
          <w:rStyle w:val="FootnoteCharacters"/>
        </w:rPr>
        <w:footnoteRef/>
      </w:r>
      <w:r>
        <w:t xml:space="preserve"> As cited above: UK Research and Innovation, “UKRI AI Research and Innovation Strategic Framework.” 19 February 2026. URL…</w:t>
      </w:r>
    </w:p>
  </w:footnote>
  <w:footnote w:id="75">
    <w:p w14:paraId="503D6D89" w14:textId="77777777" w:rsidR="00170D13" w:rsidRDefault="00000000">
      <w:pPr>
        <w:pStyle w:val="FootnoteText1"/>
      </w:pPr>
      <w:r>
        <w:rPr>
          <w:rStyle w:val="FootnoteCharacters"/>
        </w:rPr>
        <w:footnoteRef/>
      </w:r>
      <w:r>
        <w:t xml:space="preserve"> As cited above: National Institutes of Health, “Apply Responsibly: Policy on AI Use in NIH Research Applications and Limiting Submissions Per PI” (NOT-OD-25-</w:t>
      </w:r>
      <w:proofErr w:type="gramStart"/>
      <w:r>
        <w:t>132)…</w:t>
      </w:r>
      <w:proofErr w:type="gramEnd"/>
    </w:p>
  </w:footnote>
  <w:footnote w:id="76">
    <w:p w14:paraId="5FA00133" w14:textId="77777777" w:rsidR="00170D13" w:rsidRDefault="00000000">
      <w:pPr>
        <w:pStyle w:val="FootnoteText1"/>
      </w:pPr>
      <w:r>
        <w:rPr>
          <w:rStyle w:val="FootnoteCharacters"/>
        </w:rPr>
        <w:footnoteRef/>
      </w:r>
      <w:r>
        <w:t xml:space="preserve"> As cited above: ARC / NHMRC, joint policy on the use of generative AI in grant applications and assessment, effective 28 April 2026. URLs…</w:t>
      </w:r>
    </w:p>
  </w:footnote>
  <w:footnote w:id="77">
    <w:p w14:paraId="185AF8F7" w14:textId="77777777" w:rsidR="00170D13" w:rsidRDefault="00000000">
      <w:pPr>
        <w:pStyle w:val="FootnoteText1"/>
      </w:pPr>
      <w:r>
        <w:rPr>
          <w:rStyle w:val="FootnoteCharacters"/>
        </w:rPr>
        <w:footnoteRef/>
      </w:r>
      <w:r>
        <w:t xml:space="preserve"> As cited above: Deutsche Forschungsgemeinschaft, Executive Committee statement on the use of generative models in research, 21 September 2023. URL…</w:t>
      </w:r>
    </w:p>
  </w:footnote>
  <w:footnote w:id="78">
    <w:p w14:paraId="750DE3BC"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79">
    <w:p w14:paraId="30E6927E" w14:textId="77777777" w:rsidR="00170D13" w:rsidRDefault="00000000">
      <w:pPr>
        <w:pStyle w:val="FootnoteText1"/>
      </w:pPr>
      <w:r>
        <w:rPr>
          <w:rStyle w:val="FootnoteCharacters"/>
        </w:rPr>
        <w:footnoteRef/>
      </w:r>
      <w:r>
        <w:t xml:space="preserve"> As cited above: European Data Protection Board, Opinion 28/2024 on certain data protection aspects related to the processing of personal data in the context of AI…</w:t>
      </w:r>
    </w:p>
  </w:footnote>
  <w:footnote w:id="80">
    <w:p w14:paraId="188EB488" w14:textId="77777777" w:rsidR="00170D13" w:rsidRDefault="00000000">
      <w:pPr>
        <w:pStyle w:val="FootnoteText1"/>
      </w:pPr>
      <w:r>
        <w:rPr>
          <w:rStyle w:val="FootnoteCharacters"/>
        </w:rPr>
        <w:footnoteRef/>
      </w:r>
      <w:r>
        <w:t xml:space="preserve"> As cited above: Commission Nationale de l’Informatique et des Libertés (CNIL). “AI system development: CNIL’s recommendations to comply with the GDPR.” 19 June 2025…</w:t>
      </w:r>
    </w:p>
  </w:footnote>
  <w:footnote w:id="81">
    <w:p w14:paraId="35B08732" w14:textId="77777777" w:rsidR="00170D13" w:rsidRDefault="00000000">
      <w:pPr>
        <w:pStyle w:val="FootnoteText1"/>
      </w:pPr>
      <w:r>
        <w:rPr>
          <w:rStyle w:val="FootnoteCharacters"/>
        </w:rPr>
        <w:footnoteRef/>
      </w:r>
      <w:r>
        <w:t xml:space="preserve"> As cited above: Regulation (EU) 2024/1689 of the European Parliament and of the Council of 13 June 2024 laying down harmonised rules on artificial intelligence (AI…</w:t>
      </w:r>
    </w:p>
  </w:footnote>
  <w:footnote w:id="82">
    <w:p w14:paraId="503F4F12"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83">
    <w:p w14:paraId="27C95170"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 w:id="84">
    <w:p w14:paraId="7145FEBD" w14:textId="77777777" w:rsidR="00170D13" w:rsidRDefault="00000000">
      <w:pPr>
        <w:pStyle w:val="FootnoteText1"/>
      </w:pPr>
      <w:r>
        <w:rPr>
          <w:rStyle w:val="FootnoteCharacters"/>
        </w:rPr>
        <w:footnoteRef/>
      </w:r>
      <w:r>
        <w:t xml:space="preserve"> As cited above: Synthesised across the fourteen-entry national-funder dossier; see research/dossier_01_national_funders.md.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C53F37" w14:textId="77777777" w:rsidR="00170D13" w:rsidRDefault="00170D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896EF5" w14:textId="77777777" w:rsidR="00170D13" w:rsidRDefault="00000000">
    <w:pPr>
      <w:pStyle w:val="Header"/>
      <w:jc w:val="right"/>
    </w:pPr>
    <w:r>
      <w:rPr>
        <w:rFonts w:ascii="Inter" w:hAnsi="Inter"/>
        <w:i/>
        <w:color w:val="495057"/>
        <w:sz w:val="17"/>
      </w:rPr>
      <w:t xml:space="preserve">Instats Policy </w:t>
    </w:r>
    <w:proofErr w:type="gramStart"/>
    <w:r>
      <w:rPr>
        <w:rFonts w:ascii="Inter" w:hAnsi="Inter"/>
        <w:i/>
        <w:color w:val="495057"/>
        <w:sz w:val="17"/>
      </w:rPr>
      <w:t>Series  ·</w:t>
    </w:r>
    <w:proofErr w:type="gramEnd"/>
    <w:r>
      <w:rPr>
        <w:rFonts w:ascii="Inter" w:hAnsi="Inter"/>
        <w:i/>
        <w:color w:val="495057"/>
        <w:sz w:val="17"/>
      </w:rPr>
      <w:t xml:space="preserve">  Responsible AI in research training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D1E9A3" w14:textId="77777777" w:rsidR="00170D13" w:rsidRDefault="00170D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951722"/>
    <w:multiLevelType w:val="multilevel"/>
    <w:tmpl w:val="302A033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4235FFE"/>
    <w:multiLevelType w:val="multilevel"/>
    <w:tmpl w:val="9800E3B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845696C"/>
    <w:multiLevelType w:val="multilevel"/>
    <w:tmpl w:val="1F08BC5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10A5247"/>
    <w:multiLevelType w:val="multilevel"/>
    <w:tmpl w:val="701A0BF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121F71AC"/>
    <w:multiLevelType w:val="multilevel"/>
    <w:tmpl w:val="6B1ED07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D115D1"/>
    <w:multiLevelType w:val="multilevel"/>
    <w:tmpl w:val="4A621606"/>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34223EAE"/>
    <w:multiLevelType w:val="multilevel"/>
    <w:tmpl w:val="B6824A1E"/>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346F4A5F"/>
    <w:multiLevelType w:val="multilevel"/>
    <w:tmpl w:val="E49CF02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5677E21"/>
    <w:multiLevelType w:val="multilevel"/>
    <w:tmpl w:val="FEA227A4"/>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390B28D0"/>
    <w:multiLevelType w:val="multilevel"/>
    <w:tmpl w:val="B98011C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41306"/>
    <w:multiLevelType w:val="multilevel"/>
    <w:tmpl w:val="143A5DCA"/>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66E054D"/>
    <w:multiLevelType w:val="multilevel"/>
    <w:tmpl w:val="39CA7C0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6A00798"/>
    <w:multiLevelType w:val="multilevel"/>
    <w:tmpl w:val="ECBC70AA"/>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61E84D26"/>
    <w:multiLevelType w:val="multilevel"/>
    <w:tmpl w:val="D36ECB0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7DC293F"/>
    <w:multiLevelType w:val="multilevel"/>
    <w:tmpl w:val="310289D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15" w15:restartNumberingAfterBreak="0">
    <w:nsid w:val="726E4174"/>
    <w:multiLevelType w:val="multilevel"/>
    <w:tmpl w:val="61F097D2"/>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73574B8"/>
    <w:multiLevelType w:val="multilevel"/>
    <w:tmpl w:val="13C822FA"/>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D376ED"/>
    <w:multiLevelType w:val="multilevel"/>
    <w:tmpl w:val="4306C3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901984977">
    <w:abstractNumId w:val="7"/>
  </w:num>
  <w:num w:numId="2" w16cid:durableId="1826822965">
    <w:abstractNumId w:val="16"/>
  </w:num>
  <w:num w:numId="3" w16cid:durableId="111436281">
    <w:abstractNumId w:val="12"/>
  </w:num>
  <w:num w:numId="4" w16cid:durableId="382297362">
    <w:abstractNumId w:val="6"/>
  </w:num>
  <w:num w:numId="5" w16cid:durableId="652149148">
    <w:abstractNumId w:val="11"/>
  </w:num>
  <w:num w:numId="6" w16cid:durableId="1462764925">
    <w:abstractNumId w:val="8"/>
  </w:num>
  <w:num w:numId="7" w16cid:durableId="1086803477">
    <w:abstractNumId w:val="9"/>
  </w:num>
  <w:num w:numId="8" w16cid:durableId="1549881928">
    <w:abstractNumId w:val="0"/>
  </w:num>
  <w:num w:numId="9" w16cid:durableId="2140803753">
    <w:abstractNumId w:val="2"/>
  </w:num>
  <w:num w:numId="10" w16cid:durableId="1863737766">
    <w:abstractNumId w:val="15"/>
  </w:num>
  <w:num w:numId="11" w16cid:durableId="1837383171">
    <w:abstractNumId w:val="3"/>
  </w:num>
  <w:num w:numId="12" w16cid:durableId="256251155">
    <w:abstractNumId w:val="4"/>
  </w:num>
  <w:num w:numId="13" w16cid:durableId="1175726915">
    <w:abstractNumId w:val="1"/>
  </w:num>
  <w:num w:numId="14" w16cid:durableId="46612434">
    <w:abstractNumId w:val="10"/>
  </w:num>
  <w:num w:numId="15" w16cid:durableId="50736177">
    <w:abstractNumId w:val="13"/>
  </w:num>
  <w:num w:numId="16" w16cid:durableId="660079187">
    <w:abstractNumId w:val="14"/>
  </w:num>
  <w:num w:numId="17" w16cid:durableId="48769915">
    <w:abstractNumId w:val="5"/>
  </w:num>
  <w:num w:numId="18" w16cid:durableId="1183781568">
    <w:abstractNumId w:val="17"/>
  </w:num>
  <w:num w:numId="19" w16cid:durableId="286590292">
    <w:abstractNumId w:val="14"/>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SystemFonts/>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D13"/>
    <w:rsid w:val="00170D13"/>
    <w:rsid w:val="005F22B8"/>
    <w:rsid w:val="006929E6"/>
    <w:rsid w:val="006F1F9D"/>
    <w:rsid w:val="00832C8A"/>
    <w:rsid w:val="00973993"/>
    <w:rsid w:val="00AA0999"/>
    <w:rsid w:val="00C50F0B"/>
    <w:rsid w:val="00C70A8C"/>
    <w:rsid w:val="00C86BEC"/>
    <w:rsid w:val="00DD5612"/>
    <w:rsid w:val="00FF30EB"/>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062BD3D2"/>
  <w15:docId w15:val="{EB36B1EE-2B1D-1E4B-BBE7-D589C4A92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rFonts w:ascii="Source Serif 4" w:eastAsia="MS Mincho" w:hAnsi="Source Serif 4"/>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Theme="majorHAnsi" w:eastAsiaTheme="majorEastAsia" w:hAnsiTheme="majorHAnsi" w:cstheme="majorBidi"/>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Theme="majorHAnsi" w:eastAsiaTheme="majorEastAsia" w:hAnsiTheme="majorHAnsi" w:cstheme="majorBidi"/>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Theme="majorHAnsi" w:eastAsiaTheme="majorEastAsia" w:hAnsiTheme="majorHAnsi" w:cstheme="majorBidi"/>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Theme="majorHAnsi" w:eastAsiaTheme="majorEastAsia" w:hAnsiTheme="majorHAnsi" w:cstheme="majorBidi"/>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customStyle="1"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customStyle="1" w:styleId="InstatsVerdictTrue">
    <w:name w:val="InstatsVerdictTrue"/>
    <w:qFormat/>
    <w:rPr>
      <w:rFonts w:ascii="Inter" w:hAnsi="Inter"/>
      <w:b/>
      <w:color w:val="1F6E47"/>
      <w:sz w:val="18"/>
      <w:shd w:val="clear" w:color="auto" w:fill="E2EEE7"/>
    </w:rPr>
  </w:style>
  <w:style w:type="character" w:customStyle="1" w:styleId="InstatsVerdictMixed">
    <w:name w:val="InstatsVerdictMixed"/>
    <w:qFormat/>
    <w:rPr>
      <w:rFonts w:ascii="Inter" w:hAnsi="Inter"/>
      <w:b/>
      <w:color w:val="8C5A12"/>
      <w:sz w:val="18"/>
      <w:shd w:val="clear" w:color="auto" w:fill="EEDFC2"/>
    </w:rPr>
  </w:style>
  <w:style w:type="character" w:customStyle="1" w:styleId="InstatsVerdictFalse">
    <w:name w:val="InstatsVerdictFalse"/>
    <w:qFormat/>
    <w:rPr>
      <w:rFonts w:ascii="Inter" w:hAnsi="Inter"/>
      <w:b/>
      <w:color w:val="963A2C"/>
      <w:sz w:val="18"/>
      <w:shd w:val="clear" w:color="auto" w:fill="F1D1CC"/>
    </w:rPr>
  </w:style>
  <w:style w:type="character" w:customStyle="1" w:styleId="InstatsVerdictDecomposed">
    <w:name w:val="InstatsVerdictDecomposed"/>
    <w:qFormat/>
    <w:rPr>
      <w:rFonts w:ascii="Inter" w:hAnsi="Inter"/>
      <w:b/>
      <w:color w:val="00547B"/>
      <w:sz w:val="18"/>
      <w:shd w:val="clear" w:color="auto" w:fill="D0E4EB"/>
    </w:rPr>
  </w:style>
  <w:style w:type="character" w:customStyle="1" w:styleId="Hyperlink1">
    <w:name w:val="Hyperlink1"/>
    <w:rPr>
      <w:rFonts w:ascii="Source Serif 4" w:hAnsi="Source Serif 4"/>
      <w:color w:val="3092B1"/>
      <w:u w:val="single"/>
    </w:rPr>
  </w:style>
  <w:style w:type="character" w:customStyle="1" w:styleId="VerbatimChar">
    <w:name w:val="VerbatimChar"/>
    <w:link w:val="SourceCode"/>
    <w:qFormat/>
    <w:rPr>
      <w:rFonts w:ascii="Menlo" w:hAnsi="Menlo"/>
      <w:color w:val="212529"/>
      <w:sz w:val="20"/>
    </w:rPr>
  </w:style>
  <w:style w:type="character" w:customStyle="1" w:styleId="KeywordTok">
    <w:name w:val="KeywordTok"/>
    <w:basedOn w:val="VerbatimChar"/>
    <w:qFormat/>
    <w:rPr>
      <w:rFonts w:ascii="Menlo" w:hAnsi="Menlo"/>
      <w:b/>
      <w:color w:val="007020"/>
      <w:sz w:val="20"/>
    </w:rPr>
  </w:style>
  <w:style w:type="character" w:customStyle="1" w:styleId="DataTypeTok">
    <w:name w:val="DataTypeTok"/>
    <w:basedOn w:val="VerbatimChar"/>
    <w:qFormat/>
    <w:rPr>
      <w:rFonts w:ascii="Menlo" w:hAnsi="Menlo"/>
      <w:color w:val="902000"/>
      <w:sz w:val="20"/>
    </w:rPr>
  </w:style>
  <w:style w:type="character" w:customStyle="1" w:styleId="DecValTok">
    <w:name w:val="DecValTok"/>
    <w:basedOn w:val="VerbatimChar"/>
    <w:qFormat/>
    <w:rPr>
      <w:rFonts w:ascii="Menlo" w:hAnsi="Menlo"/>
      <w:color w:val="40A070"/>
      <w:sz w:val="20"/>
    </w:rPr>
  </w:style>
  <w:style w:type="character" w:customStyle="1" w:styleId="BaseNTok">
    <w:name w:val="BaseNTok"/>
    <w:basedOn w:val="VerbatimChar"/>
    <w:qFormat/>
    <w:rPr>
      <w:rFonts w:ascii="Menlo" w:hAnsi="Menlo"/>
      <w:color w:val="40A070"/>
      <w:sz w:val="20"/>
    </w:rPr>
  </w:style>
  <w:style w:type="character" w:customStyle="1" w:styleId="FloatTok">
    <w:name w:val="FloatTok"/>
    <w:basedOn w:val="VerbatimChar"/>
    <w:qFormat/>
    <w:rPr>
      <w:rFonts w:ascii="Menlo" w:hAnsi="Menlo"/>
      <w:color w:val="40A070"/>
      <w:sz w:val="20"/>
    </w:rPr>
  </w:style>
  <w:style w:type="character" w:customStyle="1" w:styleId="ConstantTok">
    <w:name w:val="ConstantTok"/>
    <w:basedOn w:val="VerbatimChar"/>
    <w:qFormat/>
    <w:rPr>
      <w:rFonts w:ascii="Menlo" w:hAnsi="Menlo"/>
      <w:color w:val="880000"/>
      <w:sz w:val="20"/>
    </w:rPr>
  </w:style>
  <w:style w:type="character" w:customStyle="1" w:styleId="CharTok">
    <w:name w:val="CharTok"/>
    <w:basedOn w:val="VerbatimChar"/>
    <w:qFormat/>
    <w:rPr>
      <w:rFonts w:ascii="Menlo" w:hAnsi="Menlo"/>
      <w:color w:val="4070A0"/>
      <w:sz w:val="20"/>
    </w:rPr>
  </w:style>
  <w:style w:type="character" w:customStyle="1" w:styleId="SpecialCharTok">
    <w:name w:val="SpecialCharTok"/>
    <w:basedOn w:val="VerbatimChar"/>
    <w:qFormat/>
    <w:rPr>
      <w:rFonts w:ascii="Menlo" w:hAnsi="Menlo"/>
      <w:color w:val="4070A0"/>
      <w:sz w:val="20"/>
    </w:rPr>
  </w:style>
  <w:style w:type="character" w:customStyle="1" w:styleId="StringTok">
    <w:name w:val="StringTok"/>
    <w:basedOn w:val="VerbatimChar"/>
    <w:qFormat/>
    <w:rPr>
      <w:rFonts w:ascii="Menlo" w:hAnsi="Menlo"/>
      <w:color w:val="4070A0"/>
      <w:sz w:val="20"/>
    </w:rPr>
  </w:style>
  <w:style w:type="character" w:customStyle="1" w:styleId="VerbatimStringTok">
    <w:name w:val="VerbatimStringTok"/>
    <w:basedOn w:val="VerbatimChar"/>
    <w:qFormat/>
    <w:rPr>
      <w:rFonts w:ascii="Menlo" w:hAnsi="Menlo"/>
      <w:color w:val="4070A0"/>
      <w:sz w:val="20"/>
    </w:rPr>
  </w:style>
  <w:style w:type="character" w:customStyle="1" w:styleId="SpecialStringTok">
    <w:name w:val="SpecialStringTok"/>
    <w:basedOn w:val="VerbatimChar"/>
    <w:qFormat/>
    <w:rPr>
      <w:rFonts w:ascii="Menlo" w:hAnsi="Menlo"/>
      <w:color w:val="BB6688"/>
      <w:sz w:val="20"/>
    </w:rPr>
  </w:style>
  <w:style w:type="character" w:customStyle="1" w:styleId="ImportTok">
    <w:name w:val="ImportTok"/>
    <w:basedOn w:val="VerbatimChar"/>
    <w:qFormat/>
    <w:rPr>
      <w:rFonts w:ascii="Menlo" w:hAnsi="Menlo"/>
      <w:b/>
      <w:color w:val="008000"/>
      <w:sz w:val="20"/>
    </w:rPr>
  </w:style>
  <w:style w:type="character" w:customStyle="1" w:styleId="CommentTok">
    <w:name w:val="CommentTok"/>
    <w:basedOn w:val="VerbatimChar"/>
    <w:qFormat/>
    <w:rPr>
      <w:rFonts w:ascii="Menlo" w:hAnsi="Menlo"/>
      <w:i/>
      <w:color w:val="60A0B0"/>
      <w:sz w:val="20"/>
    </w:rPr>
  </w:style>
  <w:style w:type="character" w:customStyle="1" w:styleId="DocumentationTok">
    <w:name w:val="DocumentationTok"/>
    <w:basedOn w:val="VerbatimChar"/>
    <w:qFormat/>
    <w:rPr>
      <w:rFonts w:ascii="Menlo" w:hAnsi="Menlo"/>
      <w:i/>
      <w:color w:val="BA2121"/>
      <w:sz w:val="20"/>
    </w:rPr>
  </w:style>
  <w:style w:type="character" w:customStyle="1" w:styleId="AnnotationTok">
    <w:name w:val="AnnotationTok"/>
    <w:basedOn w:val="VerbatimChar"/>
    <w:qFormat/>
    <w:rPr>
      <w:rFonts w:ascii="Menlo" w:hAnsi="Menlo"/>
      <w:b/>
      <w:i/>
      <w:color w:val="60A0B0"/>
      <w:sz w:val="20"/>
    </w:rPr>
  </w:style>
  <w:style w:type="character" w:customStyle="1" w:styleId="CommentVarTok">
    <w:name w:val="CommentVarTok"/>
    <w:basedOn w:val="VerbatimChar"/>
    <w:qFormat/>
    <w:rPr>
      <w:rFonts w:ascii="Menlo" w:hAnsi="Menlo"/>
      <w:b/>
      <w:i/>
      <w:color w:val="60A0B0"/>
      <w:sz w:val="20"/>
    </w:rPr>
  </w:style>
  <w:style w:type="character" w:customStyle="1" w:styleId="OtherTok">
    <w:name w:val="OtherTok"/>
    <w:basedOn w:val="VerbatimChar"/>
    <w:qFormat/>
    <w:rPr>
      <w:rFonts w:ascii="Menlo" w:hAnsi="Menlo"/>
      <w:color w:val="007020"/>
      <w:sz w:val="20"/>
    </w:rPr>
  </w:style>
  <w:style w:type="character" w:customStyle="1" w:styleId="FunctionTok">
    <w:name w:val="FunctionTok"/>
    <w:basedOn w:val="VerbatimChar"/>
    <w:qFormat/>
    <w:rPr>
      <w:rFonts w:ascii="Menlo" w:hAnsi="Menlo"/>
      <w:color w:val="06287E"/>
      <w:sz w:val="20"/>
    </w:rPr>
  </w:style>
  <w:style w:type="character" w:customStyle="1" w:styleId="VariableTok">
    <w:name w:val="VariableTok"/>
    <w:basedOn w:val="VerbatimChar"/>
    <w:qFormat/>
    <w:rPr>
      <w:rFonts w:ascii="Menlo" w:hAnsi="Menlo"/>
      <w:color w:val="19177C"/>
      <w:sz w:val="20"/>
    </w:rPr>
  </w:style>
  <w:style w:type="character" w:customStyle="1" w:styleId="ControlFlowTok">
    <w:name w:val="ControlFlowTok"/>
    <w:basedOn w:val="VerbatimChar"/>
    <w:qFormat/>
    <w:rPr>
      <w:rFonts w:ascii="Menlo" w:hAnsi="Menlo"/>
      <w:b/>
      <w:color w:val="007020"/>
      <w:sz w:val="20"/>
    </w:rPr>
  </w:style>
  <w:style w:type="character" w:customStyle="1" w:styleId="OperatorTok">
    <w:name w:val="OperatorTok"/>
    <w:basedOn w:val="VerbatimChar"/>
    <w:qFormat/>
    <w:rPr>
      <w:rFonts w:ascii="Menlo" w:hAnsi="Menlo"/>
      <w:color w:val="666666"/>
      <w:sz w:val="20"/>
    </w:rPr>
  </w:style>
  <w:style w:type="character" w:customStyle="1" w:styleId="BuiltInTok">
    <w:name w:val="BuiltInTok"/>
    <w:basedOn w:val="VerbatimChar"/>
    <w:qFormat/>
    <w:rPr>
      <w:rFonts w:ascii="Menlo" w:hAnsi="Menlo"/>
      <w:color w:val="008000"/>
      <w:sz w:val="20"/>
    </w:rPr>
  </w:style>
  <w:style w:type="character" w:customStyle="1" w:styleId="ExtensionTok">
    <w:name w:val="ExtensionTok"/>
    <w:basedOn w:val="VerbatimChar"/>
    <w:qFormat/>
    <w:rPr>
      <w:rFonts w:ascii="Menlo" w:hAnsi="Menlo"/>
      <w:color w:val="212529"/>
      <w:sz w:val="20"/>
    </w:rPr>
  </w:style>
  <w:style w:type="character" w:customStyle="1" w:styleId="PreprocessorTok">
    <w:name w:val="PreprocessorTok"/>
    <w:basedOn w:val="VerbatimChar"/>
    <w:qFormat/>
    <w:rPr>
      <w:rFonts w:ascii="Menlo" w:hAnsi="Menlo"/>
      <w:color w:val="BC7A00"/>
      <w:sz w:val="20"/>
    </w:rPr>
  </w:style>
  <w:style w:type="character" w:customStyle="1" w:styleId="AttributeTok">
    <w:name w:val="AttributeTok"/>
    <w:basedOn w:val="VerbatimChar"/>
    <w:qFormat/>
    <w:rPr>
      <w:rFonts w:ascii="Menlo" w:hAnsi="Menlo"/>
      <w:color w:val="7D9029"/>
      <w:sz w:val="20"/>
    </w:rPr>
  </w:style>
  <w:style w:type="character" w:customStyle="1" w:styleId="RegionMarkerTok">
    <w:name w:val="RegionMarkerTok"/>
    <w:basedOn w:val="VerbatimChar"/>
    <w:qFormat/>
    <w:rPr>
      <w:rFonts w:ascii="Menlo" w:hAnsi="Menlo"/>
      <w:color w:val="212529"/>
      <w:sz w:val="20"/>
    </w:rPr>
  </w:style>
  <w:style w:type="character" w:customStyle="1" w:styleId="InformationTok">
    <w:name w:val="InformationTok"/>
    <w:basedOn w:val="VerbatimChar"/>
    <w:qFormat/>
    <w:rPr>
      <w:rFonts w:ascii="Menlo" w:hAnsi="Menlo"/>
      <w:b/>
      <w:i/>
      <w:color w:val="60A0B0"/>
      <w:sz w:val="20"/>
    </w:rPr>
  </w:style>
  <w:style w:type="character" w:customStyle="1" w:styleId="WarningTok">
    <w:name w:val="WarningTok"/>
    <w:basedOn w:val="VerbatimChar"/>
    <w:qFormat/>
    <w:rPr>
      <w:rFonts w:ascii="Menlo" w:hAnsi="Menlo"/>
      <w:b/>
      <w:i/>
      <w:color w:val="60A0B0"/>
      <w:sz w:val="20"/>
    </w:rPr>
  </w:style>
  <w:style w:type="character" w:customStyle="1" w:styleId="AlertTok">
    <w:name w:val="AlertTok"/>
    <w:basedOn w:val="VerbatimChar"/>
    <w:qFormat/>
    <w:rPr>
      <w:rFonts w:ascii="Menlo" w:hAnsi="Menlo"/>
      <w:b/>
      <w:color w:val="FF0000"/>
      <w:sz w:val="20"/>
    </w:rPr>
  </w:style>
  <w:style w:type="character" w:customStyle="1" w:styleId="ErrorTok">
    <w:name w:val="ErrorTok"/>
    <w:basedOn w:val="VerbatimChar"/>
    <w:qFormat/>
    <w:rPr>
      <w:rFonts w:ascii="Menlo" w:hAnsi="Menlo"/>
      <w:b/>
      <w:color w:val="FF0000"/>
      <w:sz w:val="20"/>
    </w:rPr>
  </w:style>
  <w:style w:type="character" w:customStyle="1" w:styleId="NormalTok">
    <w:name w:val="NormalTok"/>
    <w:basedOn w:val="VerbatimChar"/>
    <w:qFormat/>
    <w:rPr>
      <w:rFonts w:ascii="Menlo" w:hAnsi="Menlo"/>
      <w:color w:val="212529"/>
      <w:sz w:val="20"/>
    </w:rPr>
  </w:style>
  <w:style w:type="character" w:styleId="EndnoteReference">
    <w:name w:val="endnote reference"/>
    <w:rPr>
      <w:vertAlign w:val="superscript"/>
    </w:rPr>
  </w:style>
  <w:style w:type="character" w:customStyle="1" w:styleId="EndnoteCharacters">
    <w:name w:val="Endnote Characters"/>
    <w:qFormat/>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Inter" w:hAnsi="Inter"/>
      <w:b/>
      <w:bCs/>
      <w:i/>
      <w:color w:val="495057"/>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rFonts w:ascii="Montserrat" w:hAnsi="Montserrat"/>
      <w:sz w:val="32"/>
    </w:rPr>
  </w:style>
  <w:style w:type="paragraph" w:customStyle="1" w:styleId="InstatsCoverTitle">
    <w:name w:val="InstatsCoverTitle"/>
    <w:basedOn w:val="Normal"/>
    <w:qFormat/>
    <w:pPr>
      <w:spacing w:after="120" w:line="264" w:lineRule="auto"/>
    </w:pPr>
    <w:rPr>
      <w:rFonts w:ascii="Montserrat" w:hAnsi="Montserrat"/>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Montserrat" w:hAnsi="Montserrat"/>
    </w:rPr>
  </w:style>
  <w:style w:type="paragraph" w:customStyle="1" w:styleId="InstatsCoverBand">
    <w:name w:val="InstatsCoverBand"/>
    <w:basedOn w:val="Normal"/>
    <w:qFormat/>
    <w:pPr>
      <w:shd w:val="clear" w:color="auto" w:fill="00547B"/>
      <w:spacing w:before="160" w:after="240" w:line="276" w:lineRule="auto"/>
    </w:pPr>
    <w:rPr>
      <w:rFonts w:ascii="Inter" w:hAnsi="Inter"/>
      <w:b/>
      <w:caps/>
      <w:color w:val="FFFFFF"/>
      <w:spacing w:val="18"/>
      <w:sz w:val="18"/>
    </w:rPr>
  </w:style>
  <w:style w:type="paragraph" w:customStyle="1" w:styleId="InstatsKicker">
    <w:name w:val="InstatsKicker"/>
    <w:qFormat/>
    <w:pPr>
      <w:spacing w:before="160" w:after="80" w:line="288" w:lineRule="auto"/>
    </w:pPr>
    <w:rPr>
      <w:rFonts w:ascii="Montserrat" w:eastAsia="MS Mincho" w:hAnsi="Montserrat"/>
      <w:b/>
      <w:caps/>
      <w:color w:val="00547B"/>
      <w:sz w:val="18"/>
    </w:rPr>
  </w:style>
  <w:style w:type="paragraph" w:customStyle="1" w:styleId="InstatsFigKicker">
    <w:name w:val="InstatsFigKicker"/>
    <w:qFormat/>
    <w:pPr>
      <w:spacing w:before="80" w:after="40" w:line="288" w:lineRule="auto"/>
    </w:pPr>
    <w:rPr>
      <w:rFonts w:ascii="Montserrat" w:eastAsia="MS Mincho" w:hAnsi="Montserrat"/>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rFonts w:ascii="Source Serif 4" w:eastAsia="MS Mincho" w:hAnsi="Source Serif 4"/>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rFonts w:ascii="Source Serif 4" w:eastAsia="MS Mincho" w:hAnsi="Source Serif 4"/>
      <w:i/>
      <w:color w:val="212529"/>
      <w:sz w:val="36"/>
    </w:rPr>
  </w:style>
  <w:style w:type="paragraph" w:customStyle="1" w:styleId="InstatsPullquoteCite">
    <w:name w:val="InstatsPullquoteCite"/>
    <w:qFormat/>
    <w:pPr>
      <w:spacing w:before="80" w:after="400" w:line="312" w:lineRule="auto"/>
      <w:ind w:left="567"/>
    </w:pPr>
    <w:rPr>
      <w:rFonts w:ascii="Montserrat" w:eastAsia="MS Mincho" w:hAnsi="Montserrat"/>
      <w:b/>
      <w:color w:val="495057"/>
      <w:sz w:val="18"/>
    </w:rPr>
  </w:style>
  <w:style w:type="paragraph" w:customStyle="1" w:styleId="InstatsMetaLine">
    <w:name w:val="InstatsMetaLine"/>
    <w:qFormat/>
    <w:pPr>
      <w:spacing w:before="80" w:after="120" w:line="336" w:lineRule="auto"/>
    </w:pPr>
    <w:rPr>
      <w:rFonts w:ascii="Inter" w:eastAsia="MS Mincho" w:hAnsi="Inter"/>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Inter" w:hAnsi="Inter"/>
      <w:color w:val="495057"/>
      <w:sz w:val="20"/>
    </w:rPr>
  </w:style>
  <w:style w:type="paragraph" w:customStyle="1" w:styleId="InstatsExecBand">
    <w:name w:val="InstatsExecBand"/>
    <w:basedOn w:val="Normal"/>
    <w:qFormat/>
    <w:pPr>
      <w:shd w:val="clear" w:color="auto" w:fill="F5F5F7"/>
      <w:spacing w:before="80" w:after="200" w:line="372"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rFonts w:ascii="Source Serif 4" w:eastAsia="MS Mincho" w:hAnsi="Source Serif 4"/>
      <w:color w:val="212529"/>
      <w:sz w:val="24"/>
    </w:rPr>
  </w:style>
  <w:style w:type="paragraph" w:customStyle="1" w:styleId="FirstParagraph">
    <w:name w:val="FirstParagraph"/>
    <w:qFormat/>
    <w:pPr>
      <w:spacing w:after="160" w:line="360" w:lineRule="auto"/>
    </w:pPr>
    <w:rPr>
      <w:rFonts w:ascii="Source Serif 4" w:eastAsia="MS Mincho" w:hAnsi="Source Serif 4"/>
      <w:color w:val="212529"/>
      <w:sz w:val="24"/>
    </w:rPr>
  </w:style>
  <w:style w:type="paragraph" w:customStyle="1" w:styleId="BlockText">
    <w:name w:val="BlockText"/>
    <w:qFormat/>
    <w:pPr>
      <w:spacing w:before="160" w:after="160" w:line="360" w:lineRule="auto"/>
    </w:pPr>
    <w:rPr>
      <w:rFonts w:ascii="Source Serif 4" w:eastAsia="MS Mincho" w:hAnsi="Source Serif 4"/>
      <w:i/>
      <w:color w:val="212529"/>
      <w:sz w:val="24"/>
    </w:rPr>
  </w:style>
  <w:style w:type="paragraph" w:customStyle="1" w:styleId="TableText">
    <w:name w:val="TableText"/>
    <w:basedOn w:val="Normal"/>
    <w:qFormat/>
    <w:pPr>
      <w:spacing w:before="40" w:after="40" w:line="278" w:lineRule="auto"/>
    </w:pPr>
    <w:rPr>
      <w:sz w:val="18"/>
    </w:rPr>
  </w:style>
  <w:style w:type="paragraph" w:customStyle="1" w:styleId="FootnoteText1">
    <w:name w:val="Footnote Text1"/>
    <w:pPr>
      <w:spacing w:after="80" w:line="312" w:lineRule="auto"/>
    </w:pPr>
    <w:rPr>
      <w:rFonts w:ascii="Inter" w:eastAsia="MS Mincho" w:hAnsi="Inter"/>
      <w:color w:val="495057"/>
      <w:sz w:val="18"/>
    </w:rPr>
  </w:style>
  <w:style w:type="paragraph" w:customStyle="1" w:styleId="FootnoteText">
    <w:name w:val="FootnoteText"/>
    <w:qFormat/>
    <w:pPr>
      <w:spacing w:after="80" w:line="312" w:lineRule="auto"/>
    </w:pPr>
    <w:rPr>
      <w:rFonts w:ascii="Inter" w:eastAsia="MS Mincho" w:hAnsi="Inter"/>
      <w:color w:val="495057"/>
      <w:sz w:val="18"/>
    </w:rPr>
  </w:style>
  <w:style w:type="paragraph" w:customStyle="1" w:styleId="SourceCode">
    <w:name w:val="Source Code"/>
    <w:basedOn w:val="Normal"/>
    <w:link w:val="VerbatimChar"/>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support@instats.org" TargetMode="External"/><Relationship Id="rId13" Type="http://schemas.openxmlformats.org/officeDocument/2006/relationships/hyperlink" Target="https://mzyphur.github.io/responsible-ai-in-research-training/Instats%20-%20Responsible%20AI%20in%20Academic%20Research.docx" TargetMode="External"/><Relationship Id="rId18" Type="http://schemas.openxmlformats.org/officeDocument/2006/relationships/hyperlink" Target="mailto:support@instats.org"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instats.org/" TargetMode="External"/><Relationship Id="rId12" Type="http://schemas.openxmlformats.org/officeDocument/2006/relationships/hyperlink" Target="https://mzyphur.github.io/responsible-ai-in-research-training/Instats%20-%20Responsible%20AI%20in%20Academic%20Research.pdf" TargetMode="External"/><Relationship Id="rId17" Type="http://schemas.openxmlformats.org/officeDocument/2006/relationships/hyperlink" Target="https://orcid.org/0000-0003-3237-789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scholar.google.com/citations?user=J2VA-RMAAAAJ&amp;hl=en" TargetMode="External"/><Relationship Id="rId20"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zyphur.github.io/responsible-ai-in-research-training/" TargetMode="External"/><Relationship Id="rId24"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3.xml"/><Relationship Id="rId10" Type="http://schemas.openxmlformats.org/officeDocument/2006/relationships/hyperlink" Target="https://orcid.org/0000-0003-3237-7892" TargetMode="External"/><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mzyphur/responsible-ai-in-research-training" TargetMode="External"/><Relationship Id="rId14" Type="http://schemas.openxmlformats.org/officeDocument/2006/relationships/hyperlink" Target="https://github.com/mzyphur/responsible-ai-in-research-training"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80</Pages>
  <Words>19688</Words>
  <Characters>123643</Characters>
  <Application>Microsoft Office Word</Application>
  <DocSecurity>0</DocSecurity>
  <Lines>2377</Lines>
  <Paragraphs>474</Paragraphs>
  <ScaleCrop>false</ScaleCrop>
  <Company/>
  <LinksUpToDate>false</LinksUpToDate>
  <CharactersWithSpaces>142857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Public policy analysis — responsible AI use in research and research training</dc:subject>
  <dc:creator>Michael Zyphur</dc:creator>
  <dc:description/>
  <cp:lastModifiedBy>Michael Zyphur</cp:lastModifiedBy>
  <cp:revision>3</cp:revision>
  <dcterms:created xsi:type="dcterms:W3CDTF">2026-06-30T07:45:00Z</dcterms:created>
  <dcterms:modified xsi:type="dcterms:W3CDTF">2026-06-30T07:45:00Z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