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b0099d9a5ffa4a0bdea957eac68513c9492629b"/>
      <w:r>
        <w:rPr>
          <w:i/>
          <w:iCs/>
        </w:rPr>
        <w:t>A Capability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 This report describes the significant opportunities and problems that agentic generative AI creates for research, setting out a capability framework for research training in the 21st century.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Capability Framework for Research Training.</w:t>
      </w:r>
      <w:r>
        <w:rPr/>
        <w:t xml:space="preserve"> Instats Policy Series, v1.1.2.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capability-framework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capability-framework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surface feature, not as their primary research function. The right question of any such tool is not who wrote the output but whether the use is ethical, valid, reproducible, and transparent. No one treats SPSS output as plagiarism. No one treats a Whisper-transcribed interview as fraudulent so long as the researcher verifies the transcript against the audio. The institutional move to treat AI use as a plagiarism question is a category error driven by surface mimicry rather than underlying function. The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PhD level as a plagiarism issue treats the binding constraint as student conduct rather than the validity, replicability, and ethical defensibility of AI-augmented research itself. Reproducibility, hallucination, validator-use,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7"/>
        </w:numPr>
        <w:ind w:hanging="360" w:start="720" w:end="340"/>
        <w:rPr/>
      </w:pPr>
      <w:r>
        <w:rPr>
          <w:i/>
          <w:iCs/>
        </w:rPr>
        <w:t>Policy alone is not the capability.</w:t>
      </w:r>
      <w:r>
        <w:rPr/>
        <w:t xml:space="preserve"> The most common institutional move in 2026 is to publish a single AI-policy document and treat the problem as closed. The capability sits across four institutional dimensions: the policy itself, the people responsible for enacting it, the systems that support it, and the process by which AI use enters supervision and examination. A policy is one row in the capability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capability framework, a maturity grid for institutional self-diagnosis, and audience-specific recommendations for the five leadership audiences named above.</w:t>
      </w:r>
    </w:p>
    <w:p>
      <w:pPr>
        <w:pStyle w:val="BodyText"/>
        <w:rPr/>
      </w:pPr>
      <w:bookmarkStart w:id="3" w:name="fig%3Atimeline"/>
      <w:r>
        <w:rPr/>
        <w:drawing>
          <wp:inline distT="0" distB="0" distL="0" distR="0">
            <wp:extent cx="5969000" cy="253428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6"/>
                    <a:stretch>
                      <a:fillRect/>
                    </a:stretch>
                  </pic:blipFill>
                  <pic:spPr bwMode="auto">
                    <a:xfrm>
                      <a:off x="0" y="0"/>
                      <a:ext cx="5969000" cy="2534285"/>
                    </a:xfrm>
                    <a:prstGeom prst="rect">
                      <a:avLst/>
                    </a:prstGeom>
                    <a:noFill/>
                  </pic:spPr>
                </pic:pic>
              </a:graphicData>
            </a:graphic>
          </wp:inline>
        </w:drawing>
      </w:r>
      <w:bookmarkEnd w:id="3"/>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Class D universities — the only institutions with AI policies that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4" w:name="contents"/>
      <w:r>
        <w:rPr/>
        <w:t>Contents</w:t>
      </w:r>
    </w:p>
    <w:p>
      <w:pPr>
        <w:pStyle w:val="Heading4"/>
        <w:rPr/>
      </w:pPr>
      <w:hyperlink w:anchor="the-finding">
        <w:bookmarkStart w:id="5" w:name="executive-summary"/>
        <w:r>
          <w:rPr>
            <w:rStyle w:val="Hyperlink"/>
          </w:rPr>
          <w:t>Executive summary</w:t>
        </w:r>
      </w:hyperlink>
      <w:bookmarkEnd w:id="5"/>
    </w:p>
    <w:p>
      <w:pPr>
        <w:pStyle w:val="Heading4"/>
        <w:rPr/>
      </w:pPr>
      <w:hyperlink w:anchor="part-1-the-factual-baseline_1">
        <w:bookmarkStart w:id="6" w:name="part-1-the-factual-baseline"/>
        <w:r>
          <w:rPr>
            <w:rStyle w:val="Hyperlink"/>
          </w:rPr>
          <w:t>Part 1 — The factual baseline</w:t>
        </w:r>
      </w:hyperlink>
    </w:p>
    <w:p>
      <w:pPr>
        <w:pStyle w:val="Compact"/>
        <w:numPr>
          <w:ilvl w:val="0"/>
          <w:numId w:val="7"/>
        </w:numPr>
        <w:rPr/>
      </w:pPr>
      <w:hyperlink w:anchor="Xdf86be2fb4ae6983caa60f753da7a3b7585160b">
        <w:r>
          <w:rPr>
            <w:rStyle w:val="Hyperlink"/>
          </w:rPr>
          <w:t>1.1   The shift in research practice, 2022 to 2026</w:t>
        </w:r>
      </w:hyperlink>
    </w:p>
    <w:p>
      <w:pPr>
        <w:pStyle w:val="Compact"/>
        <w:numPr>
          <w:ilvl w:val="0"/>
          <w:numId w:val="7"/>
        </w:numPr>
        <w:rPr/>
      </w:pPr>
      <w:hyperlink w:anchor="Xef39ab72682dae84cefc71e63937706e29d01f9">
        <w:r>
          <w:rPr>
            <w:rStyle w:val="Hyperlink"/>
          </w:rPr>
          <w:t>1.2   What “responsible AI use” still lacks a definition for</w:t>
        </w:r>
      </w:hyperlink>
    </w:p>
    <w:p>
      <w:pPr>
        <w:pStyle w:val="Compact"/>
        <w:numPr>
          <w:ilvl w:val="0"/>
          <w:numId w:val="7"/>
        </w:numPr>
        <w:rPr/>
      </w:pPr>
      <w:hyperlink w:anchor="X0c4a3566b1b7587cf42a990d8449a1ff81a75dd">
        <w:r>
          <w:rPr>
            <w:rStyle w:val="Hyperlink"/>
          </w:rPr>
          <w:t>1.3   The institutional baseline in 2026</w:t>
        </w:r>
      </w:hyperlink>
      <w:bookmarkEnd w:id="6"/>
    </w:p>
    <w:p>
      <w:pPr>
        <w:pStyle w:val="Heading4"/>
        <w:rPr/>
      </w:pPr>
      <w:hyperlink w:anchor="X4f9d66c4114ab910b08655494b03e6cc2bb0186">
        <w:bookmarkStart w:id="7" w:name="X3bd643d343f2974ee01ac844e0357dfaba13ffe"/>
        <w:r>
          <w:rPr>
            <w:rStyle w:val="Hyperlink"/>
          </w:rPr>
          <w:t>Part 2 — A five-dimension capability framework</w:t>
        </w:r>
      </w:hyperlink>
    </w:p>
    <w:p>
      <w:pPr>
        <w:pStyle w:val="Compact"/>
        <w:numPr>
          <w:ilvl w:val="0"/>
          <w:numId w:val="7"/>
        </w:numPr>
        <w:rPr/>
      </w:pPr>
      <w:hyperlink w:anchor="Xb0410b896ac7ef6a6cbe20afd8440f8e2e34f1c">
        <w:r>
          <w:rPr>
            <w:rStyle w:val="Hyperlink"/>
          </w:rPr>
          <w:t>2.1   Dimension 1 — Human-in-the-loop discipline</w:t>
        </w:r>
      </w:hyperlink>
    </w:p>
    <w:p>
      <w:pPr>
        <w:pStyle w:val="Compact"/>
        <w:numPr>
          <w:ilvl w:val="0"/>
          <w:numId w:val="7"/>
        </w:numPr>
        <w:rPr/>
      </w:pPr>
      <w:hyperlink w:anchor="Xa2978b9e88e006a11ba7c882c810e9185f91c2e">
        <w:r>
          <w:rPr>
            <w:rStyle w:val="Hyperlink"/>
          </w:rPr>
          <w:t>2.2   Dimension 2 — Responsible use in practice</w:t>
        </w:r>
      </w:hyperlink>
    </w:p>
    <w:p>
      <w:pPr>
        <w:pStyle w:val="Compact"/>
        <w:numPr>
          <w:ilvl w:val="0"/>
          <w:numId w:val="7"/>
        </w:numPr>
        <w:rPr/>
      </w:pPr>
      <w:hyperlink w:anchor="Xf03f014728e057244187e34525d77c4ae36f76d">
        <w:r>
          <w:rPr>
            <w:rStyle w:val="Hyperlink"/>
          </w:rPr>
          <w:t>2.3   Dimension 3 — Tooling that promotes responsible use</w:t>
        </w:r>
      </w:hyperlink>
    </w:p>
    <w:p>
      <w:pPr>
        <w:pStyle w:val="Compact"/>
        <w:numPr>
          <w:ilvl w:val="0"/>
          <w:numId w:val="7"/>
        </w:numPr>
        <w:rPr/>
      </w:pPr>
      <w:hyperlink w:anchor="X9022f3b58da7204a1c5a692bcfe77fac557b070">
        <w:r>
          <w:rPr>
            <w:rStyle w:val="Hyperlink"/>
          </w:rPr>
          <w:t>2.4   Dimension 4 — AI-literate humans</w:t>
        </w:r>
      </w:hyperlink>
    </w:p>
    <w:p>
      <w:pPr>
        <w:pStyle w:val="Compact"/>
        <w:numPr>
          <w:ilvl w:val="0"/>
          <w:numId w:val="7"/>
        </w:numPr>
        <w:rPr/>
      </w:pPr>
      <w:hyperlink w:anchor="X5c66220ea38a998fd91f5afd0ef459d3a5d80b4">
        <w:r>
          <w:rPr>
            <w:rStyle w:val="Hyperlink"/>
          </w:rPr>
          <w:t>2.5   Dimension 5 — Institutional benchmarking grid</w:t>
        </w:r>
      </w:hyperlink>
      <w:bookmarkEnd w:id="7"/>
    </w:p>
    <w:p>
      <w:pPr>
        <w:pStyle w:val="Heading4"/>
        <w:rPr/>
      </w:pPr>
      <w:hyperlink w:anchor="Xfaf275e331ed51ebecadb9345be19a0314acfc3">
        <w:bookmarkStart w:id="8" w:name="Xdc77c75a62b621fcf7c8fe71c969742e2e32c4d"/>
        <w:r>
          <w:rPr>
            <w:rStyle w:val="Hyperlink"/>
          </w:rPr>
          <w:t>Part 3 — What the international evidence shows</w:t>
        </w:r>
      </w:hyperlink>
    </w:p>
    <w:p>
      <w:pPr>
        <w:pStyle w:val="Compact"/>
        <w:numPr>
          <w:ilvl w:val="0"/>
          <w:numId w:val="7"/>
        </w:numPr>
        <w:rPr/>
      </w:pPr>
      <w:hyperlink w:anchor="X67362a211dc18a32089bb5a92eae11abc44c983">
        <w:r>
          <w:rPr>
            <w:rStyle w:val="Hyperlink"/>
          </w:rPr>
          <w:t>3.1   National research-funder positions</w:t>
        </w:r>
      </w:hyperlink>
    </w:p>
    <w:p>
      <w:pPr>
        <w:pStyle w:val="Compact"/>
        <w:numPr>
          <w:ilvl w:val="0"/>
          <w:numId w:val="7"/>
        </w:numPr>
        <w:rPr/>
      </w:pPr>
      <w:hyperlink w:anchor="X409e526c0ea6449c8a9fb87a385fab88236ca99">
        <w:r>
          <w:rPr>
            <w:rStyle w:val="Hyperlink"/>
          </w:rPr>
          <w:t>3.2   Top-tier university institutional policies</w:t>
        </w:r>
      </w:hyperlink>
    </w:p>
    <w:p>
      <w:pPr>
        <w:pStyle w:val="Compact"/>
        <w:numPr>
          <w:ilvl w:val="0"/>
          <w:numId w:val="7"/>
        </w:numPr>
        <w:rPr/>
      </w:pPr>
      <w:hyperlink w:anchor="X58df4d38bc63fe6a1527f35cdd611f9af8daefa">
        <w:r>
          <w:rPr>
            <w:rStyle w:val="Hyperlink"/>
          </w:rPr>
          <w:t>3.3   Publisher and journal policies</w:t>
        </w:r>
      </w:hyperlink>
    </w:p>
    <w:p>
      <w:pPr>
        <w:pStyle w:val="Compact"/>
        <w:numPr>
          <w:ilvl w:val="0"/>
          <w:numId w:val="7"/>
        </w:numPr>
        <w:rPr/>
      </w:pPr>
      <w:hyperlink w:anchor="Xe77ed63e1e1dbfa81b73895cfdf812d8aaac6fa">
        <w:r>
          <w:rPr>
            <w:rStyle w:val="Hyperlink"/>
          </w:rPr>
          <w:t>3.4   Existing AI-literacy and researcher-development frameworks</w:t>
        </w:r>
      </w:hyperlink>
      <w:bookmarkEnd w:id="8"/>
    </w:p>
    <w:p>
      <w:pPr>
        <w:pStyle w:val="Heading4"/>
        <w:rPr/>
      </w:pPr>
      <w:hyperlink w:anchor="part-4-the-maturity-grid_1">
        <w:bookmarkStart w:id="9" w:name="part-4-the-maturity-grid"/>
        <w:r>
          <w:rPr>
            <w:rStyle w:val="Hyperlink"/>
          </w:rPr>
          <w:t>Part 4 — The maturity grid</w:t>
        </w:r>
      </w:hyperlink>
    </w:p>
    <w:p>
      <w:pPr>
        <w:pStyle w:val="Compact"/>
        <w:numPr>
          <w:ilvl w:val="0"/>
          <w:numId w:val="7"/>
        </w:numPr>
        <w:rPr/>
      </w:pPr>
      <w:hyperlink w:anchor="Xa2528ffc6271a3b7f8494c7574039782e296ef5">
        <w:r>
          <w:rPr>
            <w:rStyle w:val="Hyperlink"/>
          </w:rPr>
          <w:t>4.1   The five-by-four grid</w:t>
        </w:r>
      </w:hyperlink>
    </w:p>
    <w:p>
      <w:pPr>
        <w:pStyle w:val="Compact"/>
        <w:numPr>
          <w:ilvl w:val="0"/>
          <w:numId w:val="7"/>
        </w:numPr>
        <w:rPr/>
      </w:pPr>
      <w:hyperlink w:anchor="X2d830cf8cc8d1f050bc7fd5f5026d8fb6f7586e">
        <w:r>
          <w:rPr>
            <w:rStyle w:val="Hyperlink"/>
          </w:rPr>
          <w:t>4.2   What “ready” looks like by dimension</w:t>
        </w:r>
      </w:hyperlink>
    </w:p>
    <w:p>
      <w:pPr>
        <w:pStyle w:val="Compact"/>
        <w:numPr>
          <w:ilvl w:val="0"/>
          <w:numId w:val="7"/>
        </w:numPr>
        <w:rPr/>
      </w:pPr>
      <w:hyperlink w:anchor="X36abbbf7fa7a3c3143910f28c5505844b7e0b4f">
        <w:r>
          <w:rPr>
            <w:rStyle w:val="Hyperlink"/>
          </w:rPr>
          <w:t>4.3   Worked institutional examples</w:t>
        </w:r>
      </w:hyperlink>
      <w:bookmarkEnd w:id="9"/>
    </w:p>
    <w:p>
      <w:pPr>
        <w:pStyle w:val="Heading4"/>
        <w:rPr/>
      </w:pPr>
      <w:hyperlink w:anchor="Xa1dfcb691ac0c1297bce0e5e7c4e1d6d6dc6ae7">
        <w:bookmarkStart w:id="10" w:name="Xade74cb8c91f1bbf3902d8c6c15257bafa8604c"/>
        <w:r>
          <w:rPr>
            <w:rStyle w:val="Hyperlink"/>
          </w:rPr>
          <w:t>Part 5 — Recommendations for university research leadership</w:t>
        </w:r>
      </w:hyperlink>
    </w:p>
    <w:p>
      <w:pPr>
        <w:pStyle w:val="Compact"/>
        <w:numPr>
          <w:ilvl w:val="0"/>
          <w:numId w:val="7"/>
        </w:numPr>
        <w:rPr/>
      </w:pPr>
      <w:hyperlink w:anchor="X637bbf0db3ca7ba96c0636057322e2f0dd6c2b8">
        <w:r>
          <w:rPr>
            <w:rStyle w:val="Hyperlink"/>
          </w:rPr>
          <w:t>5.1   For executive research leadership</w:t>
        </w:r>
      </w:hyperlink>
    </w:p>
    <w:p>
      <w:pPr>
        <w:pStyle w:val="Compact"/>
        <w:numPr>
          <w:ilvl w:val="0"/>
          <w:numId w:val="7"/>
        </w:numPr>
        <w:rPr/>
      </w:pPr>
      <w:hyperlink w:anchor="X4df49f9c2fdee26b5106621f4e6bae7f77c10a2">
        <w:r>
          <w:rPr>
            <w:rStyle w:val="Hyperlink"/>
          </w:rPr>
          <w:t>5.2   For faculty deans and associate deans of research</w:t>
        </w:r>
      </w:hyperlink>
    </w:p>
    <w:p>
      <w:pPr>
        <w:pStyle w:val="Compact"/>
        <w:numPr>
          <w:ilvl w:val="0"/>
          <w:numId w:val="7"/>
        </w:numPr>
        <w:rPr/>
      </w:pPr>
      <w:hyperlink w:anchor="X01a7ced067d8590f8de445e51dcb8ba28790c83">
        <w:r>
          <w:rPr>
            <w:rStyle w:val="Hyperlink"/>
          </w:rPr>
          <w:t>5.3   For deans of graduate schools and A/Deans of research training</w:t>
        </w:r>
      </w:hyperlink>
    </w:p>
    <w:p>
      <w:pPr>
        <w:pStyle w:val="Compact"/>
        <w:numPr>
          <w:ilvl w:val="0"/>
          <w:numId w:val="7"/>
        </w:numPr>
        <w:rPr/>
      </w:pPr>
      <w:hyperlink w:anchor="Xaf1c59110ac2d2b00da69a4f26feb31fdf6efc6">
        <w:r>
          <w:rPr>
            <w:rStyle w:val="Hyperlink"/>
          </w:rPr>
          <w:t>5.4   For higher-degrees committees and research-integrity committees</w:t>
        </w:r>
      </w:hyperlink>
    </w:p>
    <w:p>
      <w:pPr>
        <w:pStyle w:val="Compact"/>
        <w:numPr>
          <w:ilvl w:val="0"/>
          <w:numId w:val="7"/>
        </w:numPr>
        <w:rPr/>
      </w:pPr>
      <w:hyperlink w:anchor="X3344b8117abe35e69dffb3d8223ef8b3371967a">
        <w:r>
          <w:rPr>
            <w:rStyle w:val="Hyperlink"/>
          </w:rPr>
          <w:t>5.5   For peak bodies for graduate students</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X58efa211c38677f6721adc2049a1ec624e0c3e5">
        <w:bookmarkStart w:id="12" w:name="Xacafc5f6c5affb2bcbe0c710c92c025823d84b1"/>
        <w:r>
          <w:rPr>
            <w:rStyle w:val="Hyperlink"/>
          </w:rPr>
          <w:t>Appendix A — The maturity grid, full version</w:t>
        </w:r>
      </w:hyperlink>
      <w:bookmarkEnd w:id="12"/>
    </w:p>
    <w:p>
      <w:pPr>
        <w:pStyle w:val="Heading4"/>
        <w:rPr/>
      </w:pPr>
      <w:hyperlink w:anchor="X30a15aa0718d80bdea4e1d3776a0ba9becb19b9">
        <w:bookmarkStart w:id="13" w:name="Xa4fff6b6df5f7a3b09445c229bc4b09ed80ee37"/>
        <w:r>
          <w:rPr>
            <w:rStyle w:val="Hyperlink"/>
          </w:rPr>
          <w:t>Appendix B — Country and institutional dossiers</w:t>
        </w:r>
      </w:hyperlink>
      <w:bookmarkEnd w:id="13"/>
    </w:p>
    <w:p>
      <w:pPr>
        <w:pStyle w:val="Heading4"/>
        <w:rPr/>
      </w:pPr>
      <w:hyperlink w:anchor="appendix-c-glossary-of-ai-tool-classes_1">
        <w:bookmarkStart w:id="14" w:name="appendix-c-glossary-of-ai-tool-classes"/>
        <w:r>
          <w:rPr>
            <w:rStyle w:val="Hyperlink"/>
          </w:rPr>
          <w:t>Appendix C — Glossary of AI tool classes</w:t>
        </w:r>
      </w:hyperlink>
      <w:bookmarkEnd w:id="14"/>
    </w:p>
    <w:p>
      <w:pPr>
        <w:pStyle w:val="Heading4"/>
        <w:rPr/>
      </w:pPr>
      <w:hyperlink w:anchor="appendix-d-about-this-report_1">
        <w:bookmarkStart w:id="15" w:name="appendix-d-about-this-report"/>
        <w:r>
          <w:rPr>
            <w:rStyle w:val="Hyperlink"/>
          </w:rPr>
          <w:t>Appendix D — About this report</w:t>
        </w:r>
      </w:hyperlink>
      <w:bookmarkEnd w:id="15"/>
    </w:p>
    <w:p>
      <w:pPr>
        <w:pStyle w:val="Heading4"/>
        <w:rPr/>
      </w:pPr>
      <w:hyperlink w:anchor="appendix-e-sources_1">
        <w:bookmarkStart w:id="16" w:name="appendix-e-sources"/>
        <w:r>
          <w:rPr>
            <w:rStyle w:val="Hyperlink"/>
          </w:rPr>
          <w:t>Appendix E — Sources</w:t>
        </w:r>
      </w:hyperlink>
      <w:bookmarkEnd w:id="16"/>
    </w:p>
    <w:p>
      <w:pPr>
        <w:pStyle w:val="Heading4"/>
        <w:rPr/>
      </w:pPr>
      <w:hyperlink w:anchor="appendix-f-regional-adaptation-note_1">
        <w:bookmarkStart w:id="17" w:name="appendix-f-regional-adaptation-note"/>
        <w:r>
          <w:rPr>
            <w:rStyle w:val="Hyperlink"/>
          </w:rPr>
          <w:t>Appendix F — Regional-adaptation note</w:t>
        </w:r>
      </w:hyperlink>
      <w:bookmarkEnd w:id="17"/>
    </w:p>
    <w:p>
      <w:pPr>
        <w:pStyle w:val="Heading4"/>
        <w:rPr/>
      </w:pPr>
      <w:hyperlink w:anchor="Xbed8346cde3d6a4651c2d5c0a174b243c58d415">
        <w:bookmarkStart w:id="18"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part-1-the-factual-baseline-1"/>
      <w:r>
        <w:rPr/>
        <w:t>Part 1 — The factual baseline</w:t>
      </w:r>
    </w:p>
    <w:p>
      <w:pPr>
        <w:pStyle w:val="Heading3"/>
        <w:rPr/>
      </w:pPr>
      <w:bookmarkStart w:id="20"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20"/>
    </w:p>
    <w:p>
      <w:pPr>
        <w:pStyle w:val="Heading3"/>
        <w:rPr/>
      </w:pPr>
      <w:bookmarkStart w:id="21"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capability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bookmarkEnd w:id="21"/>
    </w:p>
    <w:p>
      <w:pPr>
        <w:pStyle w:val="Heading3"/>
        <w:rPr/>
      </w:pPr>
      <w:bookmarkStart w:id="22"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capability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capabilities reachable for institutions at any starting class.</w:t>
      </w:r>
    </w:p>
    <w:p>
      <w:pPr>
        <w:pStyle w:val="Normal"/>
        <w:rPr/>
      </w:pPr>
      <w:r>
        <w:rPr/>
        <mc:AlternateContent>
          <mc:Choice Requires="wps">
            <w:drawing>
              <wp:inline distT="0" distB="0" distL="0" distR="0">
                <wp:extent cx="597281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2"/>
    </w:p>
    <w:p>
      <w:pPr>
        <w:pStyle w:val="Heading2"/>
        <w:rPr/>
      </w:pPr>
      <w:bookmarkStart w:id="23" w:name="X9ebc4f84bbc00a46a110ccc18a9acd7ffb35c1e"/>
      <w:r>
        <w:rPr/>
        <w:t>Part 2 — A five-dimension capability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4"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4"/>
    </w:p>
    <w:p>
      <w:pPr>
        <w:pStyle w:val="Heading3"/>
        <w:rPr/>
      </w:pPr>
      <w:bookmarkStart w:id="25"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capability-framework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capability-framework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7"/>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5"/>
    </w:p>
    <w:p>
      <w:pPr>
        <w:pStyle w:val="Heading3"/>
        <w:rPr/>
      </w:pPr>
      <w:bookmarkStart w:id="26"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capability.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6"/>
    </w:p>
    <w:p>
      <w:pPr>
        <w:pStyle w:val="Heading3"/>
        <w:rPr/>
      </w:pPr>
      <w:bookmarkStart w:id="27"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capability-framework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brings the foundation for AI-augmented research: reproducibility, validity, and scepticism; the AI-era competencies extend that foundation.</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7"/>
    </w:p>
    <w:p>
      <w:pPr>
        <w:pStyle w:val="Heading3"/>
        <w:rPr/>
      </w:pPr>
      <w:bookmarkStart w:id="28"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capability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3"/>
      <w:bookmarkEnd w:id="28"/>
    </w:p>
    <w:p>
      <w:pPr>
        <w:pStyle w:val="Heading2"/>
        <w:rPr/>
      </w:pPr>
      <w:bookmarkStart w:id="29"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capability-framework literature. They are sequenced by regulatory weight in the audience’s institutional environment: funders set the terms of grant-funded research; institutions set the terms of doctoral training; publishers set the terms of output dissemination; the capability-framework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capability-framework literature is mature for K-12 and general undergraduate audiences but did not, in 2025-2026, populate the research-training-native PhD curriculum the report’s Dimension 4 has now articulated.</w:t>
      </w:r>
    </w:p>
    <w:p>
      <w:pPr>
        <w:pStyle w:val="Heading3"/>
        <w:rPr/>
      </w:pPr>
      <w:bookmarkStart w:id="30"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universities need to close.</w:t>
      </w:r>
      <w:bookmarkEnd w:id="30"/>
    </w:p>
    <w:p>
      <w:pPr>
        <w:pStyle w:val="Heading3"/>
        <w:rPr/>
      </w:pPr>
      <w:bookmarkStart w:id="31"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1"/>
    </w:p>
    <w:p>
      <w:pPr>
        <w:pStyle w:val="Heading3"/>
        <w:rPr/>
      </w:pPr>
      <w:bookmarkStart w:id="32"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2"/>
    </w:p>
    <w:p>
      <w:pPr>
        <w:pStyle w:val="Heading3"/>
        <w:rPr/>
      </w:pPr>
      <w:bookmarkStart w:id="33" w:name="Xca4da2d26c3d4406d6d5f02dafc313a2e0f1372"/>
      <w:r>
        <w:rPr/>
        <w:t>3.4 Existing AI-literacy and researcher-development frameworks</w:t>
      </w:r>
    </w:p>
    <w:p>
      <w:pPr>
        <w:pStyle w:val="FirstParagraph"/>
        <w:rPr/>
      </w:pPr>
      <w:r>
        <w:rPr/>
        <w:t>The existing capability-framework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capability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9"/>
      <w:bookmarkEnd w:id="33"/>
    </w:p>
    <w:p>
      <w:pPr>
        <w:pStyle w:val="Heading2"/>
        <w:rPr/>
      </w:pPr>
      <w:bookmarkStart w:id="34"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58efa211c38677f6721adc2049a1ec624e0c3e5">
        <w:r>
          <w:rPr>
            <w:rStyle w:val="Hyperlink"/>
          </w:rPr>
          <w:t>Appendix A</w:t>
        </w:r>
      </w:hyperlink>
      <w:r>
        <w:rPr/>
        <w:t>; the explanation that makes it memorable is in §4.2; worked institutional examples are in §4.3.</w:t>
      </w:r>
    </w:p>
    <w:p>
      <w:pPr>
        <w:pStyle w:val="Heading3"/>
        <w:rPr/>
      </w:pPr>
      <w:bookmarkStart w:id="35"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5"/>
    </w:p>
    <w:p>
      <w:pPr>
        <w:pStyle w:val="Heading3"/>
        <w:rPr/>
      </w:pPr>
      <w:bookmarkStart w:id="36"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6"/>
    </w:p>
    <w:p>
      <w:pPr>
        <w:pStyle w:val="Heading3"/>
        <w:rPr/>
      </w:pPr>
      <w:bookmarkStart w:id="37"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capability: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4"/>
      <w:bookmarkEnd w:id="37"/>
    </w:p>
    <w:p>
      <w:pPr>
        <w:pStyle w:val="Heading2"/>
        <w:rPr/>
      </w:pPr>
      <w:bookmarkStart w:id="38"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9"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9"/>
    </w:p>
    <w:p>
      <w:pPr>
        <w:pStyle w:val="Heading3"/>
        <w:rPr/>
      </w:pPr>
      <w:bookmarkStart w:id="40"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40"/>
    </w:p>
    <w:p>
      <w:pPr>
        <w:pStyle w:val="Heading3"/>
        <w:rPr/>
      </w:pPr>
      <w:bookmarkStart w:id="41"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1"/>
    </w:p>
    <w:p>
      <w:pPr>
        <w:pStyle w:val="Heading3"/>
        <w:rPr/>
      </w:pPr>
      <w:bookmarkStart w:id="42"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2"/>
    </w:p>
    <w:p>
      <w:pPr>
        <w:pStyle w:val="Heading3"/>
        <w:rPr/>
      </w:pPr>
      <w:bookmarkStart w:id="43"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8"/>
      <w:bookmarkEnd w:id="43"/>
    </w:p>
    <w:p>
      <w:pPr>
        <w:pStyle w:val="Heading2"/>
        <w:rPr/>
      </w:pPr>
      <w:bookmarkStart w:id="44" w:name="conclusion-1"/>
      <w:r>
        <w:rPr/>
        <w:t>Conclusion</w:t>
      </w:r>
    </w:p>
    <w:p>
      <w:pPr>
        <w:pStyle w:val="FirstParagraph"/>
        <w:rPr/>
      </w:pPr>
      <w:r>
        <w:rPr/>
        <w:t>The world’s major academic publishers acted in ten weeks. National research funders have acted, unevenly, over three years. International capability-framework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4"/>
    </w:p>
    <w:p>
      <w:pPr>
        <w:pStyle w:val="Heading2"/>
        <w:rPr/>
      </w:pPr>
      <w:bookmarkStart w:id="45"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PhD level, and how would a university know whether it is doing it well.</w:t>
      </w:r>
      <w:bookmarkEnd w:id="45"/>
    </w:p>
    <w:p>
      <w:pPr>
        <w:pStyle w:val="Heading2"/>
        <w:rPr/>
      </w:pPr>
      <w:bookmarkStart w:id="46"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capability at scale; the framework’s Dimension 5 maturity grid is where they can self-diagnose against that pattern.</w:t>
      </w:r>
      <w:bookmarkEnd w:id="46"/>
    </w:p>
    <w:p>
      <w:pPr>
        <w:pStyle w:val="Heading2"/>
        <w:rPr/>
      </w:pPr>
      <w:bookmarkStart w:id="47"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_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7"/>
    </w:p>
    <w:p>
      <w:pPr>
        <w:pStyle w:val="Heading2"/>
        <w:rPr/>
      </w:pPr>
      <w:bookmarkStart w:id="48" w:name="appendix-d-about-this-report-1"/>
      <w:r>
        <w:rPr/>
        <w:t>Appendix D — About this report</w:t>
      </w:r>
    </w:p>
    <w:p>
      <w:pPr>
        <w:pStyle w:val="FirstParagraph"/>
        <w:rPr/>
      </w:pPr>
      <w:r>
        <w:rPr>
          <w:b/>
          <w:bCs/>
        </w:rPr>
        <w:t>Author and contact.</w:t>
      </w:r>
      <w:r>
        <w:rPr/>
        <w:t xml:space="preserve"> Michael J. Zyphur, PhD (Instats; ORCID 0000-0003-3237-7892; support@instats.org).</w:t>
      </w:r>
    </w:p>
    <w:p>
      <w:pPr>
        <w:pStyle w:val="BodyText"/>
        <w:rPr/>
      </w:pPr>
      <w:r>
        <w:rPr>
          <w:b/>
          <w:bCs/>
        </w:rPr>
        <w:t>Scope.</w:t>
      </w:r>
      <w:r>
        <w:rPr/>
        <w:t xml:space="preserve"> This is the global view in a planned regional series. The capability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capability-framework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capability frameworks; publisher and journal policies; AI tool taxonomy; privacy and governance frameworks; reproducibility-crisis intersection; adversarial-review patterns.</w:t>
      </w:r>
    </w:p>
    <w:p>
      <w:pPr>
        <w:pStyle w:val="BodyText"/>
        <w:rPr/>
      </w:pPr>
      <w:r>
        <w:rPr>
          <w:b/>
          <w:bCs/>
        </w:rPr>
        <w:t>AI assistance disclosure.</w:t>
      </w:r>
      <w:r>
        <w:rPr/>
        <w:t xml:space="preserve"> This report was drafted with assistance from large language models for evidence synthesis, structural review, and copy editing. The lead author retains responsibility for every factual claim, institutional classification, numerical finding, and framework decision, and verified each load-bearing claim against the primary sources before publication.</w:t>
      </w:r>
    </w:p>
    <w:p>
      <w:pPr>
        <w:pStyle w:val="BodyText"/>
        <w:rPr/>
      </w:pPr>
      <w:r>
        <w:rPr>
          <w:b/>
          <w:bCs/>
        </w:rPr>
        <w:t>Conflict-of-interest disclosure.</w:t>
      </w:r>
      <w:r>
        <w:rPr/>
        <w:t xml:space="preserve"> The author has no paid relationships with any of the institutions in the report’s institutional sample (Appendix B).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8"/>
    </w:p>
    <w:p>
      <w:pPr>
        <w:pStyle w:val="Heading2"/>
        <w:rPr/>
      </w:pPr>
      <w:bookmarkStart w:id="49"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research/dossier_03_capability_frameworks.md</w:t>
      </w:r>
      <w:r>
        <w:rPr/>
        <w:t xml:space="preserve"> — thirteen capability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9"/>
    </w:p>
    <w:p>
      <w:pPr>
        <w:pStyle w:val="Heading2"/>
        <w:rPr/>
      </w:pPr>
      <w:bookmarkStart w:id="50"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50"/>
    </w:p>
    <w:p>
      <w:pPr>
        <w:pStyle w:val="Heading2"/>
        <w:rPr/>
      </w:pPr>
      <w:bookmarkStart w:id="51"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capability the framework specifies is the act of articulating the taxonomy, not the specific entries.</w:t>
      </w:r>
      <w:bookmarkEnd w:id="51"/>
    </w:p>
    <w:p>
      <w:pPr>
        <w:pStyle w:val="Heading2"/>
        <w:keepNext w:val="true"/>
        <w:keepLines/>
        <w:spacing w:lineRule="auto" w:line="288" w:before="360" w:after="120"/>
        <w:rPr/>
      </w:pPr>
      <w:bookmarkStart w:id="52" w:name="sources-and-footnotes"/>
      <w:r>
        <w:rPr/>
        <w:t>Sources and footnotes</w:t>
      </w:r>
      <w:bookmarkEnd w:id="4"/>
      <w:bookmarkEnd w:id="52"/>
    </w:p>
    <w:sectPr>
      <w:headerReference w:type="even" r:id="rId7"/>
      <w:headerReference w:type="default" r:id="rId8"/>
      <w:headerReference w:type="first" r:id="rId9"/>
      <w:footerReference w:type="even" r:id="rId10"/>
      <w:footerReference w:type="default" r:id="rId11"/>
      <w:footerReference w:type="first" r:id="rId12"/>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capability-frameworks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research/dossier_03_capability_frameworks.md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capability-frameworks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capability-frameworks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capability-frameworks dossier covering UNESCO AI...</w:t>
      </w:r>
    </w:p>
  </w:footnote>
  <w:footnote w:id="73">
    <w:p>
      <w:r>
        <w:t xml:space="preserve">Repeated source: Synthesised across the thirteen-entry capability-frameworks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 (v1.1.2)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notes" Target="footnotes.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2026-05-19T03:24:56Z</dcterms:created>
  <dc:creator/>
  <dc:description/>
  <dc:language>en-AU</dc:language>
  <cp:lastModifiedBy/>
  <dcterms:modified xsi:type="dcterms:W3CDTF">2026-05-19T03:24:56Z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file>