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1">
        <w:bookmarkStart w:id="5" w:name="part-1-the-factual-baseline"/>
        <w:r>
          <w:rPr>
            <w:rStyle w:val="Hyperlink"/>
          </w:rPr>
          <w:t>Part 1 — The factual baseline</w:t>
        </w:r>
      </w:hyperlink>
    </w:p>
    <w:p>
      <w:pPr>
        <w:pStyle w:val="Compact"/>
        <w:numPr>
          <w:ilvl w:val="0"/>
          <w:numId w:val="7"/>
        </w:numPr>
        <w:rPr/>
      </w:pPr>
      <w:hyperlink w:anchor="X25f912980d44fa8a235942a34c9340eb32a665f">
        <w:r>
          <w:rPr>
            <w:rStyle w:val="Hyperlink"/>
          </w:rPr>
          <w:t>1.1   The shift in research practice, 2022 to 2026</w:t>
        </w:r>
      </w:hyperlink>
    </w:p>
    <w:p>
      <w:pPr>
        <w:pStyle w:val="Compact"/>
        <w:numPr>
          <w:ilvl w:val="0"/>
          <w:numId w:val="7"/>
        </w:numPr>
        <w:rPr/>
      </w:pPr>
      <w:hyperlink w:anchor="X249cd8f8d3611a5f7cf9a267ae9e027e6df62ea">
        <w:r>
          <w:rPr>
            <w:rStyle w:val="Hyperlink"/>
          </w:rPr>
          <w:t>1.2   What “responsible AI use” still lacks a definition for</w:t>
        </w:r>
      </w:hyperlink>
    </w:p>
    <w:p>
      <w:pPr>
        <w:pStyle w:val="Compact"/>
        <w:numPr>
          <w:ilvl w:val="0"/>
          <w:numId w:val="7"/>
        </w:numPr>
        <w:rPr/>
      </w:pPr>
      <w:hyperlink w:anchor="the-institutional-baseline-in-2026">
        <w:r>
          <w:rPr>
            <w:rStyle w:val="Hyperlink"/>
          </w:rPr>
          <w:t>1.3   The institutional baseline in 2026</w:t>
        </w:r>
      </w:hyperlink>
      <w:bookmarkEnd w:id="5"/>
    </w:p>
    <w:p>
      <w:pPr>
        <w:pStyle w:val="Heading4"/>
        <w:rPr/>
      </w:pPr>
      <w:hyperlink w:anchor="X5539dbe61e1486b6995668c51a0ef1c8e045a94">
        <w:bookmarkStart w:id="6" w:name="X50b37e5fe9ce7efff6f54829b1659bce63095d4"/>
        <w:r>
          <w:rPr>
            <w:rStyle w:val="Hyperlink"/>
          </w:rPr>
          <w:t>Part 2 — A five-dimension competency framework</w:t>
        </w:r>
      </w:hyperlink>
    </w:p>
    <w:p>
      <w:pPr>
        <w:pStyle w:val="Compact"/>
        <w:numPr>
          <w:ilvl w:val="0"/>
          <w:numId w:val="7"/>
        </w:numPr>
        <w:rPr/>
      </w:pPr>
      <w:hyperlink w:anchor="dimension-1-human-in-the-loop-discipline">
        <w:r>
          <w:rPr>
            <w:rStyle w:val="Hyperlink"/>
          </w:rPr>
          <w:t>2.1   Dimension 1 — Human-in-the-loop discipline</w:t>
        </w:r>
      </w:hyperlink>
    </w:p>
    <w:p>
      <w:pPr>
        <w:pStyle w:val="Compact"/>
        <w:numPr>
          <w:ilvl w:val="0"/>
          <w:numId w:val="7"/>
        </w:numPr>
        <w:rPr/>
      </w:pPr>
      <w:hyperlink w:anchor="dimension-2-responsible-use-in-practice">
        <w:r>
          <w:rPr>
            <w:rStyle w:val="Hyperlink"/>
          </w:rPr>
          <w:t>2.2   Dimension 2 — Responsible use in practice</w:t>
        </w:r>
      </w:hyperlink>
    </w:p>
    <w:p>
      <w:pPr>
        <w:pStyle w:val="Compact"/>
        <w:numPr>
          <w:ilvl w:val="0"/>
          <w:numId w:val="7"/>
        </w:numPr>
        <w:rPr/>
      </w:pPr>
      <w:hyperlink w:anchor="X805c1c6013402fdf28df478a2e33eeb31711dbe">
        <w:r>
          <w:rPr>
            <w:rStyle w:val="Hyperlink"/>
          </w:rPr>
          <w:t>2.3   Dimension 3 — Tooling that promotes responsible use</w:t>
        </w:r>
      </w:hyperlink>
    </w:p>
    <w:p>
      <w:pPr>
        <w:pStyle w:val="Compact"/>
        <w:numPr>
          <w:ilvl w:val="0"/>
          <w:numId w:val="7"/>
        </w:numPr>
        <w:rPr/>
      </w:pPr>
      <w:hyperlink w:anchor="dimension-4-ai-literate-humans">
        <w:r>
          <w:rPr>
            <w:rStyle w:val="Hyperlink"/>
          </w:rPr>
          <w:t>2.4   Dimension 4 — AI-literate humans</w:t>
        </w:r>
      </w:hyperlink>
    </w:p>
    <w:p>
      <w:pPr>
        <w:pStyle w:val="Compact"/>
        <w:numPr>
          <w:ilvl w:val="0"/>
          <w:numId w:val="7"/>
        </w:numPr>
        <w:rPr/>
      </w:pPr>
      <w:hyperlink w:anchor="X04c51b46a89726e63cb47cb909f3f41f147c501">
        <w:r>
          <w:rPr>
            <w:rStyle w:val="Hyperlink"/>
          </w:rPr>
          <w:t>2.5   Dimension 5 — Institutional benchmarking grid</w:t>
        </w:r>
      </w:hyperlink>
      <w:bookmarkEnd w:id="6"/>
    </w:p>
    <w:p>
      <w:pPr>
        <w:pStyle w:val="Heading4"/>
        <w:rPr/>
      </w:pPr>
      <w:hyperlink w:anchor="Xd1a73a0edba9ddda1e0d20cf1ed0ad021cf16f3">
        <w:bookmarkStart w:id="7" w:name="Xdc77c75a62b621fcf7c8fe71c969742e2e32c4d"/>
        <w:r>
          <w:rPr>
            <w:rStyle w:val="Hyperlink"/>
          </w:rPr>
          <w:t>Part 3 — What the international evidence shows</w:t>
        </w:r>
      </w:hyperlink>
    </w:p>
    <w:p>
      <w:pPr>
        <w:pStyle w:val="Compact"/>
        <w:numPr>
          <w:ilvl w:val="0"/>
          <w:numId w:val="7"/>
        </w:numPr>
        <w:rPr/>
      </w:pPr>
      <w:hyperlink w:anchor="national-research-funder-positions">
        <w:r>
          <w:rPr>
            <w:rStyle w:val="Hyperlink"/>
          </w:rPr>
          <w:t>3.1   National research-funder positions</w:t>
        </w:r>
      </w:hyperlink>
    </w:p>
    <w:p>
      <w:pPr>
        <w:pStyle w:val="Compact"/>
        <w:numPr>
          <w:ilvl w:val="0"/>
          <w:numId w:val="7"/>
        </w:numPr>
        <w:rPr/>
      </w:pPr>
      <w:hyperlink w:anchor="X02ed1aa3513dc0bebac80dd57b4494edf619a91">
        <w:r>
          <w:rPr>
            <w:rStyle w:val="Hyperlink"/>
          </w:rPr>
          <w:t>3.2   Top-tier university institutional policies</w:t>
        </w:r>
      </w:hyperlink>
    </w:p>
    <w:p>
      <w:pPr>
        <w:pStyle w:val="Compact"/>
        <w:numPr>
          <w:ilvl w:val="0"/>
          <w:numId w:val="7"/>
        </w:numPr>
        <w:rPr/>
      </w:pPr>
      <w:hyperlink w:anchor="publisher-and-journal-policies">
        <w:r>
          <w:rPr>
            <w:rStyle w:val="Hyperlink"/>
          </w:rPr>
          <w:t>3.3   Publisher and journal policies</w:t>
        </w:r>
      </w:hyperlink>
    </w:p>
    <w:p>
      <w:pPr>
        <w:pStyle w:val="Compact"/>
        <w:numPr>
          <w:ilvl w:val="0"/>
          <w:numId w:val="7"/>
        </w:numPr>
        <w:rPr/>
      </w:pPr>
      <w:hyperlink w:anchor="Xca4da2d26c3d4406d6d5f02dafc313a2e0f1372">
        <w:r>
          <w:rPr>
            <w:rStyle w:val="Hyperlink"/>
          </w:rPr>
          <w:t>3.4   Existing AI-literacy and researcher-development frameworks</w:t>
        </w:r>
      </w:hyperlink>
      <w:bookmarkEnd w:id="7"/>
    </w:p>
    <w:p>
      <w:pPr>
        <w:pStyle w:val="Heading4"/>
        <w:rPr/>
      </w:pPr>
      <w:hyperlink w:anchor="part-4-the-maturity-grid-1">
        <w:bookmarkStart w:id="8" w:name="part-4-the-maturity-grid"/>
        <w:r>
          <w:rPr>
            <w:rStyle w:val="Hyperlink"/>
          </w:rPr>
          <w:t>Part 4 — The maturity grid</w:t>
        </w:r>
      </w:hyperlink>
    </w:p>
    <w:p>
      <w:pPr>
        <w:pStyle w:val="Compact"/>
        <w:numPr>
          <w:ilvl w:val="0"/>
          <w:numId w:val="7"/>
        </w:numPr>
        <w:rPr/>
      </w:pPr>
      <w:hyperlink w:anchor="the-five-by-four-grid">
        <w:r>
          <w:rPr>
            <w:rStyle w:val="Hyperlink"/>
          </w:rPr>
          <w:t>4.1   The five-by-four grid</w:t>
        </w:r>
      </w:hyperlink>
    </w:p>
    <w:p>
      <w:pPr>
        <w:pStyle w:val="Compact"/>
        <w:numPr>
          <w:ilvl w:val="0"/>
          <w:numId w:val="7"/>
        </w:numPr>
        <w:rPr/>
      </w:pPr>
      <w:hyperlink w:anchor="what-ready-looks-like-by-dimension">
        <w:r>
          <w:rPr>
            <w:rStyle w:val="Hyperlink"/>
          </w:rPr>
          <w:t>4.2   What “ready” looks like by dimension</w:t>
        </w:r>
      </w:hyperlink>
    </w:p>
    <w:p>
      <w:pPr>
        <w:pStyle w:val="Compact"/>
        <w:numPr>
          <w:ilvl w:val="0"/>
          <w:numId w:val="7"/>
        </w:numPr>
        <w:rPr/>
      </w:pPr>
      <w:hyperlink w:anchor="worked-institutional-examples">
        <w:r>
          <w:rPr>
            <w:rStyle w:val="Hyperlink"/>
          </w:rPr>
          <w:t>4.3   Worked institutional examples</w:t>
        </w:r>
      </w:hyperlink>
      <w:bookmarkEnd w:id="8"/>
    </w:p>
    <w:p>
      <w:pPr>
        <w:pStyle w:val="Heading4"/>
        <w:rPr/>
      </w:pPr>
      <w:hyperlink w:anchor="X84b8053bd241840a3d62bcee5726c3dbee3ed04">
        <w:bookmarkStart w:id="9" w:name="Xade74cb8c91f1bbf3902d8c6c15257bafa8604c"/>
        <w:r>
          <w:rPr>
            <w:rStyle w:val="Hyperlink"/>
          </w:rPr>
          <w:t>Part 5 — Recommendations for university research leadership</w:t>
        </w:r>
      </w:hyperlink>
    </w:p>
    <w:p>
      <w:pPr>
        <w:pStyle w:val="Compact"/>
        <w:numPr>
          <w:ilvl w:val="0"/>
          <w:numId w:val="7"/>
        </w:numPr>
        <w:rPr/>
      </w:pPr>
      <w:hyperlink w:anchor="for-executive-research-leadership">
        <w:r>
          <w:rPr>
            <w:rStyle w:val="Hyperlink"/>
          </w:rPr>
          <w:t>5.1   For executive research leadership</w:t>
        </w:r>
      </w:hyperlink>
    </w:p>
    <w:p>
      <w:pPr>
        <w:pStyle w:val="Compact"/>
        <w:numPr>
          <w:ilvl w:val="0"/>
          <w:numId w:val="7"/>
        </w:numPr>
        <w:rPr/>
      </w:pPr>
      <w:hyperlink w:anchor="Xfe35cd0e7334cb7c73c4edbd7515c9376f22755">
        <w:r>
          <w:rPr>
            <w:rStyle w:val="Hyperlink"/>
          </w:rPr>
          <w:t>5.2   For faculty deans and associate deans of research</w:t>
        </w:r>
      </w:hyperlink>
    </w:p>
    <w:p>
      <w:pPr>
        <w:pStyle w:val="Compact"/>
        <w:numPr>
          <w:ilvl w:val="0"/>
          <w:numId w:val="7"/>
        </w:numPr>
        <w:rPr/>
      </w:pPr>
      <w:hyperlink w:anchor="Xc5c7e67c2b686b79a10b44fe001854c04336b11">
        <w:r>
          <w:rPr>
            <w:rStyle w:val="Hyperlink"/>
          </w:rPr>
          <w:t>5.3   For deans of graduate schools and A/Deans of research training</w:t>
        </w:r>
      </w:hyperlink>
    </w:p>
    <w:p>
      <w:pPr>
        <w:pStyle w:val="Compact"/>
        <w:numPr>
          <w:ilvl w:val="0"/>
          <w:numId w:val="7"/>
        </w:numPr>
        <w:rPr/>
      </w:pPr>
      <w:hyperlink w:anchor="Xf8e6fc39c3d0ddc0391c79039db452b3c38372d">
        <w:r>
          <w:rPr>
            <w:rStyle w:val="Hyperlink"/>
          </w:rPr>
          <w:t>5.4   For higher-degrees committees and research-integrity committees</w:t>
        </w:r>
      </w:hyperlink>
    </w:p>
    <w:p>
      <w:pPr>
        <w:pStyle w:val="Compact"/>
        <w:numPr>
          <w:ilvl w:val="0"/>
          <w:numId w:val="7"/>
        </w:numPr>
        <w:rPr/>
      </w:pPr>
      <w:hyperlink w:anchor="for-peak-bodies-for-graduate-students">
        <w:r>
          <w:rPr>
            <w:rStyle w:val="Hyperlink"/>
          </w:rPr>
          <w:t>5.5   For peak bodies for graduate students</w:t>
        </w:r>
      </w:hyperlink>
      <w:bookmarkEnd w:id="9"/>
    </w:p>
    <w:p>
      <w:pPr>
        <w:pStyle w:val="Heading4"/>
        <w:rPr/>
      </w:pPr>
      <w:hyperlink w:anchor="conclusion-1">
        <w:bookmarkStart w:id="10" w:name="conclusion"/>
        <w:r>
          <w:rPr>
            <w:rStyle w:val="Hyperlink"/>
          </w:rPr>
          <w:t>Conclusion</w:t>
        </w:r>
      </w:hyperlink>
      <w:bookmarkEnd w:id="10"/>
    </w:p>
    <w:p>
      <w:pPr>
        <w:pStyle w:val="Heading4"/>
        <w:rPr/>
      </w:pPr>
      <w:hyperlink w:anchor="Xe68ee8087a0fb6c54faf307f3bd4ef6aae1293d">
        <w:bookmarkStart w:id="11" w:name="Xacafc5f6c5affb2bcbe0c710c92c025823d84b1"/>
        <w:r>
          <w:rPr>
            <w:rStyle w:val="Hyperlink"/>
          </w:rPr>
          <w:t>Appendix A — The maturity grid, full version</w:t>
        </w:r>
      </w:hyperlink>
      <w:bookmarkEnd w:id="11"/>
    </w:p>
    <w:p>
      <w:pPr>
        <w:pStyle w:val="Heading4"/>
        <w:rPr/>
      </w:pPr>
      <w:hyperlink w:anchor="Xa84783782a8a542074362876906e23e4f0078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1">
        <w:bookmarkStart w:id="13" w:name="appendix-c-glossary-of-ai-tool-classes"/>
        <w:r>
          <w:rPr>
            <w:rStyle w:val="Hyperlink"/>
          </w:rPr>
          <w:t>Appendix C — Glossary of AI tool classes</w:t>
        </w:r>
      </w:hyperlink>
      <w:bookmarkEnd w:id="13"/>
    </w:p>
    <w:p>
      <w:pPr>
        <w:pStyle w:val="Heading4"/>
        <w:rPr/>
      </w:pPr>
      <w:hyperlink w:anchor="appendix-d-about-this-report-1">
        <w:bookmarkStart w:id="14" w:name="appendix-d-about-this-report"/>
        <w:r>
          <w:rPr>
            <w:rStyle w:val="Hyperlink"/>
          </w:rPr>
          <w:t>Appendix D — About this report</w:t>
        </w:r>
      </w:hyperlink>
      <w:bookmarkEnd w:id="14"/>
    </w:p>
    <w:p>
      <w:pPr>
        <w:pStyle w:val="Heading4"/>
        <w:rPr/>
      </w:pPr>
      <w:hyperlink w:anchor="appendix-e-sources-1">
        <w:bookmarkStart w:id="15" w:name="appendix-e-sources"/>
        <w:r>
          <w:rPr>
            <w:rStyle w:val="Hyperlink"/>
          </w:rPr>
          <w:t>Appendix E — Sources</w:t>
        </w:r>
      </w:hyperlink>
      <w:bookmarkEnd w:id="15"/>
    </w:p>
    <w:p>
      <w:pPr>
        <w:pStyle w:val="Heading4"/>
        <w:rPr/>
      </w:pPr>
      <w:hyperlink w:anchor="appendix-f-regional-adaptation-note-1">
        <w:bookmarkStart w:id="16" w:name="appendix-f-regional-adaptation-note"/>
        <w:r>
          <w:rPr>
            <w:rStyle w:val="Hyperlink"/>
          </w:rPr>
          <w:t>Appendix F — Regional-adaptation note</w:t>
        </w:r>
      </w:hyperlink>
      <w:bookmarkEnd w:id="16"/>
    </w:p>
    <w:p>
      <w:pPr>
        <w:pStyle w:val="Heading4"/>
        <w:rPr/>
      </w:pPr>
      <w:hyperlink w:anchor="X17285a873e63ccb0cca26e646af65800f47b2e1">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e68ee8087a0fb6c54faf307f3bd4ef6aae1293d">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competency-frameworks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competency-frameworks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competency-frameworks dossier covering UNESCO AI...</w:t>
      </w:r>
    </w:p>
  </w:footnote>
  <w:footnote w:id="73">
    <w:p>
      <w:r>
        <w:t xml:space="preserve">Repeated source: Synthesised across the thirteen-entry competency-frameworks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2026-05-21T10:42:56Z</dcterms:created>
  <dc:creator/>
  <dc:description/>
  <dc:language>en-AU</dc:language>
  <cp:lastModifiedBy/>
  <dcterms:modified xsi:type="dcterms:W3CDTF">2026-05-21T10:42:56Z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