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v1.1.0.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Scope and method.</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EU’s European Research Council as a supranational fourteenth-funder;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claim is anchored to a primary source URL with a snapshot date.</w:t>
      </w:r>
    </w:p>
    <w:p>
      <w:pPr>
        <w:pStyle w:val="BodyText"/>
        <w:rPr/>
      </w:pPr>
      <w:r>
        <w:rPr/>
        <w:t xml:space="preserve">About this report, the AI-use disclosure, and the methodology summary are in </w:t>
      </w:r>
      <w:hyperlink w:anchor="appendix-d-about-this-report">
        <w:r>
          <w:rPr>
            <w:rStyle w:val="Hyperlink"/>
          </w:rPr>
          <w:t>Appendix D</w:t>
        </w:r>
      </w:hyperlink>
      <w:r>
        <w:rPr/>
        <w:t xml:space="preserve">. The full source package is in </w:t>
      </w:r>
      <w:hyperlink w:anchor="appendix-e-sources">
        <w:r>
          <w:rPr>
            <w:rStyle w:val="Hyperlink"/>
          </w:rPr>
          <w:t>Appendix E</w:t>
        </w:r>
      </w:hyperlink>
      <w:r>
        <w:rPr/>
        <w:t xml:space="preserve">. The regional-adaptation note for sister reports is in </w:t>
      </w:r>
      <w:hyperlink w:anchor="appendix-f-regional-adaptation-note">
        <w:r>
          <w:rPr>
            <w:rStyle w:val="Hyperlink"/>
          </w:rPr>
          <w:t>Appendix F</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3Atimeline"/>
      <w:r>
        <w:rPr/>
        <w:drawing>
          <wp:inline distT="0" distB="0" distL="0" distR="0">
            <wp:extent cx="5969000" cy="253428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53428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Methodology summary.</w:t>
      </w:r>
      <w:r>
        <w:rPr/>
        <w:t xml:space="preserve"> Forensic, source-anchored analysis. The body’s load-bearing numerical claims and direct quotations are anchored to primary-source URLs with snapshot dates of 2026-05-18 or later. Synthesis claims that consolidate multiple primary sources are anchored through the publication’s evidence dossiers, which are organised by evidence axis (national research-funder policies; institutional AI policies; capability frameworks; publisher and journal policies; AI tool taxonomy; privacy and governance frameworks; reproducibility-crisis intersection; adversarial-review patterns). The dossiers list every primary-source URL with its snapshot date and its access status at the snapshot date. Appendix E names the dossiers and their coverage.</w:t>
      </w:r>
    </w:p>
    <w:p>
      <w:pPr>
        <w:pStyle w:val="BodyText"/>
        <w:rPr/>
      </w:pPr>
      <w:r>
        <w:rPr>
          <w:b/>
          <w:bCs/>
        </w:rPr>
        <w:t>AI assistance disclosure.</w:t>
      </w:r>
      <w:r>
        <w:rPr/>
        <w:t xml:space="preserve"> This report was drafted with assistance from large language models. Drafting, evidence synthesis, structural review, and copy editing each used distinct AI agents at successive stages, with the lead author retaining responsibility for every factual claim, institutional classification, numerical finding, and framework decision. The lead author verified each key claim against the primary sources before publication. AI assistance was used for labour-saving tasks; research-judgement decisions remained with the human author.</w:t>
      </w:r>
    </w:p>
    <w:p>
      <w:pPr>
        <w:pStyle w:val="BodyText"/>
        <w:rPr/>
      </w:pPr>
      <w:r>
        <w:rPr>
          <w:b/>
          <w:bCs/>
        </w:rPr>
        <w:t>Conflict-of-interest disclosure.</w:t>
      </w:r>
      <w:r>
        <w:rPr/>
        <w:t xml:space="preserve"> The author’s affiliations are listed in the colophon. The author has no paid relationships with any of the institutions in the report’s institutional sample (see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p>
    <w:p>
      <w:pPr>
        <w:pStyle w:val="BodyText"/>
        <w:rPr/>
      </w:pPr>
      <w:r>
        <w:rPr>
          <w:b/>
          <w:bCs/>
        </w:rPr>
        <w:t>License.</w:t>
      </w:r>
      <w:r>
        <w:rPr/>
        <w:t xml:space="preserve"> CC BY-NC 4.0 (see colophon for full text and reuse conditions).</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2026-05-19T02:44:16Z</dcterms:created>
  <dc:creator/>
  <dc:description/>
  <dc:language>en-AU</dc:language>
  <cp:lastModifiedBy/>
  <dcterms:modified xsi:type="dcterms:W3CDTF">2026-05-19T02:44:16Z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