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responsible-ai-in-academic-research"/>
      <w:r>
        <w:rPr/>
        <w:t>Responsible AI in Academic Research</w:t>
      </w:r>
    </w:p>
    <w:p>
      <w:pPr>
        <w:pStyle w:val="Heading2"/>
        <w:rPr/>
      </w:pPr>
      <w:bookmarkStart w:id="1" w:name="Xb0099d9a5ffa4a0bdea957eac68513c9492629b"/>
      <w:r>
        <w:rPr>
          <w:i/>
          <w:iCs/>
        </w:rPr>
        <w:t>A Capability Framework for Research Training</w:t>
      </w:r>
    </w:p>
    <w:p>
      <w:pPr>
        <w:pStyle w:val="InstatsAbstract"/>
        <w:rPr/>
      </w:pPr>
      <w:r>
        <w:rPr/>
        <w:t xml:space="preserve">What does responsible AI use look like for academic research, and how would a university know whether it is doing it well? The short answer: of thirty-eight top-tier doctoral universities surveyed across fifteen countries and jurisdictions, </w:t>
      </w:r>
      <w:r>
        <w:rPr>
          <w:b/>
          <w:bCs/>
        </w:rPr>
        <w:t>only six</w:t>
      </w:r>
      <w:r>
        <w:rPr/>
        <w:t xml:space="preserve"> have AI policies that extend past research integrity into AI literacy and valid research practices. The world’s major academic publishers, by contrast, issued a substantively identical no-AI-co-author policy across the sector within ten weeks of ChatGPT-3.5’s public release. The United Kingdom’s canonical PhD-researcher-development framework, refreshed in 2025, did not treat AI as a competency at all. While publishers and funders have responded to the emergence of AI, the universities that actually train researchers are lagging far behind what is needed to prepare them to use it responsibly.</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INSTATS-PS-2026-04</w:t>
      </w:r>
    </w:p>
    <w:p>
      <w:pPr>
        <w:pStyle w:val="InstatsCoverBand"/>
        <w:rPr/>
      </w:pPr>
      <w:r>
        <w:rPr/>
        <w:t>INSTATS-PS-2026-04</w:t>
      </w:r>
    </w:p>
    <w:p>
      <w:pPr>
        <w:pStyle w:val="BodyText"/>
        <w:rPr/>
      </w:pPr>
      <w:r>
        <w:rPr>
          <w:b/>
          <w:bCs/>
        </w:rPr>
        <w:t>Citation.</w:t>
      </w:r>
      <w:r>
        <w:rPr/>
        <w:t xml:space="preserve"> Zyphur, M. J. (2026). </w:t>
      </w:r>
      <w:r>
        <w:rPr>
          <w:i/>
          <w:iCs/>
        </w:rPr>
        <w:t>Responsible AI in Academic Research: A Capability Framework for Research Training.</w:t>
      </w:r>
      <w:r>
        <w:rPr/>
        <w:t xml:space="preserve"> Instats Policy Series, v1.1.1. </w:t>
      </w:r>
      <w:hyperlink r:id="rId4">
        <w:r>
          <w:rPr>
            <w:rStyle w:val="Hyperlink"/>
          </w:rPr>
          <w:t>github.com/mzyphur/responsible-ai-in-research-training</w:t>
        </w:r>
      </w:hyperlink>
      <w:r>
        <w:rPr/>
        <w:t xml:space="preserve">. ORCID: </w:t>
      </w:r>
      <w:hyperlink r:id="rId5">
        <w:r>
          <w:rPr>
            <w:rStyle w:val="Hyperlink"/>
          </w:rPr>
          <w:t>0000-0003-3237-7892</w:t>
        </w:r>
      </w:hyperlink>
      <w:r>
        <w:rPr/>
        <w:t>. DOI: 10.61700/t31oy23grr.</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Since ChatGPT-3.5’s release in late 2022, major academic publishers, national research funders, and international capability-framework bodies have responded to AI in research. Publishers moved first and most uniformly: they issued substantively identical “no-AI-co-author” policies across the major journals within ten weeks of the release, later refining them into disclosure templates (Elsevier’s “Declaration of Generative AI” section; JAMA’s three-location rule; BMJ’s submission-form integration). National research funders moved more slowly and unevenly, issuing AI-in-application policies between September 2023 and April 2026; the German Research Foundation went first, the Australian Research Council and the National Health and Medical Research Council went last. International capability-framework bodies have published the AI-literacy literature universities now cite as their reference: UNESCO’s AI Competency Frameworks for Students and Teachers, the OECD-EC AILit Framework, the Council of Graduate Schools and INRS Global Action Agenda, the US National Academies’ five-principles editorial.</w:t>
      </w:r>
    </w:p>
    <w:p>
      <w:pPr>
        <w:pStyle w:val="InstatsExecBand"/>
        <w:rPr/>
      </w:pPr>
      <w:r>
        <w:rPr/>
        <w:t>Universities themselves — the institutions that actually train PhD researchers — have not caught up. Across thirty-eight top-tier doctoral universities in fifteen countries and jurisdictions, the modal institutional posture in 2026 is an AI-specific policy whose substantive scope ends at plagiarism. Only six universities of the thirty-eight publish AI policies that extend into research integrity, AI literacy, and valid research practices: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falls uniformly in the weakest group. Vitae’s Researcher Development Framework, the United Kingdom’s canonical researcher-development standard, was refreshed in 2025 and did not treat AI as a competency at all.</w:t>
      </w:r>
    </w:p>
    <w:p>
      <w:pPr>
        <w:pStyle w:val="InstatsExecBand"/>
        <w:rPr/>
      </w:pPr>
      <w:r>
        <w:rPr/>
        <w:t>LLMs are best understood as agentic research tools: task-directed systems that produce usable outputs, in the same family as statistical packages, transcription engines, code-generation assistants, and data-cleaning pipelines. They mimic human writing as a surface feature, not as their primary research function. The right question of any such tool is not who wrote the output but whether the use is ethical, valid, reproducible, and transparent. No one treats SPSS output as plagiarism. No one treats a Whisper-transcribed interview as fraudulent so long as the researcher verifies the transcript against the audio. The institutional move to treat AI use as a plagiarism question is a category error driven by surface mimicry rather than underlying function. The category error has three concrete consequences for institutional practice:</w:t>
      </w:r>
    </w:p>
    <w:p>
      <w:pPr>
        <w:pStyle w:val="InstatsExecBand"/>
        <w:numPr>
          <w:ilvl w:val="0"/>
          <w:numId w:val="7"/>
        </w:numPr>
        <w:ind w:hanging="360" w:start="720" w:end="340"/>
        <w:rPr/>
      </w:pPr>
      <w:r>
        <w:rPr>
          <w:i/>
          <w:iCs/>
        </w:rPr>
        <w:t>Responsible AI use is a research-integrity question, not an academic-integrity question.</w:t>
      </w:r>
      <w:r>
        <w:rPr/>
        <w:t xml:space="preserve"> Framing responsible AI use at PhD level as a plagiarism issue treats the binding constraint as student conduct rather than the validity, replicability, and ethical defensibility of AI-augmented research itself. Reproducibility, hallucination, validator-use, and adversarial-review competencies are research-integrity competencies. None of them is reducible to “do not present AI output as your own.”</w:t>
      </w:r>
    </w:p>
    <w:p>
      <w:pPr>
        <w:pStyle w:val="InstatsExecBand"/>
        <w:numPr>
          <w:ilvl w:val="0"/>
          <w:numId w:val="7"/>
        </w:numPr>
        <w:ind w:hanging="360" w:start="720" w:end="340"/>
        <w:rPr/>
      </w:pPr>
      <w:r>
        <w:rPr>
          <w:i/>
          <w:iCs/>
        </w:rPr>
        <w:t>AI literacy at PhD level is not a tooling-skills problem; it is a judgement problem.</w:t>
      </w:r>
      <w:r>
        <w:rPr/>
        <w:t xml:space="preserve"> The competency that distinguishes a defensible AI-augmented PhD from an indefensible one is not which tool the candidate can drive, but which research tasks the candidate decides to give AI, which ones the candidate decides to keep, and how the candidate verifies whichever side carries the AI contribution. Tools change every six months; the judgement does not.</w:t>
      </w:r>
    </w:p>
    <w:p>
      <w:pPr>
        <w:pStyle w:val="InstatsExecBand"/>
        <w:numPr>
          <w:ilvl w:val="0"/>
          <w:numId w:val="7"/>
        </w:numPr>
        <w:ind w:hanging="360" w:start="720" w:end="340"/>
        <w:rPr/>
      </w:pPr>
      <w:r>
        <w:rPr>
          <w:i/>
          <w:iCs/>
        </w:rPr>
        <w:t>Policy alone is not the capability.</w:t>
      </w:r>
      <w:r>
        <w:rPr/>
        <w:t xml:space="preserve"> The most common institutional move in 2026 is to publish a single AI-policy document and treat the problem as closed. The capability sits across four institutional dimensions: the policy itself, the people responsible for enacting it, the systems that support it, and the process by which AI use enters supervision and examination. A policy is one row in the capability grid, not the grid.</w:t>
      </w:r>
    </w:p>
    <w:p>
      <w:pPr>
        <w:pStyle w:val="InstatsExecBand"/>
        <w:rPr/>
      </w:pPr>
      <w:r>
        <w:rPr/>
        <w:t>Existing PhD-training and research-policy frameworks predate AI as a research tool. Frameworks refreshed since 2022 have, with very few exceptions, treated AI as an addendum rather than a categorical shift — and the Vitae refresh of 2025 demonstrates that even an active refresh cycle can miss the change. This report argues that universities require purpose-built, adaptive frameworks that address AI as an agentic research tool: not extensions to plagiarism policies, and not bolt-ons to researcher-development frameworks designed for a pre-2022 world. The ultimate goal of such frameworks is excellent research, achieved through excellent research training. The framework measures whether an institution can develop the judgement that separates defensible from indefensible AI use.</w:t>
      </w:r>
    </w:p>
    <w:p>
      <w:pPr>
        <w:pStyle w:val="InstatsExecBand"/>
        <w:rPr/>
      </w:pPr>
      <w:r>
        <w:rP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The framework presented here has five dimensions and four maturity levels per dimension, calibrated against international evidence from thirty-eight universities, fourteen national research funders, and the major academic publishers. It is intended as a self-diagnosis instrument for that audience and a vocabulary for benchmarking institutional readiness across policy, curriculum, infrastructure, and governance.</w:t>
      </w:r>
    </w:p>
    <w:p>
      <w:pPr>
        <w:pStyle w:val="InstatsExecBand"/>
        <w:rPr/>
      </w:pPr>
      <w:r>
        <w:rPr/>
        <w:t>The evidence supports a five-dimension capability framework, a maturity grid for institutional self-diagnosis, and audience-specific recommendations for the five leadership audiences named above.</w:t>
      </w:r>
    </w:p>
    <w:p>
      <w:pPr>
        <w:pStyle w:val="BodyText"/>
        <w:rPr/>
      </w:pPr>
      <w:bookmarkStart w:id="3" w:name="fig%3Atimeline"/>
      <w:r>
        <w:rPr/>
        <w:drawing>
          <wp:inline distT="0" distB="0" distL="0" distR="0">
            <wp:extent cx="5969000" cy="253428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6"/>
                    <a:stretch>
                      <a:fillRect/>
                    </a:stretch>
                  </pic:blipFill>
                  <pic:spPr bwMode="auto">
                    <a:xfrm>
                      <a:off x="0" y="0"/>
                      <a:ext cx="5969000" cy="2534285"/>
                    </a:xfrm>
                    <a:prstGeom prst="rect">
                      <a:avLst/>
                    </a:prstGeom>
                    <a:noFill/>
                  </pic:spPr>
                </pic:pic>
              </a:graphicData>
            </a:graphic>
          </wp:inline>
        </w:drawing>
      </w:r>
      <w:bookmarkEnd w:id="3"/>
    </w:p>
    <w:p>
      <w:pPr>
        <w:pStyle w:val="BodyText"/>
        <w:rPr/>
      </w:pPr>
      <w:r>
        <w:rPr>
          <w:b/>
          <w:bCs/>
        </w:rPr>
        <w:t>Figure 1.</w:t>
      </w:r>
      <w:r>
        <w:rPr/>
        <w:t xml:space="preserve"> </w:t>
      </w:r>
      <w:r>
        <w:rPr>
          <w:i/>
          <w:iCs/>
        </w:rPr>
        <w:t>Publishers responded in months. National research funders responded over years. Universities still mostly haven’t.</w:t>
      </w:r>
      <w:r>
        <w:rPr/>
        <w:t xml:space="preserve"> The six dots in the universities lane are the Class D universities — the only institutions with AI policies that extend past research integrity into AI literacy and valid research practices: UCL Doctoral School, KCL Centre for Education Studies, Heidelberg Graduate Academy, KU Leuven, University of Helsinki, and Tsinghua University. The remaining thirty-two institutions in the sample do not yet extend their AI policies into AI literacy and valid research practices. </w:t>
      </w:r>
      <w:r>
        <w:rPr>
          <w:i/>
          <w:iCs/>
        </w:rPr>
        <w:t>Sources</w:t>
      </w:r>
      <w:r>
        <w:rPr/>
        <w:t>: publisher dossier (18 publishers + 3 preprint servers, snapshotted 2026-05-18); funder dossier (14 national research funders + the European Research Council); institutional dossier (38 top-tier doctoral universities in 15 countries and jurisdictions); Vitae RDF refresh date from vitae.ac.uk.</w:t>
      </w:r>
    </w:p>
    <w:p>
      <w:pPr>
        <w:pStyle w:val="Normal"/>
        <w:rPr/>
      </w:pPr>
      <w:r>
        <w:rPr/>
        <mc:AlternateContent>
          <mc:Choice Requires="wps">
            <w:drawing>
              <wp:inline distT="0" distB="0" distL="0" distR="0">
                <wp:extent cx="597281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0"/>
      <w:bookmarkEnd w:id="2"/>
    </w:p>
    <w:p>
      <w:pPr>
        <w:pStyle w:val="Heading1"/>
        <w:rPr/>
      </w:pPr>
      <w:bookmarkStart w:id="4" w:name="contents"/>
      <w:r>
        <w:rPr/>
        <w:t>Contents</w:t>
      </w:r>
    </w:p>
    <w:p>
      <w:pPr>
        <w:pStyle w:val="Heading4"/>
        <w:rPr/>
      </w:pPr>
      <w:hyperlink w:anchor="the-finding">
        <w:bookmarkStart w:id="5" w:name="executive-summary"/>
        <w:r>
          <w:rPr>
            <w:rStyle w:val="Hyperlink"/>
          </w:rPr>
          <w:t>Executive summary</w:t>
        </w:r>
      </w:hyperlink>
      <w:bookmarkEnd w:id="5"/>
    </w:p>
    <w:p>
      <w:pPr>
        <w:pStyle w:val="Heading4"/>
        <w:rPr/>
      </w:pPr>
      <w:hyperlink w:anchor="part-1-the-factual-baseline_1">
        <w:bookmarkStart w:id="6" w:name="part-1-the-factual-baseline"/>
        <w:r>
          <w:rPr>
            <w:rStyle w:val="Hyperlink"/>
          </w:rPr>
          <w:t>Part 1 — The factual baseline</w:t>
        </w:r>
      </w:hyperlink>
    </w:p>
    <w:p>
      <w:pPr>
        <w:pStyle w:val="Compact"/>
        <w:numPr>
          <w:ilvl w:val="0"/>
          <w:numId w:val="7"/>
        </w:numPr>
        <w:rPr/>
      </w:pPr>
      <w:hyperlink w:anchor="Xdf86be2fb4ae6983caa60f753da7a3b7585160b">
        <w:r>
          <w:rPr>
            <w:rStyle w:val="Hyperlink"/>
          </w:rPr>
          <w:t>1.1   The shift in research practice, 2022 to 2026</w:t>
        </w:r>
      </w:hyperlink>
    </w:p>
    <w:p>
      <w:pPr>
        <w:pStyle w:val="Compact"/>
        <w:numPr>
          <w:ilvl w:val="0"/>
          <w:numId w:val="7"/>
        </w:numPr>
        <w:rPr/>
      </w:pPr>
      <w:hyperlink w:anchor="Xef39ab72682dae84cefc71e63937706e29d01f9">
        <w:r>
          <w:rPr>
            <w:rStyle w:val="Hyperlink"/>
          </w:rPr>
          <w:t>1.2   What “responsible AI use” still lacks a definition for</w:t>
        </w:r>
      </w:hyperlink>
    </w:p>
    <w:p>
      <w:pPr>
        <w:pStyle w:val="Compact"/>
        <w:numPr>
          <w:ilvl w:val="0"/>
          <w:numId w:val="7"/>
        </w:numPr>
        <w:rPr/>
      </w:pPr>
      <w:hyperlink w:anchor="X0c4a3566b1b7587cf42a990d8449a1ff81a75dd">
        <w:r>
          <w:rPr>
            <w:rStyle w:val="Hyperlink"/>
          </w:rPr>
          <w:t>1.3   The institutional baseline in 2026</w:t>
        </w:r>
      </w:hyperlink>
      <w:bookmarkEnd w:id="6"/>
    </w:p>
    <w:p>
      <w:pPr>
        <w:pStyle w:val="Heading4"/>
        <w:rPr/>
      </w:pPr>
      <w:hyperlink w:anchor="X4f9d66c4114ab910b08655494b03e6cc2bb0186">
        <w:bookmarkStart w:id="7" w:name="X3bd643d343f2974ee01ac844e0357dfaba13ffe"/>
        <w:r>
          <w:rPr>
            <w:rStyle w:val="Hyperlink"/>
          </w:rPr>
          <w:t>Part 2 — A five-dimension capability framework</w:t>
        </w:r>
      </w:hyperlink>
    </w:p>
    <w:p>
      <w:pPr>
        <w:pStyle w:val="Compact"/>
        <w:numPr>
          <w:ilvl w:val="0"/>
          <w:numId w:val="7"/>
        </w:numPr>
        <w:rPr/>
      </w:pPr>
      <w:hyperlink w:anchor="Xb0410b896ac7ef6a6cbe20afd8440f8e2e34f1c">
        <w:r>
          <w:rPr>
            <w:rStyle w:val="Hyperlink"/>
          </w:rPr>
          <w:t>2.1   Dimension 1 — Human-in-the-loop discipline</w:t>
        </w:r>
      </w:hyperlink>
    </w:p>
    <w:p>
      <w:pPr>
        <w:pStyle w:val="Compact"/>
        <w:numPr>
          <w:ilvl w:val="0"/>
          <w:numId w:val="7"/>
        </w:numPr>
        <w:rPr/>
      </w:pPr>
      <w:hyperlink w:anchor="Xa2978b9e88e006a11ba7c882c810e9185f91c2e">
        <w:r>
          <w:rPr>
            <w:rStyle w:val="Hyperlink"/>
          </w:rPr>
          <w:t>2.2   Dimension 2 — Responsible use in practice</w:t>
        </w:r>
      </w:hyperlink>
    </w:p>
    <w:p>
      <w:pPr>
        <w:pStyle w:val="Compact"/>
        <w:numPr>
          <w:ilvl w:val="0"/>
          <w:numId w:val="7"/>
        </w:numPr>
        <w:rPr/>
      </w:pPr>
      <w:hyperlink w:anchor="Xf03f014728e057244187e34525d77c4ae36f76d">
        <w:r>
          <w:rPr>
            <w:rStyle w:val="Hyperlink"/>
          </w:rPr>
          <w:t>2.3   Dimension 3 — Tooling that promotes responsible use</w:t>
        </w:r>
      </w:hyperlink>
    </w:p>
    <w:p>
      <w:pPr>
        <w:pStyle w:val="Compact"/>
        <w:numPr>
          <w:ilvl w:val="0"/>
          <w:numId w:val="7"/>
        </w:numPr>
        <w:rPr/>
      </w:pPr>
      <w:hyperlink w:anchor="X9022f3b58da7204a1c5a692bcfe77fac557b070">
        <w:r>
          <w:rPr>
            <w:rStyle w:val="Hyperlink"/>
          </w:rPr>
          <w:t>2.4   Dimension 4 — AI-literate humans</w:t>
        </w:r>
      </w:hyperlink>
    </w:p>
    <w:p>
      <w:pPr>
        <w:pStyle w:val="Compact"/>
        <w:numPr>
          <w:ilvl w:val="0"/>
          <w:numId w:val="7"/>
        </w:numPr>
        <w:rPr/>
      </w:pPr>
      <w:hyperlink w:anchor="X5c66220ea38a998fd91f5afd0ef459d3a5d80b4">
        <w:r>
          <w:rPr>
            <w:rStyle w:val="Hyperlink"/>
          </w:rPr>
          <w:t>2.5   Dimension 5 — Institutional benchmarking grid</w:t>
        </w:r>
      </w:hyperlink>
      <w:bookmarkEnd w:id="7"/>
    </w:p>
    <w:p>
      <w:pPr>
        <w:pStyle w:val="Heading4"/>
        <w:rPr/>
      </w:pPr>
      <w:hyperlink w:anchor="Xfaf275e331ed51ebecadb9345be19a0314acfc3">
        <w:bookmarkStart w:id="8" w:name="Xdc77c75a62b621fcf7c8fe71c969742e2e32c4d"/>
        <w:r>
          <w:rPr>
            <w:rStyle w:val="Hyperlink"/>
          </w:rPr>
          <w:t>Part 3 — What the international evidence shows</w:t>
        </w:r>
      </w:hyperlink>
    </w:p>
    <w:p>
      <w:pPr>
        <w:pStyle w:val="Compact"/>
        <w:numPr>
          <w:ilvl w:val="0"/>
          <w:numId w:val="7"/>
        </w:numPr>
        <w:rPr/>
      </w:pPr>
      <w:hyperlink w:anchor="X67362a211dc18a32089bb5a92eae11abc44c983">
        <w:r>
          <w:rPr>
            <w:rStyle w:val="Hyperlink"/>
          </w:rPr>
          <w:t>3.1   National research-funder positions</w:t>
        </w:r>
      </w:hyperlink>
    </w:p>
    <w:p>
      <w:pPr>
        <w:pStyle w:val="Compact"/>
        <w:numPr>
          <w:ilvl w:val="0"/>
          <w:numId w:val="7"/>
        </w:numPr>
        <w:rPr/>
      </w:pPr>
      <w:hyperlink w:anchor="X409e526c0ea6449c8a9fb87a385fab88236ca99">
        <w:r>
          <w:rPr>
            <w:rStyle w:val="Hyperlink"/>
          </w:rPr>
          <w:t>3.2   Top-tier university institutional policies</w:t>
        </w:r>
      </w:hyperlink>
    </w:p>
    <w:p>
      <w:pPr>
        <w:pStyle w:val="Compact"/>
        <w:numPr>
          <w:ilvl w:val="0"/>
          <w:numId w:val="7"/>
        </w:numPr>
        <w:rPr/>
      </w:pPr>
      <w:hyperlink w:anchor="X58df4d38bc63fe6a1527f35cdd611f9af8daefa">
        <w:r>
          <w:rPr>
            <w:rStyle w:val="Hyperlink"/>
          </w:rPr>
          <w:t>3.3   Publisher and journal policies</w:t>
        </w:r>
      </w:hyperlink>
    </w:p>
    <w:p>
      <w:pPr>
        <w:pStyle w:val="Compact"/>
        <w:numPr>
          <w:ilvl w:val="0"/>
          <w:numId w:val="7"/>
        </w:numPr>
        <w:rPr/>
      </w:pPr>
      <w:hyperlink w:anchor="Xe77ed63e1e1dbfa81b73895cfdf812d8aaac6fa">
        <w:r>
          <w:rPr>
            <w:rStyle w:val="Hyperlink"/>
          </w:rPr>
          <w:t>3.4   Existing AI-literacy and researcher-development frameworks</w:t>
        </w:r>
      </w:hyperlink>
      <w:bookmarkEnd w:id="8"/>
    </w:p>
    <w:p>
      <w:pPr>
        <w:pStyle w:val="Heading4"/>
        <w:rPr/>
      </w:pPr>
      <w:hyperlink w:anchor="part-4-the-maturity-grid_1">
        <w:bookmarkStart w:id="9" w:name="part-4-the-maturity-grid"/>
        <w:r>
          <w:rPr>
            <w:rStyle w:val="Hyperlink"/>
          </w:rPr>
          <w:t>Part 4 — The maturity grid</w:t>
        </w:r>
      </w:hyperlink>
    </w:p>
    <w:p>
      <w:pPr>
        <w:pStyle w:val="Compact"/>
        <w:numPr>
          <w:ilvl w:val="0"/>
          <w:numId w:val="7"/>
        </w:numPr>
        <w:rPr/>
      </w:pPr>
      <w:hyperlink w:anchor="Xa2528ffc6271a3b7f8494c7574039782e296ef5">
        <w:r>
          <w:rPr>
            <w:rStyle w:val="Hyperlink"/>
          </w:rPr>
          <w:t>4.1   The five-by-four grid</w:t>
        </w:r>
      </w:hyperlink>
    </w:p>
    <w:p>
      <w:pPr>
        <w:pStyle w:val="Compact"/>
        <w:numPr>
          <w:ilvl w:val="0"/>
          <w:numId w:val="7"/>
        </w:numPr>
        <w:rPr/>
      </w:pPr>
      <w:hyperlink w:anchor="X2d830cf8cc8d1f050bc7fd5f5026d8fb6f7586e">
        <w:r>
          <w:rPr>
            <w:rStyle w:val="Hyperlink"/>
          </w:rPr>
          <w:t>4.2   What “ready” looks like by dimension</w:t>
        </w:r>
      </w:hyperlink>
    </w:p>
    <w:p>
      <w:pPr>
        <w:pStyle w:val="Compact"/>
        <w:numPr>
          <w:ilvl w:val="0"/>
          <w:numId w:val="7"/>
        </w:numPr>
        <w:rPr/>
      </w:pPr>
      <w:hyperlink w:anchor="X36abbbf7fa7a3c3143910f28c5505844b7e0b4f">
        <w:r>
          <w:rPr>
            <w:rStyle w:val="Hyperlink"/>
          </w:rPr>
          <w:t>4.3   Worked institutional examples</w:t>
        </w:r>
      </w:hyperlink>
      <w:bookmarkEnd w:id="9"/>
    </w:p>
    <w:p>
      <w:pPr>
        <w:pStyle w:val="Heading4"/>
        <w:rPr/>
      </w:pPr>
      <w:hyperlink w:anchor="Xa1dfcb691ac0c1297bce0e5e7c4e1d6d6dc6ae7">
        <w:bookmarkStart w:id="10" w:name="Xade74cb8c91f1bbf3902d8c6c15257bafa8604c"/>
        <w:r>
          <w:rPr>
            <w:rStyle w:val="Hyperlink"/>
          </w:rPr>
          <w:t>Part 5 — Recommendations for university research leadership</w:t>
        </w:r>
      </w:hyperlink>
    </w:p>
    <w:p>
      <w:pPr>
        <w:pStyle w:val="Compact"/>
        <w:numPr>
          <w:ilvl w:val="0"/>
          <w:numId w:val="7"/>
        </w:numPr>
        <w:rPr/>
      </w:pPr>
      <w:hyperlink w:anchor="X637bbf0db3ca7ba96c0636057322e2f0dd6c2b8">
        <w:r>
          <w:rPr>
            <w:rStyle w:val="Hyperlink"/>
          </w:rPr>
          <w:t>5.1   For executive research leadership</w:t>
        </w:r>
      </w:hyperlink>
    </w:p>
    <w:p>
      <w:pPr>
        <w:pStyle w:val="Compact"/>
        <w:numPr>
          <w:ilvl w:val="0"/>
          <w:numId w:val="7"/>
        </w:numPr>
        <w:rPr/>
      </w:pPr>
      <w:hyperlink w:anchor="X4df49f9c2fdee26b5106621f4e6bae7f77c10a2">
        <w:r>
          <w:rPr>
            <w:rStyle w:val="Hyperlink"/>
          </w:rPr>
          <w:t>5.2   For faculty deans and associate deans of research</w:t>
        </w:r>
      </w:hyperlink>
    </w:p>
    <w:p>
      <w:pPr>
        <w:pStyle w:val="Compact"/>
        <w:numPr>
          <w:ilvl w:val="0"/>
          <w:numId w:val="7"/>
        </w:numPr>
        <w:rPr/>
      </w:pPr>
      <w:hyperlink w:anchor="X01a7ced067d8590f8de445e51dcb8ba28790c83">
        <w:r>
          <w:rPr>
            <w:rStyle w:val="Hyperlink"/>
          </w:rPr>
          <w:t>5.3   For deans of graduate schools and A/Deans of research training</w:t>
        </w:r>
      </w:hyperlink>
    </w:p>
    <w:p>
      <w:pPr>
        <w:pStyle w:val="Compact"/>
        <w:numPr>
          <w:ilvl w:val="0"/>
          <w:numId w:val="7"/>
        </w:numPr>
        <w:rPr/>
      </w:pPr>
      <w:hyperlink w:anchor="Xaf1c59110ac2d2b00da69a4f26feb31fdf6efc6">
        <w:r>
          <w:rPr>
            <w:rStyle w:val="Hyperlink"/>
          </w:rPr>
          <w:t>5.4   For higher-degrees committees and research-integrity committees</w:t>
        </w:r>
      </w:hyperlink>
    </w:p>
    <w:p>
      <w:pPr>
        <w:pStyle w:val="Compact"/>
        <w:numPr>
          <w:ilvl w:val="0"/>
          <w:numId w:val="7"/>
        </w:numPr>
        <w:rPr/>
      </w:pPr>
      <w:hyperlink w:anchor="X3344b8117abe35e69dffb3d8223ef8b3371967a">
        <w:r>
          <w:rPr>
            <w:rStyle w:val="Hyperlink"/>
          </w:rPr>
          <w:t>5.5   For peak bodies for graduate students</w:t>
        </w:r>
      </w:hyperlink>
      <w:bookmarkEnd w:id="10"/>
    </w:p>
    <w:p>
      <w:pPr>
        <w:pStyle w:val="Heading4"/>
        <w:rPr/>
      </w:pPr>
      <w:hyperlink w:anchor="conclusion_1">
        <w:bookmarkStart w:id="11" w:name="conclusion"/>
        <w:r>
          <w:rPr>
            <w:rStyle w:val="Hyperlink"/>
          </w:rPr>
          <w:t>Conclusion</w:t>
        </w:r>
      </w:hyperlink>
      <w:bookmarkEnd w:id="11"/>
    </w:p>
    <w:p>
      <w:pPr>
        <w:pStyle w:val="Heading4"/>
        <w:rPr/>
      </w:pPr>
      <w:hyperlink w:anchor="X58efa211c38677f6721adc2049a1ec624e0c3e5">
        <w:bookmarkStart w:id="12" w:name="Xacafc5f6c5affb2bcbe0c710c92c025823d84b1"/>
        <w:r>
          <w:rPr>
            <w:rStyle w:val="Hyperlink"/>
          </w:rPr>
          <w:t>Appendix A — The maturity grid, full version</w:t>
        </w:r>
      </w:hyperlink>
      <w:bookmarkEnd w:id="12"/>
    </w:p>
    <w:p>
      <w:pPr>
        <w:pStyle w:val="Heading4"/>
        <w:rPr/>
      </w:pPr>
      <w:hyperlink w:anchor="X30a15aa0718d80bdea4e1d3776a0ba9becb19b9">
        <w:bookmarkStart w:id="13" w:name="Xa4fff6b6df5f7a3b09445c229bc4b09ed80ee37"/>
        <w:r>
          <w:rPr>
            <w:rStyle w:val="Hyperlink"/>
          </w:rPr>
          <w:t>Appendix B — Country and institutional dossiers</w:t>
        </w:r>
      </w:hyperlink>
      <w:bookmarkEnd w:id="13"/>
    </w:p>
    <w:p>
      <w:pPr>
        <w:pStyle w:val="Heading4"/>
        <w:rPr/>
      </w:pPr>
      <w:hyperlink w:anchor="appendix-c-glossary-of-ai-tool-classes_1">
        <w:bookmarkStart w:id="14" w:name="appendix-c-glossary-of-ai-tool-classes"/>
        <w:r>
          <w:rPr>
            <w:rStyle w:val="Hyperlink"/>
          </w:rPr>
          <w:t>Appendix C — Glossary of AI tool classes</w:t>
        </w:r>
      </w:hyperlink>
      <w:bookmarkEnd w:id="14"/>
    </w:p>
    <w:p>
      <w:pPr>
        <w:pStyle w:val="Heading4"/>
        <w:rPr/>
      </w:pPr>
      <w:hyperlink w:anchor="appendix-d-about-this-report_1">
        <w:bookmarkStart w:id="15" w:name="appendix-d-about-this-report"/>
        <w:r>
          <w:rPr>
            <w:rStyle w:val="Hyperlink"/>
          </w:rPr>
          <w:t>Appendix D — About this report</w:t>
        </w:r>
      </w:hyperlink>
      <w:bookmarkEnd w:id="15"/>
    </w:p>
    <w:p>
      <w:pPr>
        <w:pStyle w:val="Heading4"/>
        <w:rPr/>
      </w:pPr>
      <w:hyperlink w:anchor="appendix-e-sources_1">
        <w:bookmarkStart w:id="16" w:name="appendix-e-sources"/>
        <w:r>
          <w:rPr>
            <w:rStyle w:val="Hyperlink"/>
          </w:rPr>
          <w:t>Appendix E — Sources</w:t>
        </w:r>
      </w:hyperlink>
      <w:bookmarkEnd w:id="16"/>
    </w:p>
    <w:p>
      <w:pPr>
        <w:pStyle w:val="Heading4"/>
        <w:rPr/>
      </w:pPr>
      <w:hyperlink w:anchor="appendix-f-regional-adaptation-note_1">
        <w:bookmarkStart w:id="17" w:name="appendix-f-regional-adaptation-note"/>
        <w:r>
          <w:rPr>
            <w:rStyle w:val="Hyperlink"/>
          </w:rPr>
          <w:t>Appendix F — Regional-adaptation note</w:t>
        </w:r>
      </w:hyperlink>
      <w:bookmarkEnd w:id="17"/>
    </w:p>
    <w:p>
      <w:pPr>
        <w:pStyle w:val="Heading4"/>
        <w:rPr/>
      </w:pPr>
      <w:hyperlink w:anchor="Xbed8346cde3d6a4651c2d5c0a174b243c58d415">
        <w:bookmarkStart w:id="18" w:name="X62e7b9ee26ca01e0177273e17f9dc12e4526de9"/>
        <w:r>
          <w:rPr>
            <w:rStyle w:val="Hyperlink"/>
          </w:rPr>
          <w:t>Appendix G — Labour-vs-judgement task taxonomy</w:t>
        </w:r>
      </w:hyperlink>
    </w:p>
    <w:p>
      <w:pPr>
        <w:pStyle w:val="Normal"/>
        <w:rPr/>
      </w:pPr>
      <w:r>
        <w:rPr/>
        <mc:AlternateContent>
          <mc:Choice Requires="wps">
            <w:drawing>
              <wp:inline distT="0" distB="0" distL="0" distR="0">
                <wp:extent cx="597281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part-1-the-factual-baseline-1"/>
      <w:r>
        <w:rPr/>
        <w:t>Part 1 — The factual baseline</w:t>
      </w:r>
    </w:p>
    <w:p>
      <w:pPr>
        <w:pStyle w:val="Heading3"/>
        <w:rPr/>
      </w:pPr>
      <w:bookmarkStart w:id="20" w:name="X25f912980d44fa8a235942a34c9340eb32a665f"/>
      <w:r>
        <w:rPr/>
        <w:t>1.1 The shift in research practice, 2022 to 2026</w:t>
      </w:r>
    </w:p>
    <w:p>
      <w:pPr>
        <w:pStyle w:val="FirstParagraph"/>
        <w:rPr/>
      </w:pPr>
      <w:r>
        <w:rPr/>
        <w:t xml:space="preserve">ChatGPT-3.5 launched for broad public use on 30 November 2022. By the end of the first quarter of 2023, every major academic publisher had a position on AI co-authorship: Nature on 24 January, </w:t>
      </w:r>
      <w:r>
        <w:rPr>
          <w:i/>
          <w:iCs/>
        </w:rPr>
        <w:t>Science</w:t>
      </w:r>
      <w:r>
        <w:rPr/>
        <w:t xml:space="preserve"> on 26 January, JAMA in February, arXiv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2"/>
      </w:r>
    </w:p>
    <w:p>
      <w:pPr>
        <w:pStyle w:val="BodyText"/>
        <w:rPr/>
      </w:pPr>
      <w:r>
        <w:rPr/>
        <w:t>The policy speed was unusually fast compared with the years-long convergence of prior publisher-policy adoptions on adjacent surfaces.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3"/>
      </w:r>
    </w:p>
    <w:p>
      <w:pPr>
        <w:pStyle w:val="BodyText"/>
        <w:rPr/>
      </w:pPr>
      <w:r>
        <w:rPr/>
        <w:t>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Organisation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4"/>
      </w:r>
    </w:p>
    <w:p>
      <w:pPr>
        <w:pStyle w:val="BodyText"/>
        <w:rPr/>
      </w:pPr>
      <w:r>
        <w:rPr/>
        <w:t>In the same window, the underlying research practice changed. Nature’s 2023 and 2024 surveys of researcher AI use, the AAU and APLU joint studies on graduate-student AI behaviour, and discipline-specific journal-wide reviews together describe a shift from a curiosity question in 2023 to an embedded-practice question by 2025. AI assistance is now part of literature review at scale, part of code-development at scale, part of drafting at scale, and increasingly part of statistical reasoning and methodological design at scale. The arXiv preprint server’s own moderation team reported a 72 per cent increase in arXiv submissions that may be partly AI-written between ChatGPT’s release and a 2025 internal study.</w:t>
      </w:r>
      <w:r>
        <w:rPr>
          <w:rFonts w:ascii="Inter" w:hAnsi="Inter" w:cs="Inter"/>
          <w:b/>
          <w:color w:val="3092B1"/>
          <w:position w:val="8"/>
          <w:sz w:val="18"/>
          <w:szCs w:val="18"/>
          <w:vertAlign w:val="superscript"/>
        </w:rPr>
        <w:footnoteReference w:id="5"/>
      </w:r>
      <w:r>
        <w:rP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6"/>
      </w:r>
      <w:r>
        <w:rPr/>
        <w:t xml:space="preserve"> The disclosure rate is low, but the trajectory is positive; the gap between use and disclosure is the structural signal.</w:t>
      </w:r>
    </w:p>
    <w:p>
      <w:pPr>
        <w:pStyle w:val="BodyText"/>
        <w:rPr/>
      </w:pPr>
      <w:r>
        <w:rPr/>
        <w:t>That is the gap this report addresses: research practice has changed faster than university policy has defined responsible AI use in PhD training.</w:t>
      </w:r>
      <w:bookmarkEnd w:id="20"/>
    </w:p>
    <w:p>
      <w:pPr>
        <w:pStyle w:val="Heading3"/>
        <w:rPr/>
      </w:pPr>
      <w:bookmarkStart w:id="21" w:name="X249cd8f8d3611a5f7cf9a267ae9e027e6df62ea"/>
      <w:r>
        <w:rPr/>
        <w:t>1.2 What “responsible AI use” still lacks a definition for</w:t>
      </w:r>
    </w:p>
    <w:p>
      <w:pPr>
        <w:pStyle w:val="FirstParagraph"/>
        <w:rPr/>
      </w:pPr>
      <w:r>
        <w:rPr/>
        <w:t>Five years into the modern AI era, the phrase “responsible AI use” is in every funder policy, every publisher policy, every institutional policy, and every capability framework. The phrase is not in serious dispute. Its operational meaning is.</w:t>
      </w:r>
    </w:p>
    <w:p>
      <w:pPr>
        <w:pStyle w:val="BodyText"/>
        <w:rPr/>
      </w:pPr>
      <w:r>
        <w:rPr/>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7"/>
      </w:r>
      <w:r>
        <w:rP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8"/>
      </w:r>
      <w:r>
        <w:rPr/>
        <w:t xml:space="preserve"> Both formulations are unobjectionable. Neither tells a PhD candidate or a PhD supervisor what to do on Monday morning when an AI tool returns a plausible-looking citation list, a plausible-looking explanation of a statistical assumption, or a plausible-looking interpretation of an experimental result.</w:t>
      </w:r>
    </w:p>
    <w:p>
      <w:pPr>
        <w:pStyle w:val="BodyText"/>
        <w:rPr/>
      </w:pPr>
      <w:r>
        <w:rP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9"/>
      </w:r>
      <w:r>
        <w:rPr/>
        <w:t xml:space="preserve"> Cell Press places its analogous declaration “after the declaration of interests.”</w:t>
      </w:r>
      <w:r>
        <w:rPr>
          <w:rFonts w:ascii="Inter" w:hAnsi="Inter" w:cs="Inter"/>
          <w:b/>
          <w:color w:val="3092B1"/>
          <w:position w:val="8"/>
          <w:sz w:val="18"/>
          <w:szCs w:val="18"/>
          <w:vertAlign w:val="superscript"/>
        </w:rPr>
        <w:footnoteReference w:id="10"/>
      </w:r>
      <w:r>
        <w:rPr/>
        <w:t xml:space="preserve"> JAMA requires disclosure in three locations, an explicit author affirmation that AI “had no involvement in shaping the intellectual content,” and an acknowledgement of the AI tool’s “potential limitations.”</w:t>
      </w:r>
      <w:r>
        <w:rPr>
          <w:rFonts w:ascii="Inter" w:hAnsi="Inter" w:cs="Inter"/>
          <w:b/>
          <w:color w:val="3092B1"/>
          <w:position w:val="8"/>
          <w:sz w:val="18"/>
          <w:szCs w:val="18"/>
          <w:vertAlign w:val="superscript"/>
        </w:rPr>
        <w:footnoteReference w:id="11"/>
      </w:r>
      <w:r>
        <w:rP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2"/>
      </w:r>
      <w:r>
        <w:rPr/>
        <w:t xml:space="preserve"> While the disclosure anchor is clear, the reader must still judge whether the disclosed AI use was responsible, valid, and ethically defensible.</w:t>
      </w:r>
    </w:p>
    <w:p>
      <w:pPr>
        <w:pStyle w:val="BodyText"/>
        <w:rPr/>
      </w:pPr>
      <w:r>
        <w:rPr/>
        <w:t>The existing AI-literacy literature frames responsibility as principle-based. UNESCO’s AI Competency Framework for Students names “Ethics of AI” as one of four dimensions and operationalises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3"/>
      </w:r>
      <w:r>
        <w:rPr/>
        <w:t xml:space="preserve"> The Council of Graduate Schools and Institut national de la recherche scientifique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4"/>
      </w:r>
      <w:r>
        <w:rP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monitoring, oversight, and public engagement.</w:t>
      </w:r>
      <w:r>
        <w:rPr>
          <w:rFonts w:ascii="Inter" w:hAnsi="Inter" w:cs="Inter"/>
          <w:b/>
          <w:color w:val="3092B1"/>
          <w:position w:val="8"/>
          <w:sz w:val="18"/>
          <w:szCs w:val="18"/>
          <w:vertAlign w:val="superscript"/>
        </w:rPr>
        <w:footnoteReference w:id="15"/>
      </w:r>
      <w:r>
        <w:rPr/>
        <w:t xml:space="preserve"> All three frameworks specify what responsible AI use looks like in </w:t>
      </w:r>
      <w:r>
        <w:rPr>
          <w:i/>
          <w:iCs/>
        </w:rPr>
        <w:t>principle</w:t>
      </w:r>
      <w:r>
        <w:rPr/>
        <w:t xml:space="preserve">. None specifies what it looks like in </w:t>
      </w:r>
      <w:r>
        <w:rPr>
          <w:i/>
          <w:iCs/>
        </w:rPr>
        <w:t>practice</w:t>
      </w:r>
      <w:r>
        <w:rP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pPr>
        <w:pStyle w:val="BodyText"/>
        <w:rPr/>
      </w:pPr>
      <w:r>
        <w:rPr/>
        <w:t>The vacuum is not the absence of principles. It is the absence of the operational specification between principle and practice. The five-dimension framework in Part 2 is built to be that operational specification.</w:t>
      </w:r>
      <w:bookmarkEnd w:id="21"/>
    </w:p>
    <w:p>
      <w:pPr>
        <w:pStyle w:val="Heading3"/>
        <w:rPr/>
      </w:pPr>
      <w:bookmarkStart w:id="22" w:name="the-institutional-baseline-in-2026"/>
      <w:r>
        <w:rPr/>
        <w:t>1.3 The institutional baseline in 2026</w:t>
      </w:r>
    </w:p>
    <w:p>
      <w:pPr>
        <w:pStyle w:val="FirstParagraph"/>
        <w:rPr/>
      </w:pPr>
      <w:r>
        <w:rPr/>
        <w:t>Across thirty-eight top-tier doctoral universities in fifteen countries and jurisdictions, institutional AI policies fall into four maturity classes defined by capability scope: assessment-only rules, dedicated student-misconduct policies, research-integrity policies, and AI-literacy policies that reach supervision and examination. The sample classifies into four categories in ascending order of scope:</w:t>
      </w:r>
      <w:r>
        <w:rPr>
          <w:rFonts w:ascii="Inter" w:hAnsi="Inter" w:cs="Inter"/>
          <w:b/>
          <w:color w:val="3092B1"/>
          <w:position w:val="8"/>
          <w:sz w:val="18"/>
          <w:szCs w:val="18"/>
          <w:vertAlign w:val="superscript"/>
        </w:rPr>
        <w:footnoteReference w:id="16"/>
      </w:r>
    </w:p>
    <w:p>
      <w:pPr>
        <w:pStyle w:val="Compact"/>
        <w:numPr>
          <w:ilvl w:val="0"/>
          <w:numId w:val="7"/>
        </w:numPr>
        <w:rPr/>
      </w:pPr>
      <w:r>
        <w:rPr>
          <w:i/>
          <w:iCs/>
        </w:rPr>
        <w:t>Class A — Generic student-conduct policy with an AI clause appended.</w:t>
      </w:r>
      <w:r>
        <w:rPr/>
        <w:t xml:space="preserve"> Four of the thirty-eight universities (approximately 11 per cent) sit here. AI appears only inside the institution’s existing academic-integrity rules; there is no separate framing for the research and research-training side. Stanford, Yale, UC Berkeley, and Wisconsin-Madison cluster at this layer.</w:t>
      </w:r>
    </w:p>
    <w:p>
      <w:pPr>
        <w:pStyle w:val="Compact"/>
        <w:numPr>
          <w:ilvl w:val="0"/>
          <w:numId w:val="7"/>
        </w:numPr>
        <w:rPr/>
      </w:pPr>
      <w:r>
        <w:rPr>
          <w:i/>
          <w:iCs/>
        </w:rPr>
        <w:t>Class B — AI-specific policy on plagiarism only.</w:t>
      </w:r>
      <w:r>
        <w:rPr/>
        <w:t xml:space="preserve"> Eleven of the thirty-eight (approximately 29 per cent) sit here. A dedicated AI policy exists, but the policy’s substantive scope ends at student-misconduct framing,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pPr>
        <w:pStyle w:val="Compact"/>
        <w:numPr>
          <w:ilvl w:val="0"/>
          <w:numId w:val="7"/>
        </w:numPr>
        <w:rPr/>
      </w:pPr>
      <w:r>
        <w:rPr>
          <w:i/>
          <w:iCs/>
        </w:rPr>
        <w:t>Class C — AI-specific policy extending into research integrity and reproducibility.</w:t>
      </w:r>
      <w:r>
        <w:rPr/>
        <w:t xml:space="preserve"> Seventeen of the thirty-eight (approximately 45 per cent) sit here, the modal posture.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pPr>
        <w:pStyle w:val="Compact"/>
        <w:numPr>
          <w:ilvl w:val="0"/>
          <w:numId w:val="7"/>
        </w:numPr>
        <w:rPr/>
      </w:pPr>
      <w:r>
        <w:rPr>
          <w:i/>
          <w:iCs/>
        </w:rPr>
        <w:t>Class D — AI-specific policy extending into AI literacy, competency, and examiner discipline.</w:t>
      </w:r>
      <w:r>
        <w:rPr/>
        <w:t xml:space="preserve"> Six of the thirty-eight (approximately 16 per cent) sit here. Class C plus 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7"/>
      </w:r>
    </w:p>
    <w:p>
      <w:pPr>
        <w:pStyle w:val="FirstParagraph"/>
        <w:rPr/>
      </w:pPr>
      <w:r>
        <w:rPr/>
        <w:t xml:space="preserve">The cross-country picture is sharper than the within-country picture. The German U15 sample (LMU, Heidelberg, Humboldt-Berlin, RWTH Aachen) clusters tightly at Class C and D, anchored by the pre-existing </w:t>
      </w:r>
      <w:r>
        <w:rPr>
          <w:i/>
          <w:iCs/>
        </w:rPr>
        <w:t>eidesstattliche Versicherung</w:t>
      </w:r>
      <w:r>
        <w:rP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university-wide AI framework, the first institutional AI policy in the global sample to cover teaching, research, and theses in a single integrated document, while the University of Tokyo, the National University of Singapore, and HKUST sit at Class B.</w:t>
      </w:r>
    </w:p>
    <w:p>
      <w:pPr>
        <w:pStyle w:val="BodyText"/>
        <w:rPr/>
      </w:pPr>
      <w:r>
        <w:rPr/>
        <w:t>Approximately one in six of the world’s top-tier doctoral universities has an AI policy that extends past research integrity into AI literacy and valid research practices.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AI literacy and valid research practices.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those capabilities reachable for institutions at any starting class.</w:t>
      </w:r>
    </w:p>
    <w:p>
      <w:pPr>
        <w:pStyle w:val="Normal"/>
        <w:rPr/>
      </w:pPr>
      <w:r>
        <w:rPr/>
        <mc:AlternateContent>
          <mc:Choice Requires="wps">
            <w:drawing>
              <wp:inline distT="0" distB="0" distL="0" distR="0">
                <wp:extent cx="597281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2"/>
    </w:p>
    <w:p>
      <w:pPr>
        <w:pStyle w:val="Heading2"/>
        <w:rPr/>
      </w:pPr>
      <w:bookmarkStart w:id="23" w:name="X9ebc4f84bbc00a46a110ccc18a9acd7ffb35c1e"/>
      <w:r>
        <w:rPr/>
        <w:t>Part 2 — A five-dimension capability framework</w:t>
      </w:r>
    </w:p>
    <w:p>
      <w:pPr>
        <w:pStyle w:val="FirstParagraph"/>
        <w:rPr/>
      </w:pPr>
      <w:r>
        <w:rPr/>
        <w:t>The framework’s five dimensions translate the principles in the existing literature (PNAS Blau et al. 2024; Council of Graduate Schools and Institut national de la recherche scientifique Global Action Agenda 2025; UNESCO AI Competency Frameworks 2024; Russell Group Principles 2023) into observable institutional behaviours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lacks a substantive foundation.</w:t>
      </w:r>
    </w:p>
    <w:p>
      <w:pPr>
        <w:pStyle w:val="Heading3"/>
        <w:rPr/>
      </w:pPr>
      <w:bookmarkStart w:id="24" w:name="dimension-1-human-in-the-loop-discipline"/>
      <w:r>
        <w:rPr/>
        <w:t>2.1 Dimension 1 — Human-in-the-loop discipline</w:t>
      </w:r>
    </w:p>
    <w:p>
      <w:pPr>
        <w:pStyle w:val="FirstParagraph"/>
        <w:rPr/>
      </w:pPr>
      <w:r>
        <w:rPr/>
        <w:t>The first dimension is the institutional commitment, articulated and operationalised, that the judgement steps that define research remain human. The labour steps can be augmented or accelerated by AI; the judgement steps cannot be outsourced to it without ceasing to be research.</w:t>
      </w:r>
    </w:p>
    <w:p>
      <w:pPr>
        <w:pStyle w:val="BodyText"/>
        <w:rPr/>
      </w:pPr>
      <w:r>
        <w:rPr/>
        <w:t>The most precise definition across the funder and publisher literature comes from the Australian Research Council and National Health and Medical Research Council April 2026 joint policy: “AI-generated content must be verified and should not replace expert opinion or judgement.”</w:t>
      </w:r>
      <w:r>
        <w:rPr>
          <w:rFonts w:ascii="Inter" w:hAnsi="Inter" w:cs="Inter"/>
          <w:b/>
          <w:color w:val="3092B1"/>
          <w:position w:val="8"/>
          <w:sz w:val="18"/>
          <w:szCs w:val="18"/>
          <w:vertAlign w:val="superscript"/>
        </w:rPr>
        <w:footnoteReference w:id="18"/>
      </w:r>
      <w:r>
        <w:rP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19"/>
      </w:r>
      <w:r>
        <w:rP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0"/>
      </w:r>
    </w:p>
    <w:p>
      <w:pPr>
        <w:pStyle w:val="BodyText"/>
        <w:rPr/>
      </w:pPr>
      <w:r>
        <w:rPr/>
        <w:t>Operationally, the dimension demarcates the research task at task level. Some tasks are labour,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w:t>
      </w:r>
    </w:p>
    <w:p>
      <w:pPr>
        <w:pStyle w:val="BodyText"/>
        <w:rPr/>
      </w:pPr>
      <w:r>
        <w:rP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instance: validity, integrity, and accountability are framed in a way that AI augmentation must respect, not in a way that closes off AI augmentation. The German </w:t>
      </w:r>
      <w:r>
        <w:rPr>
          <w:i/>
          <w:iCs/>
        </w:rPr>
        <w:t>eidesstattliche Versicherung</w:t>
      </w:r>
      <w:r>
        <w:rPr/>
        <w:t xml:space="preserve"> (sworn affidavit)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1"/>
      </w:r>
    </w:p>
    <w:p>
      <w:pPr>
        <w:pStyle w:val="BodyText"/>
        <w:rPr/>
      </w:pPr>
      <w:r>
        <w:rP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w:t>
      </w:r>
      <w:bookmarkEnd w:id="24"/>
    </w:p>
    <w:p>
      <w:pPr>
        <w:pStyle w:val="Heading3"/>
        <w:rPr/>
      </w:pPr>
      <w:bookmarkStart w:id="25" w:name="dimension-2-responsible-use-in-practice"/>
      <w:r>
        <w:rPr/>
        <w:t>2.2 Dimension 2 — Responsible use in practice</w:t>
      </w:r>
    </w:p>
    <w:p>
      <w:pPr>
        <w:pStyle w:val="FirstParagraph"/>
        <w:rPr/>
      </w:pPr>
      <w:r>
        <w:rPr/>
        <w:t>The second dimension is the operationalisation of “responsible AI use” from principle to research-task workflow. The phrase is in every funder, publisher, institutional, and capability-framework policy in the sample.</w:t>
      </w:r>
      <w:r>
        <w:rPr>
          <w:rFonts w:ascii="Inter" w:hAnsi="Inter" w:cs="Inter"/>
          <w:b/>
          <w:color w:val="3092B1"/>
          <w:position w:val="8"/>
          <w:sz w:val="18"/>
          <w:szCs w:val="18"/>
          <w:vertAlign w:val="superscript"/>
        </w:rPr>
        <w:footnoteReference w:id="22"/>
      </w:r>
      <w:r>
        <w:rPr/>
        <w:t xml:space="preserve"> </w:t>
      </w:r>
      <w:r>
        <w:rPr>
          <w:rFonts w:ascii="Inter" w:hAnsi="Inter" w:cs="Inter"/>
          <w:b/>
          <w:color w:val="3092B1"/>
          <w:position w:val="8"/>
          <w:sz w:val="18"/>
          <w:szCs w:val="18"/>
          <w:vertAlign w:val="superscript"/>
        </w:rPr>
        <w:footnoteReference w:id="23"/>
      </w:r>
      <w:r>
        <w:rPr/>
        <w:t xml:space="preserve"> </w:t>
      </w:r>
      <w:r>
        <w:rPr>
          <w:rFonts w:ascii="Inter" w:hAnsi="Inter" w:cs="Inter"/>
          <w:b/>
          <w:color w:val="3092B1"/>
          <w:position w:val="8"/>
          <w:sz w:val="18"/>
          <w:szCs w:val="18"/>
          <w:vertAlign w:val="superscript"/>
        </w:rPr>
        <w:footnoteReference w:id="24"/>
      </w:r>
      <w:r>
        <w:rPr/>
        <w:t xml:space="preserve"> </w:t>
      </w:r>
      <w:r>
        <w:rPr>
          <w:rFonts w:ascii="Inter" w:hAnsi="Inter" w:cs="Inter"/>
          <w:b/>
          <w:color w:val="3092B1"/>
          <w:position w:val="8"/>
          <w:sz w:val="18"/>
          <w:szCs w:val="18"/>
          <w:vertAlign w:val="superscript"/>
        </w:rPr>
        <w:footnoteReference w:id="25"/>
      </w:r>
      <w:r>
        <w:rPr/>
        <w:t xml:space="preserve"> Its operational meaning has converged across three actor groups, and these groups are not aligned with each other.</w:t>
      </w:r>
    </w:p>
    <w:p>
      <w:pPr>
        <w:pStyle w:val="BodyText"/>
        <w:rPr/>
      </w:pPr>
      <w:r>
        <w:rPr/>
        <w:t>Publishers have converged at disclosure.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7"/>
      </w:r>
      <w:r>
        <w:rPr/>
        <w:t xml:space="preserve">, </w:t>
      </w:r>
      <w:r>
        <w:rPr>
          <w:rFonts w:ascii="Inter" w:hAnsi="Inter" w:cs="Inter"/>
          <w:b/>
          <w:color w:val="3092B1"/>
          <w:position w:val="8"/>
          <w:sz w:val="18"/>
          <w:szCs w:val="18"/>
          <w:vertAlign w:val="superscript"/>
        </w:rPr>
        <w:footnoteReference w:id="28"/>
      </w:r>
      <w:r>
        <w:rPr/>
        <w:t xml:space="preserve"> The standards anchor where in a manuscript the AI use is recorded and in what format. They do not test whether the AI use was responsibly conducted.</w:t>
      </w:r>
    </w:p>
    <w:p>
      <w:pPr>
        <w:pStyle w:val="BodyText"/>
        <w:rPr/>
      </w:pPr>
      <w:r>
        <w:rPr/>
        <w:t>National research funders have converged at application-stage transparency. The Council of Graduate Schools and Institut national de la recherche scientifique 2025 Global Action Agenda specifies seven principles of which Integrity, Transparency, and Responsibility and Accountability carry the responsible-use weight at institutional level.</w:t>
      </w:r>
      <w:r>
        <w:rPr>
          <w:rFonts w:ascii="Inter" w:hAnsi="Inter" w:cs="Inter"/>
          <w:b/>
          <w:color w:val="3092B1"/>
          <w:position w:val="8"/>
          <w:sz w:val="18"/>
          <w:szCs w:val="18"/>
          <w:vertAlign w:val="superscript"/>
        </w:rPr>
        <w:footnoteReference w:id="29"/>
      </w:r>
      <w:r>
        <w:rP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0"/>
      </w:r>
      <w:r>
        <w:rPr/>
        <w:t xml:space="preserve"> These standards mandate disclosure but do not define responsible use.</w:t>
      </w:r>
    </w:p>
    <w:p>
      <w:pPr>
        <w:pStyle w:val="BodyText"/>
        <w:rPr/>
      </w:pPr>
      <w:r>
        <w:rPr/>
        <w:t>The capability-framework literature converges at principle-level definitions: human-centred orientation, ethics, AI knowledge, AI literacy.</w:t>
      </w:r>
      <w:r>
        <w:rPr>
          <w:rFonts w:ascii="Inter" w:hAnsi="Inter" w:cs="Inter"/>
          <w:b/>
          <w:color w:val="3092B1"/>
          <w:position w:val="8"/>
          <w:sz w:val="18"/>
          <w:szCs w:val="18"/>
          <w:vertAlign w:val="superscript"/>
        </w:rPr>
        <w:footnoteReference w:id="31"/>
      </w:r>
      <w:r>
        <w:rPr/>
        <w:t xml:space="preserve"> These principles are unobjectionable; they do not translate to research-task-level rules.</w:t>
      </w:r>
    </w:p>
    <w:p>
      <w:pPr>
        <w:pStyle w:val="BodyText"/>
        <w:rPr/>
      </w:pPr>
      <w:r>
        <w:rPr/>
        <w:t>The Dimension 2 contribution is to specify responsible use at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2"/>
      </w:r>
    </w:p>
    <w:p>
      <w:pPr>
        <w:pStyle w:val="Compact"/>
        <w:numPr>
          <w:ilvl w:val="0"/>
          <w:numId w:val="7"/>
        </w:numPr>
        <w:rPr/>
      </w:pPr>
      <w:r>
        <w:rPr>
          <w:i/>
          <w:iCs/>
        </w:rPr>
        <w:t>Search.</w:t>
      </w:r>
      <w:r>
        <w:rP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baseline.</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p>
    <w:p>
      <w:pPr>
        <w:pStyle w:val="Compact"/>
        <w:numPr>
          <w:ilvl w:val="0"/>
          <w:numId w:val="7"/>
        </w:numPr>
        <w:rPr/>
      </w:pPr>
      <w:r>
        <w:rPr>
          <w:i/>
          <w:iCs/>
        </w:rPr>
        <w:t>Co-author.</w:t>
      </w:r>
      <w:r>
        <w:rP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pPr>
        <w:pStyle w:val="Compact"/>
        <w:numPr>
          <w:ilvl w:val="0"/>
          <w:numId w:val="7"/>
        </w:numPr>
        <w:rPr/>
      </w:pPr>
      <w:r>
        <w:rPr>
          <w:i/>
          <w:iCs/>
        </w:rPr>
        <w:t>Validator.</w:t>
      </w:r>
      <w:r>
        <w:rPr/>
        <w:t xml:space="preserve"> Treat AI critique as a brainstorm prompt, not as a validation that completes the adversarial-review obligation. Run the critique through a model from a different family than the one that produced the original argument (Dimension 4’s model-heterogeneity discipline). Treat agreement with the user’s framing as a sycophancy signal, not as a validation signal.</w:t>
      </w:r>
      <w:r>
        <w:rPr>
          <w:rFonts w:ascii="Inter" w:hAnsi="Inter" w:cs="Inter"/>
          <w:b/>
          <w:color w:val="3092B1"/>
          <w:position w:val="8"/>
          <w:sz w:val="18"/>
          <w:szCs w:val="18"/>
          <w:vertAlign w:val="superscript"/>
        </w:rPr>
        <w:footnoteReference w:id="3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6"/>
      </w:r>
    </w:p>
    <w:p>
      <w:pPr>
        <w:pStyle w:val="Compact"/>
        <w:numPr>
          <w:ilvl w:val="0"/>
          <w:numId w:val="7"/>
        </w:numPr>
        <w:rPr/>
      </w:pPr>
      <w:r>
        <w:rPr>
          <w:i/>
          <w:iCs/>
        </w:rPr>
        <w:t>Tutor.</w:t>
      </w:r>
      <w:r>
        <w:rPr/>
        <w:t xml:space="preserve"> Use corpus-grounded tutoring (RAG over the supervisor’s reading list, institutional knowledge bases) in preference to free-form chat. Require the student to demonstrate independent recall of the core concepts before accepting AI-assisted progress as evidence of learning.</w:t>
      </w:r>
    </w:p>
    <w:p>
      <w:pPr>
        <w:pStyle w:val="FirstParagraph"/>
        <w:rPr/>
      </w:pPr>
      <w:r>
        <w:rPr/>
        <w:t>The dimension’s operational test is whether the institution has translated its high-level “responsible use” language into rules at this level of specificity, and whether the supervision-and-examination practice actually applies them. Where it has, supervisors can articulate the practice on a single page; PhD candidates can apply it in their methods chapter; examiners can check it during the viva voce. Where it has not, “responsible use” remains a phrase rather than a practice.</w:t>
      </w:r>
      <w:bookmarkEnd w:id="25"/>
    </w:p>
    <w:p>
      <w:pPr>
        <w:pStyle w:val="Heading3"/>
        <w:rPr/>
      </w:pPr>
      <w:bookmarkStart w:id="26" w:name="X805c1c6013402fdf28df478a2e33eeb31711dbe"/>
      <w:r>
        <w:rPr/>
        <w:t>2.3 Dimension 3 — Tooling that promotes responsible use</w:t>
      </w:r>
    </w:p>
    <w:p>
      <w:pPr>
        <w:pStyle w:val="FirstParagraph"/>
        <w:rPr/>
      </w:pPr>
      <w:r>
        <w:rP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capability. Dossier 5 specifies the test.</w:t>
      </w:r>
      <w:r>
        <w:rPr>
          <w:rFonts w:ascii="Inter" w:hAnsi="Inter" w:cs="Inter"/>
          <w:b/>
          <w:color w:val="3092B1"/>
          <w:position w:val="8"/>
          <w:sz w:val="18"/>
          <w:szCs w:val="18"/>
          <w:vertAlign w:val="superscript"/>
        </w:rPr>
        <w:footnoteReference w:id="37"/>
      </w:r>
    </w:p>
    <w:p>
      <w:pPr>
        <w:pStyle w:val="BodyText"/>
        <w:rPr/>
      </w:pPr>
      <w:r>
        <w:rPr/>
        <w:t>Vendor claims are insufficient. Six observable properties belong in the procurement test:</w:t>
      </w:r>
    </w:p>
    <w:p>
      <w:pPr>
        <w:pStyle w:val="Compact"/>
        <w:numPr>
          <w:ilvl w:val="0"/>
          <w:numId w:val="7"/>
        </w:numPr>
        <w:rPr/>
      </w:pPr>
      <w:r>
        <w:rPr>
          <w:i/>
          <w:iCs/>
        </w:rPr>
        <w:t>Verifiable citation and resolvability.</w:t>
      </w:r>
      <w:r>
        <w:rPr/>
        <w:t xml:space="preserve"> The tool emits a verifiable citation for every factual claim, and those citations pass a manual check on a sample at procurement time. The Stanford RegLab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8"/>
      </w:r>
      <w:r>
        <w:rP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39"/>
      </w:r>
      <w:r>
        <w:rPr/>
        <w:t xml:space="preserve"> Retrieval augmentation reduces but does not eliminate hallucination, and it shifts the failure mode from “invented references” to “misattributed real sources,” a harder failure to spot.</w:t>
      </w:r>
    </w:p>
    <w:p>
      <w:pPr>
        <w:pStyle w:val="Compact"/>
        <w:numPr>
          <w:ilvl w:val="0"/>
          <w:numId w:val="7"/>
        </w:numPr>
        <w:rPr/>
      </w:pPr>
      <w:r>
        <w:rPr>
          <w:i/>
          <w:iCs/>
        </w:rPr>
        <w:t>Data residency and training-on-input governance.</w:t>
      </w:r>
      <w:r>
        <w:rPr/>
        <w:t xml:space="preserve"> Enterprise-tenanted deployments with training-on-input disabled (M365 Copilot inside an EU Data Boundary tenant; ChatGPT Enterprise; Claude Enterprise; Gemini Workspace; on-premise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0"/>
      </w:r>
    </w:p>
    <w:p>
      <w:pPr>
        <w:pStyle w:val="Compact"/>
        <w:numPr>
          <w:ilvl w:val="0"/>
          <w:numId w:val="7"/>
        </w:numPr>
        <w:rPr/>
      </w:pPr>
      <w:r>
        <w:rPr>
          <w:i/>
          <w:iCs/>
        </w:rPr>
        <w:t>First-class uncertainty reporting.</w:t>
      </w:r>
      <w:r>
        <w:rPr/>
        <w:t xml:space="preserve"> The AlphaFold-class of specialised research tools (Class 8 in Appendix C) demonstrates that per-residue confidence (pLDDT), pairwise alignment-error matrices (PAE), and inter-chain confidence (ipTM) can be first-class outputs.</w:t>
      </w:r>
      <w:r>
        <w:rPr>
          <w:rFonts w:ascii="Inter" w:hAnsi="Inter" w:cs="Inter"/>
          <w:b/>
          <w:color w:val="3092B1"/>
          <w:position w:val="8"/>
          <w:sz w:val="18"/>
          <w:szCs w:val="18"/>
          <w:vertAlign w:val="superscript"/>
        </w:rPr>
        <w:footnoteReference w:id="41"/>
      </w:r>
      <w:r>
        <w:rPr/>
        <w:t xml:space="preserve"> The existence proof matters: an institution can ask of any candidate tool whether uncertainty is a first-class output or a hidden default.</w:t>
      </w:r>
    </w:p>
    <w:p>
      <w:pPr>
        <w:pStyle w:val="Compact"/>
        <w:numPr>
          <w:ilvl w:val="0"/>
          <w:numId w:val="7"/>
        </w:numPr>
        <w:rPr/>
      </w:pPr>
      <w:r>
        <w:rPr>
          <w:i/>
          <w:iCs/>
        </w:rPr>
        <w:t>Reproducibility at a known model version.</w:t>
      </w:r>
      <w:r>
        <w:rPr/>
        <w:t xml:space="preserve"> Reproducibility at a specified model version (date-stamped weights or API endpoint, fixed temperature, fixed seed where exposed) is the baseline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2"/>
      </w:r>
    </w:p>
    <w:p>
      <w:pPr>
        <w:pStyle w:val="Compact"/>
        <w:numPr>
          <w:ilvl w:val="0"/>
          <w:numId w:val="7"/>
        </w:numPr>
        <w:rPr/>
      </w:pPr>
      <w:r>
        <w:rPr>
          <w:i/>
          <w:iCs/>
        </w:rPr>
        <w:t>Auditability via session logs.</w:t>
      </w:r>
      <w:r>
        <w:rPr/>
        <w:t xml:space="preserve"> An institutional records-governance regime that retains AI-mediated session logs for an articulated retention window is the basis for post-hoc review, complaint investigation, and supervision audit.</w:t>
      </w:r>
    </w:p>
    <w:p>
      <w:pPr>
        <w:pStyle w:val="Compact"/>
        <w:numPr>
          <w:ilvl w:val="0"/>
          <w:numId w:val="7"/>
        </w:numPr>
        <w:rPr/>
      </w:pPr>
      <w:r>
        <w:rPr>
          <w:i/>
          <w:iCs/>
        </w:rPr>
        <w:t>Open-source-and-local options where the research workload supports them.</w:t>
      </w:r>
      <w:r>
        <w:rPr/>
        <w:t xml:space="preserve"> ASReview (active-learning literature screening) and Whisper-local (transcription) are existence proofs that responsible-by-construction tooling can be locally executed, fully auditable, and entirely under institutional control.</w:t>
      </w:r>
    </w:p>
    <w:p>
      <w:pPr>
        <w:pStyle w:val="FirstParagraph"/>
        <w:rPr/>
      </w:pPr>
      <w:r>
        <w:rPr/>
        <w:t>The training-data-lawfulness picture for AI training corpora is now legally constrained. The European Data Protection Board’s Opinion 28/2024 of 17 December 2024, the CNIL recommendations of 19 June 2025, the Italian Garante decision of 2 November 2024 on OpenAI, and Canada’s Office of the Privacy Commissioner 2026 joint OpenAI investigation converge: training on personal data scraped from the public web is constrained by a three-step balancing test under the General Data Protection Regulation that disfavours indiscriminate scraping.</w:t>
      </w:r>
      <w:r>
        <w:rPr>
          <w:rFonts w:ascii="Inter" w:hAnsi="Inter" w:cs="Inter"/>
          <w:b/>
          <w:color w:val="3092B1"/>
          <w:position w:val="8"/>
          <w:sz w:val="18"/>
          <w:szCs w:val="18"/>
          <w:vertAlign w:val="superscript"/>
        </w:rPr>
        <w:footnoteReference w:id="4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4"/>
      </w:r>
      <w:r>
        <w:rP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5"/>
      </w:r>
      <w:r>
        <w:rP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pPr>
        <w:pStyle w:val="BodyText"/>
        <w:rPr/>
      </w:pPr>
      <w:r>
        <w:rPr/>
        <w:t>Where Dimension 3 is absent, AI procurement is a private decision by each laboratory, with no institutional gate on the observable-property test. Where Dimension 3 is leading, the institution publishes its AI procurement standard, samples vendor outputs against the resolvability test before deployment, and re-tests on a stated cadence as model versions change.</w:t>
      </w:r>
      <w:bookmarkEnd w:id="26"/>
    </w:p>
    <w:p>
      <w:pPr>
        <w:pStyle w:val="Heading3"/>
        <w:rPr/>
      </w:pPr>
      <w:bookmarkStart w:id="27" w:name="dimension-4-ai-literate-humans"/>
      <w:r>
        <w:rPr/>
        <w:t>2.4 Dimension 4 — AI-literate humans</w:t>
      </w:r>
    </w:p>
    <w:p>
      <w:pPr>
        <w:pStyle w:val="FirstParagraph"/>
        <w:rPr/>
      </w:pPr>
      <w:r>
        <w:rP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6"/>
      </w:r>
      <w:r>
        <w:rP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7"/>
      </w:r>
      <w:r>
        <w:rPr/>
        <w:t xml:space="preserve"> The capability-framework literature in Dossier 3 populates this dimension more densely than any other, with UNESCO, OECD-EC AILit, Digital Education Council, Jisc, and DigComp 2.2 all contributing.</w:t>
      </w:r>
    </w:p>
    <w:p>
      <w:pPr>
        <w:pStyle w:val="BodyText"/>
        <w:rPr/>
      </w:pPr>
      <w:r>
        <w:rP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8"/>
      </w:r>
      <w:r>
        <w:rPr/>
        <w:t xml:space="preserve"> A PhD researcher trained on that pre-AI canon brings the foundation for AI-augmented research: reproducibility, validity, and scepticism; the AI-era competencies extend that foundation.</w:t>
      </w:r>
    </w:p>
    <w:p>
      <w:pPr>
        <w:pStyle w:val="BodyText"/>
        <w:rPr/>
      </w:pPr>
      <w:r>
        <w:rPr/>
        <w:t>Six competencies are load-bearing.</w:t>
      </w:r>
    </w:p>
    <w:p>
      <w:pPr>
        <w:pStyle w:val="Compact"/>
        <w:numPr>
          <w:ilvl w:val="0"/>
          <w:numId w:val="19"/>
        </w:numPr>
        <w:rPr/>
      </w:pPr>
      <w:r>
        <w:rPr>
          <w:i/>
          <w:iCs/>
        </w:rPr>
        <w:t>Citation verification.</w:t>
      </w:r>
      <w:r>
        <w:rPr/>
        <w:t xml:space="preserve"> Every citation produced by an LLM workflow is verified against the primary source before publication. The Walters and Wilder 2023 fabrication rate (18 per cent on GPT-4, 55 per cent on GPT-3.5) is the empirical baseline;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4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0"/>
      </w:r>
      <w:r>
        <w:rPr/>
        <w:t xml:space="preserve">, </w:t>
      </w:r>
      <w:r>
        <w:rPr>
          <w:rFonts w:ascii="Inter" w:hAnsi="Inter" w:cs="Inter"/>
          <w:b/>
          <w:color w:val="3092B1"/>
          <w:position w:val="8"/>
          <w:sz w:val="18"/>
          <w:szCs w:val="18"/>
          <w:vertAlign w:val="superscript"/>
        </w:rPr>
        <w:footnoteReference w:id="51"/>
      </w:r>
    </w:p>
    <w:p>
      <w:pPr>
        <w:pStyle w:val="Compact"/>
        <w:numPr>
          <w:ilvl w:val="0"/>
          <w:numId w:val="16"/>
        </w:numPr>
        <w:rPr/>
      </w:pPr>
      <w:r>
        <w:rPr>
          <w:i/>
          <w:iCs/>
        </w:rPr>
        <w:t>Model and parameter specification.</w:t>
      </w:r>
      <w:r>
        <w:rP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2"/>
      </w:r>
    </w:p>
    <w:p>
      <w:pPr>
        <w:pStyle w:val="Compact"/>
        <w:numPr>
          <w:ilvl w:val="0"/>
          <w:numId w:val="16"/>
        </w:numPr>
        <w:rPr/>
      </w:pPr>
      <w:r>
        <w:rPr>
          <w:i/>
          <w:iCs/>
        </w:rPr>
        <w:t>Prompt-as-fork-in-the-garden discipline.</w:t>
      </w:r>
      <w:r>
        <w:rPr/>
        <w:t xml:space="preserve"> Prompt selection is a researcher degree of freedom analogous to analytic choice in the original p-hacking discussion (Simmons, Nelson, Simonsohn 2011). The arXiv 2509.08825 systematic evaluation found “LLM hacking occurs in 31-50 per cent of cases even with highly capable models” driven by prompt variants alone.</w:t>
      </w:r>
      <w:r>
        <w:rPr>
          <w:rFonts w:ascii="Inter" w:hAnsi="Inter" w:cs="Inter"/>
          <w:b/>
          <w:color w:val="3092B1"/>
          <w:position w:val="8"/>
          <w:sz w:val="18"/>
          <w:szCs w:val="18"/>
          <w:vertAlign w:val="superscript"/>
        </w:rPr>
        <w:footnoteReference w:id="53"/>
      </w:r>
      <w:r>
        <w:rPr/>
        <w:t xml:space="preserve"> Pre-registration of prompts, analysis plans, and prompt-sensitivity tests is the discipline that contains the problem.</w:t>
      </w:r>
    </w:p>
    <w:p>
      <w:pPr>
        <w:pStyle w:val="Compact"/>
        <w:numPr>
          <w:ilvl w:val="0"/>
          <w:numId w:val="16"/>
        </w:numPr>
        <w:rPr/>
      </w:pPr>
      <w:r>
        <w:rPr>
          <w:i/>
          <w:iCs/>
        </w:rPr>
        <w:t>Model-heterogeneity in adversarial review.</w:t>
      </w:r>
      <w:r>
        <w:rP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break down because the same parameters produce both the original answer and the critique.</w:t>
      </w:r>
      <w:r>
        <w:rPr>
          <w:rFonts w:ascii="Inter" w:hAnsi="Inter" w:cs="Inter"/>
          <w:b/>
          <w:color w:val="3092B1"/>
          <w:position w:val="8"/>
          <w:sz w:val="18"/>
          <w:szCs w:val="18"/>
          <w:vertAlign w:val="superscript"/>
        </w:rPr>
        <w:footnoteReference w:id="5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5"/>
      </w:r>
    </w:p>
    <w:p>
      <w:pPr>
        <w:pStyle w:val="Compact"/>
        <w:numPr>
          <w:ilvl w:val="0"/>
          <w:numId w:val="16"/>
        </w:numPr>
        <w:rPr/>
      </w:pPr>
      <w:r>
        <w:rPr>
          <w:i/>
          <w:iCs/>
        </w:rPr>
        <w:t>Sycophancy detection and human-as-verifier discipline.</w:t>
      </w:r>
      <w:r>
        <w:rP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recognising them.</w:t>
      </w:r>
      <w:r>
        <w:rPr>
          <w:rFonts w:ascii="Inter" w:hAnsi="Inter" w:cs="Inter"/>
          <w:b/>
          <w:color w:val="3092B1"/>
          <w:position w:val="8"/>
          <w:sz w:val="18"/>
          <w:szCs w:val="18"/>
          <w:vertAlign w:val="superscript"/>
        </w:rPr>
        <w:footnoteReference w:id="56"/>
      </w:r>
    </w:p>
    <w:p>
      <w:pPr>
        <w:pStyle w:val="Compact"/>
        <w:numPr>
          <w:ilvl w:val="0"/>
          <w:numId w:val="16"/>
        </w:numPr>
        <w:rPr/>
      </w:pPr>
      <w:r>
        <w:rPr>
          <w:i/>
          <w:iCs/>
        </w:rPr>
        <w:t>Structured failure-mode reporting.</w:t>
      </w:r>
      <w:r>
        <w:rPr/>
        <w:t xml:space="preserve"> AI evaluations, AI-augmented analyses, and AI-mediated literature syntheses report protocol, threat model, instrumentation, 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8"/>
      </w:r>
    </w:p>
    <w:p>
      <w:pPr>
        <w:pStyle w:val="FirstParagraph"/>
        <w:rPr/>
      </w:pPr>
      <w:r>
        <w:rPr/>
        <w:t>The unifying competency is validity reasoning. A PhD researcher trained on the pre-AI reproducibility canon and on these six AI-era additions should be able to reason about validity claims in AI-augmented research by treating AI as a tool that introduces specific, characterisable failure modes (fabrication, prompt-sensitivity, non-determinism, model-version drift, sycophancy, agreement amplification) and applying the same adversarial-validation discipline the field developed to handle p-hacking, publication bias, and HARKing. Validity reasoning is the core judgement competency for AI-augmented research, carrying the existing reproducibility canon into tool-mediated practice.</w:t>
      </w:r>
    </w:p>
    <w:p>
      <w:pPr>
        <w:pStyle w:val="BodyText"/>
        <w:rPr/>
      </w:pPr>
      <w:r>
        <w:rP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7"/>
    </w:p>
    <w:p>
      <w:pPr>
        <w:pStyle w:val="Heading3"/>
        <w:rPr/>
      </w:pPr>
      <w:bookmarkStart w:id="28" w:name="X04c51b46a89726e63cb47cb909f3f41f147c501"/>
      <w:r>
        <w:rPr/>
        <w:t>2.5 Dimension 5 — Institutional benchmarking grid</w:t>
      </w:r>
    </w:p>
    <w:p>
      <w:pPr>
        <w:pStyle w:val="FirstParagraph"/>
        <w:rPr/>
      </w:pPr>
      <w:r>
        <w:rPr/>
        <w:t>The fifth dimension is an institution’s ability to assess its standing on Dimensions 1-4 and act on the results. The four preceding dimensions describe substantive content; the fifth describes the institutional architecture across which that content is enacted.</w:t>
      </w:r>
    </w:p>
    <w:p>
      <w:pPr>
        <w:pStyle w:val="BodyText"/>
        <w:rPr/>
      </w:pPr>
      <w:r>
        <w:rPr/>
        <w:t xml:space="preserve">Four axes structure the architecture. The first is </w:t>
      </w:r>
      <w:r>
        <w:rPr>
          <w:i/>
          <w:iCs/>
        </w:rPr>
        <w:t>policy</w:t>
      </w:r>
      <w:r>
        <w:rP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rP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rP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rPr/>
        <w:t>: the institutional workflow by which AI use enters supervision, examination, and the PhD-progression milestones: confirmation, mid-candidature review, completion seminar, thesis submission, viva voce, examiner-report adjudication, post-thesis publication, and dissemination.</w:t>
      </w:r>
    </w:p>
    <w:p>
      <w:pPr>
        <w:pStyle w:val="BodyText"/>
        <w:rPr/>
      </w:pPr>
      <w:r>
        <w:rPr/>
        <w:t>The maturity grid in Part 4 crosses the four preceding dimensions with four maturity levels (absent, nascent, established, leading) and populates each cell with observable institutional behaviours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pPr>
        <w:pStyle w:val="BodyText"/>
        <w:rPr/>
      </w:pPr>
      <w:r>
        <w:rPr/>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59"/>
      </w:r>
      <w:r>
        <w:rP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0"/>
      </w:r>
      <w:r>
        <w:rP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pPr>
        <w:pStyle w:val="BodyText"/>
        <w:rPr/>
      </w:pPr>
      <w:r>
        <w:rPr/>
        <w:t>A policy document is a row in the capability grid, not the grid. The dimension’s purpose is not to mandate a single right answer to any of the four axes. Institutional context varies, and an institutional choice that is leading at one university may be inappropriate at another. The purpose is to make the choice visible.</w:t>
      </w:r>
      <w:bookmarkEnd w:id="23"/>
      <w:bookmarkEnd w:id="28"/>
    </w:p>
    <w:p>
      <w:pPr>
        <w:pStyle w:val="Heading2"/>
        <w:rPr/>
      </w:pPr>
      <w:bookmarkStart w:id="29" w:name="Xd1a73a0edba9ddda1e0d20cf1ed0ad021cf16f3"/>
      <w:r>
        <w:rPr/>
        <w:t>Part 3 — What the international evidence shows</w:t>
      </w:r>
    </w:p>
    <w:p>
      <w:pPr>
        <w:pStyle w:val="FirstParagraph"/>
        <w:rPr/>
      </w:pPr>
      <w:r>
        <w:rPr/>
        <w:t>Part 3 populates the framework with what international evidence currently shows on each dimension. Four bodies of evidence are surveyed: national research-funder positions; institutional AI policies at top-tier doctoral universities; AI co-authorship and use policies at major academic publishers; and the existing AI-literacy and researcher-development capability-framework literature. They are sequenced by regulatory weight in the audience’s institutional environment: funders set the terms of grant-funded research; institutions set the terms of doctoral training; publishers set the terms of output dissemination; the capability-framework literature is the prior literature the framework is in conversation with.</w:t>
      </w:r>
    </w:p>
    <w:p>
      <w:pPr>
        <w:pStyle w:val="BodyText"/>
        <w:rPr/>
      </w:pPr>
      <w:r>
        <w:rPr/>
        <w:t>The same pattern recurs across all four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valid research practices. The capability-framework literature is mature for K-12 and general undergraduate audiences but did not, in 2025-2026, populate the research-training-native PhD curriculum the report’s Dimension 4 has now articulated.</w:t>
      </w:r>
    </w:p>
    <w:p>
      <w:pPr>
        <w:pStyle w:val="Heading3"/>
        <w:rPr/>
      </w:pPr>
      <w:bookmarkStart w:id="30" w:name="national-research-funder-positions"/>
      <w:r>
        <w:rPr/>
        <w:t>3.1 National research-funder positions</w:t>
      </w:r>
    </w:p>
    <w:p>
      <w:pPr>
        <w:pStyle w:val="FirstParagraph"/>
        <w:rPr/>
      </w:pPr>
      <w:r>
        <w:rPr/>
        <w:t>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Organisation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1"/>
      </w:r>
    </w:p>
    <w:p>
      <w:pPr>
        <w:pStyle w:val="BodyText"/>
        <w:rPr/>
      </w:pPr>
      <w:r>
        <w:rPr/>
        <w:t>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area of variation. UK Research and Innovation, the Netherlands Organisation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2"/>
      </w:r>
      <w:r>
        <w:rP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whether you have used AI.”</w:t>
      </w:r>
      <w:r>
        <w:rPr>
          <w:rFonts w:ascii="Inter" w:hAnsi="Inter" w:cs="Inter"/>
          <w:b/>
          <w:color w:val="3092B1"/>
          <w:position w:val="8"/>
          <w:sz w:val="18"/>
          <w:szCs w:val="18"/>
          <w:vertAlign w:val="superscript"/>
        </w:rPr>
        <w:footnoteReference w:id="63"/>
      </w:r>
      <w:r>
        <w:rP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pPr>
        <w:pStyle w:val="BodyText"/>
        <w:rPr/>
      </w:pPr>
      <w:r>
        <w:rP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national research funders are regulating the front and back of the grant lifecycle, application and assessment, while leaving the middle (the actual research) to the institution. Universities are exactly the actor Part 1.3 finds is least operationally developed.</w:t>
      </w:r>
    </w:p>
    <w:p>
      <w:pPr>
        <w:pStyle w:val="BodyText"/>
        <w:rPr/>
      </w:pPr>
      <w:r>
        <w:rPr/>
        <w:t>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Centres for Doctoral Training co-funded across the component councils at £117 million across sixteen universities, with first cohorts in 2024-2025.</w:t>
      </w:r>
      <w:r>
        <w:rPr>
          <w:rFonts w:ascii="Inter" w:hAnsi="Inter" w:cs="Inter"/>
          <w:b/>
          <w:color w:val="3092B1"/>
          <w:position w:val="8"/>
          <w:sz w:val="18"/>
          <w:szCs w:val="18"/>
          <w:vertAlign w:val="superscript"/>
        </w:rPr>
        <w:footnoteReference w:id="64"/>
      </w:r>
      <w:r>
        <w:rP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explicit and the funder is not paying to make them true.</w:t>
      </w:r>
    </w:p>
    <w:p>
      <w:pPr>
        <w:pStyle w:val="BodyText"/>
        <w:rPr/>
      </w:pPr>
      <w:r>
        <w:rP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5"/>
      </w:r>
      <w:r>
        <w:rPr/>
        <w:t xml:space="preserve"> The trajectory is policy-issuance, not the deeper question of what funded researchers are actually trained to do with AI. The Dimension 4 (AI-literate humans) gap the funders are leaving open is what universities need to close.</w:t>
      </w:r>
      <w:bookmarkEnd w:id="30"/>
    </w:p>
    <w:p>
      <w:pPr>
        <w:pStyle w:val="Heading3"/>
        <w:rPr/>
      </w:pPr>
      <w:bookmarkStart w:id="31" w:name="X02ed1aa3513dc0bebac80dd57b4494edf619a91"/>
      <w:r>
        <w:rPr/>
        <w:t>3.2 Top-tier university institutional policies</w:t>
      </w:r>
    </w:p>
    <w:p>
      <w:pPr>
        <w:pStyle w:val="FirstParagraph"/>
        <w:rPr/>
      </w:pPr>
      <w:r>
        <w:rPr/>
        <w:t>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6"/>
      </w:r>
    </w:p>
    <w:p>
      <w:pPr>
        <w:pStyle w:val="BodyText"/>
        <w:rPr/>
      </w:pPr>
      <w:r>
        <w:rP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valid research practices). Approximately one in six top-tier doctoral universities has crossed the plagiarism-policy ceiling into the AI-literacy and valid-research-practices territory. The other five in six have not, in different ways.</w:t>
      </w:r>
    </w:p>
    <w:p>
      <w:pPr>
        <w:pStyle w:val="BodyText"/>
        <w:rPr/>
      </w:pPr>
      <w:r>
        <w:rPr/>
        <w:t xml:space="preserve">The country-cluster structure is sharp. The German U15 sample sits at Class C and D, anchored by the </w:t>
      </w:r>
      <w:r>
        <w:rPr>
          <w:i/>
          <w:iCs/>
        </w:rPr>
        <w:t>eidesstattliche Versicherung</w:t>
      </w:r>
      <w:r>
        <w:rPr/>
        <w:t xml:space="preserve"> (sworn affidavit) tradition that every German doctoral candidate already signs and to which AI disclosure has been bolted on with native legal anchorage, making Germany the most consistently leading cluster in the global sample. Heidelberg’s Graduate Academy is the single Class D institution in 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pPr>
        <w:pStyle w:val="BodyText"/>
        <w:rPr/>
      </w:pPr>
      <w:r>
        <w:rPr/>
        <w:t>The United Kingdom is the most bimodal cluster. Cambridge and Imperial sit at Class B or C, reflecting devolved-faculty traditions in which institutional-level AI policy is fragmented across departments and the doctoral-research dimension is underspecified at the centre.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behaviour and the viva voce, which most peer policies do not.</w:t>
      </w:r>
      <w:r>
        <w:rPr>
          <w:rFonts w:ascii="Inter" w:hAnsi="Inter" w:cs="Inter"/>
          <w:b/>
          <w:color w:val="3092B1"/>
          <w:position w:val="8"/>
          <w:sz w:val="18"/>
          <w:szCs w:val="18"/>
          <w:vertAlign w:val="superscript"/>
        </w:rPr>
        <w:footnoteReference w:id="67"/>
      </w:r>
    </w:p>
    <w:p>
      <w:pPr>
        <w:pStyle w:val="BodyText"/>
        <w:rPr/>
      </w:pPr>
      <w:r>
        <w:rP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pPr>
        <w:pStyle w:val="BodyText"/>
        <w:rPr/>
      </w:pPr>
      <w:r>
        <w:rPr/>
        <w:t>The United States Ivy-Plus and Association of American Universities sample is the most devolved central-policy cluster. Despite hosting much of the AI research itself, central 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pPr>
        <w:pStyle w:val="BodyText"/>
        <w:rPr/>
      </w:pPr>
      <w:r>
        <w:rPr/>
        <w:t>Tsinghua’s December 2025 university-wide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8"/>
      </w:r>
      <w:r>
        <w:rP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pPr>
        <w:pStyle w:val="BodyText"/>
        <w:rPr/>
      </w:pPr>
      <w:r>
        <w:rP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pPr>
        <w:pStyle w:val="BodyText"/>
        <w:rPr/>
      </w:pPr>
      <w:r>
        <w:rPr/>
        <w:t>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Universities are, in 2026, not absent. They have substantial activity, but it is mostly stopped at the plagiarism-policy ceiling. The framework’s Dimension 5 (institutional benchmarking grid) is the operational answer.</w:t>
      </w:r>
      <w:bookmarkEnd w:id="31"/>
    </w:p>
    <w:p>
      <w:pPr>
        <w:pStyle w:val="Heading3"/>
        <w:rPr/>
      </w:pPr>
      <w:bookmarkStart w:id="32" w:name="publisher-and-journal-policies"/>
      <w:r>
        <w:rPr/>
        <w:t>3.3 Publisher and journal policies</w:t>
      </w:r>
    </w:p>
    <w:p>
      <w:pPr>
        <w:pStyle w:val="FirstParagraph"/>
        <w:rPr/>
      </w:pPr>
      <w:r>
        <w:rPr/>
        <w:t>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arXiv, bioRxiv, and medRxiv.</w:t>
      </w:r>
      <w:r>
        <w:rPr>
          <w:rFonts w:ascii="Inter" w:hAnsi="Inter" w:cs="Inter"/>
          <w:b/>
          <w:color w:val="3092B1"/>
          <w:position w:val="8"/>
          <w:sz w:val="18"/>
          <w:szCs w:val="18"/>
          <w:vertAlign w:val="superscript"/>
        </w:rPr>
        <w:footnoteReference w:id="69"/>
      </w:r>
    </w:p>
    <w:p>
      <w:pPr>
        <w:pStyle w:val="BodyText"/>
        <w:rPr/>
      </w:pPr>
      <w:r>
        <w:rPr/>
        <w:t>Three convergences are universal or near-universal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AI tools is prohibited as a confidentiality breach at sixteen of eighteen entries; Cambridge University Press and SAGE do not address it in their primary policy texts.</w:t>
      </w:r>
    </w:p>
    <w:p>
      <w:pPr>
        <w:pStyle w:val="BodyText"/>
        <w:rPr/>
      </w:pPr>
      <w:r>
        <w:rP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0"/>
      </w:r>
    </w:p>
    <w:p>
      <w:pPr>
        <w:pStyle w:val="BodyText"/>
        <w:rPr/>
      </w:pPr>
      <w:r>
        <w:rPr/>
        <w:t>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cent disclosure rate across 25,114 submissions to 49 BMJ journals in the seven months following.</w:t>
      </w:r>
      <w:r>
        <w:rPr>
          <w:rFonts w:ascii="Inter" w:hAnsi="Inter" w:cs="Inter"/>
          <w:b/>
          <w:color w:val="3092B1"/>
          <w:position w:val="8"/>
          <w:sz w:val="18"/>
          <w:szCs w:val="18"/>
          <w:vertAlign w:val="superscript"/>
        </w:rPr>
        <w:footnoteReference w:id="71"/>
      </w:r>
      <w:r>
        <w:rPr/>
        <w:t xml:space="preserve"> The disclosure rate is low; the trajectory is positive; the gap between rate of use and rate of disclosure is the structural signal.</w:t>
      </w:r>
    </w:p>
    <w:p>
      <w:pPr>
        <w:pStyle w:val="BodyText"/>
        <w:rPr/>
      </w:pPr>
      <w:r>
        <w:rP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pPr>
        <w:pStyle w:val="BodyText"/>
        <w:rPr/>
      </w:pPr>
      <w:r>
        <w:rPr/>
        <w:t>The preprint servers (arXiv, bioRxiv, medRxiv)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pPr>
        <w:pStyle w:val="BodyText"/>
        <w:rPr/>
      </w:pPr>
      <w:r>
        <w:rPr/>
        <w:t>Publishers operate the most operational policy surface in 2026. They are also the actor group whose policy speed was unusually fast compared with the publisher-policy convergences recorded. The implication for universities is sharp: convergence at sector scale is possible when sectors decide to act. The ten-week wave is the existence proof.</w:t>
      </w:r>
      <w:bookmarkEnd w:id="32"/>
    </w:p>
    <w:p>
      <w:pPr>
        <w:pStyle w:val="Heading3"/>
        <w:rPr/>
      </w:pPr>
      <w:bookmarkStart w:id="33" w:name="Xca4da2d26c3d4406d6d5f02dafc313a2e0f1372"/>
      <w:r>
        <w:rPr/>
        <w:t>3.4 Existing AI-literacy and researcher-development frameworks</w:t>
      </w:r>
    </w:p>
    <w:p>
      <w:pPr>
        <w:pStyle w:val="FirstParagraph"/>
        <w:rPr/>
      </w:pPr>
      <w:r>
        <w:rPr/>
        <w:t>The existing capability-framework dossier surveys thirteen frameworks: UNESCO AI Competency Frameworks for Students and Teachers; the Organisation for Economic Co-operation and Development and European Commission AI Literacy Framework (AILit); DigComp 2.2; the Jisc Digital Capability Framework with AI question sets and the Jisc Strategic AI Framework for Colleges and Universities; the EDUCAUSE Horizon Action Plan on Generative AI and 2024 AI Landscape Study; the Vitae UK Researcher Development Framework; the Council of Graduate Schools and Institut national de la recherche scientifique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2"/>
      </w:r>
    </w:p>
    <w:p>
      <w:pPr>
        <w:pStyle w:val="BodyText"/>
        <w:rPr/>
      </w:pPr>
      <w:r>
        <w:rPr/>
        <w:t>The literature converges on four themes: a human-centred or human-in-the-loop orienting principle; ethics or responsible use, typically operationalised through disclosure and transparency; AI technical knowledge; and AI literacy or skills. UNESCO, the Organisation for Economic Co-operation and Development with the European Commission, the Jisc digital-capability framework, DigComp 2.2, and the Digital Education Council all populate this four-part shape. The newer frameworks add design, creation, or domain-application dimensions on top of the four-part base.</w:t>
      </w:r>
    </w:p>
    <w:p>
      <w:pPr>
        <w:pStyle w:val="BodyText"/>
        <w:rPr/>
      </w:pPr>
      <w:r>
        <w:rPr/>
        <w:t>The literature does not specify how AI use in research becomes valid, reproducible, and adversarially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Institut national de la recherche scientifique Global Action Agenda principles and the Blau et al. PNAS editorial five principles are research-integrity-native, not addressed to K-12 or to general undergraduate audiences, but they stop at principle level. The translation from principle to operational competency, supervision practice, and examiner discipline has not been completed by any of the frameworks in the sample at sector scale.</w:t>
      </w:r>
    </w:p>
    <w:p>
      <w:pPr>
        <w:pStyle w:val="BodyText"/>
        <w:rPr/>
      </w:pPr>
      <w:r>
        <w:rP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capability framework that the report’s Dimension 4 articulates.</w:t>
      </w:r>
    </w:p>
    <w:p>
      <w:pPr>
        <w:pStyle w:val="BodyText"/>
        <w:rPr/>
      </w:pPr>
      <w:r>
        <w:rPr/>
        <w:t>Six frameworks anchor specific elements of the report’s framework. UNESCO’s Understand → Apply → Create progression provides a structural device the report’s maturity grid maps onto. The Council of Graduate Schools’ seven principles are the closest existing peer to the report’s Dimension 1 through Dimension 5 and are cited as the principle-level antecedent the report operationalises.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Jisc Strategic AI Framework’s four pillars (skills, technology, governance, data) are an additional Dimension 5 antecedent at the institutional-leadership audience. The Russell Group five-principle sequence (literacy → support → assessment → integrity → collaboration) is 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3"/>
      </w:r>
    </w:p>
    <w:p>
      <w:pPr>
        <w:pStyle w:val="BodyText"/>
        <w:rPr/>
      </w:pPr>
      <w:r>
        <w:rPr/>
        <w:t>The framework literature is not a vacuum. The five dimensions in Part 2 are built in conversation with it. Their distinctive contribution is the operational specificity the existing frameworks chose not to build.</w:t>
      </w:r>
      <w:bookmarkEnd w:id="29"/>
      <w:bookmarkEnd w:id="33"/>
    </w:p>
    <w:p>
      <w:pPr>
        <w:pStyle w:val="Heading2"/>
        <w:rPr/>
      </w:pPr>
      <w:bookmarkStart w:id="34" w:name="part-4-the-maturity-grid-1"/>
      <w:r>
        <w:rPr/>
        <w:t>Part 4 — The maturity grid</w:t>
      </w:r>
    </w:p>
    <w:p>
      <w:pPr>
        <w:pStyle w:val="FirstParagraph"/>
        <w:rPr/>
      </w:pPr>
      <w:r>
        <w:rPr/>
        <w:t xml:space="preserve">The maturity grid is the framework operationalised.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behaviour, evaluated across the four institutional axes from §2.5 (policy / people / systems / process). The full grid table is in </w:t>
      </w:r>
      <w:hyperlink w:anchor="X58efa211c38677f6721adc2049a1ec624e0c3e5">
        <w:r>
          <w:rPr>
            <w:rStyle w:val="Hyperlink"/>
          </w:rPr>
          <w:t>Appendix A</w:t>
        </w:r>
      </w:hyperlink>
      <w:r>
        <w:rPr/>
        <w:t>; the explanation that makes it memorable is in §4.2; worked institutional examples are in §4.3.</w:t>
      </w:r>
    </w:p>
    <w:p>
      <w:pPr>
        <w:pStyle w:val="Heading3"/>
        <w:rPr/>
      </w:pPr>
      <w:bookmarkStart w:id="35" w:name="the-five-by-four-grid"/>
      <w:r>
        <w:rPr/>
        <w:t>4.1 The five-by-four grid</w:t>
      </w:r>
    </w:p>
    <w:p>
      <w:pPr>
        <w:pStyle w:val="FirstParagraph"/>
        <w:rPr/>
      </w:pPr>
      <w:r>
        <w:rPr/>
        <w:t>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session and the result is reviewable by anyone else who reads the grid description.</w:t>
      </w:r>
    </w:p>
    <w:p>
      <w:pPr>
        <w:pStyle w:val="BodyText"/>
        <w:rPr/>
      </w:pPr>
      <w:r>
        <w:rPr/>
        <w:t xml:space="preserve">The four levels are observable behaviour, not aspirations. </w:t>
      </w:r>
      <w:r>
        <w:rPr>
          <w:i/>
          <w:iCs/>
        </w:rPr>
        <w:t>Absent</w:t>
      </w:r>
      <w:r>
        <w:rPr/>
        <w:t xml:space="preserve"> means the institution has not articulated a position on the dimension at all; the relevant policy, role, system, or process does not exist or has not been named. </w:t>
      </w:r>
      <w:r>
        <w:rPr>
          <w:i/>
          <w:iCs/>
        </w:rPr>
        <w:t>Nascent</w:t>
      </w:r>
      <w:r>
        <w:rPr/>
        <w:t xml:space="preserve"> means the institution has articulated a position but not operationalised it; the policy document exists but does not name the people, systems, or processes that enact it; or the people are named but the system that supports them does not exist. </w:t>
      </w:r>
      <w:r>
        <w:rPr>
          <w:i/>
          <w:iCs/>
        </w:rPr>
        <w:t>Established</w:t>
      </w:r>
      <w:r>
        <w:rPr/>
        <w:t xml:space="preserve"> means policy, people, system, and process are all in place and operating at a reviewable cadence; the institution can answer “who does what, with which tools, by what workflow, when” without hesitation. </w:t>
      </w:r>
      <w:r>
        <w:rPr>
          <w:i/>
          <w:iCs/>
        </w:rPr>
        <w:t>Leading</w:t>
      </w:r>
      <w:r>
        <w:rPr/>
        <w:t xml:space="preserve"> means the established state plus measurable evidence of effect: published institutional metrics on the dimension, external audit or benchmarking against peers, and a documented improvement cycle.</w:t>
      </w:r>
    </w:p>
    <w:p>
      <w:pPr>
        <w:pStyle w:val="BodyText"/>
        <w:rPr/>
      </w:pPr>
      <w:r>
        <w:rPr/>
        <w:t xml:space="preserve">The framework is intentionally non-prescriptive about which level an institution should occupy because context varies. An institution running a small humanities-only doctoral programme has different scope and different binding constraints from a large medical research university operating across thirteen jurisdictions; both can be at </w:t>
      </w:r>
      <w:r>
        <w:rPr>
          <w:i/>
          <w:iCs/>
        </w:rPr>
        <w:t>established</w:t>
      </w:r>
      <w:r>
        <w:rPr/>
        <w:t xml:space="preserve"> on Dimension 2 with materially different operational implementations. The grid surfaces the choice; it does not impose one.</w:t>
      </w:r>
    </w:p>
    <w:p>
      <w:pPr>
        <w:pStyle w:val="BodyText"/>
        <w:rPr/>
      </w:pPr>
      <w:r>
        <w:rPr/>
        <w:t xml:space="preserve">What the grid does impose is consistency. An institution cannot defensibly claim </w:t>
      </w:r>
      <w:r>
        <w:rPr>
          <w:i/>
          <w:iCs/>
        </w:rPr>
        <w:t>established</w:t>
      </w:r>
      <w:r>
        <w:rPr/>
        <w:t xml:space="preserve"> on Dimension 1 while being at </w:t>
      </w:r>
      <w:r>
        <w:rPr>
          <w:i/>
          <w:iCs/>
        </w:rPr>
        <w:t>nascent</w:t>
      </w:r>
      <w:r>
        <w:rPr/>
        <w:t xml:space="preserve"> on Dimension 5: the dimension-5 axis (does the institution know where it sits, with documented evidence) is itself part of the answer to whether the human-in-the-loop discipline is actually operating at </w:t>
      </w:r>
      <w:r>
        <w:rPr>
          <w:i/>
          <w:iCs/>
        </w:rPr>
        <w:t>established</w:t>
      </w:r>
      <w:r>
        <w:rPr/>
        <w:t xml:space="preserve"> level rather than aspirationally. The five dimensions are interdependent in the order the framework specifies, and the grid makes the interdependence observable.</w:t>
      </w:r>
      <w:bookmarkEnd w:id="35"/>
    </w:p>
    <w:p>
      <w:pPr>
        <w:pStyle w:val="Heading3"/>
        <w:rPr/>
      </w:pPr>
      <w:bookmarkStart w:id="36" w:name="what-ready-looks-like-by-dimension"/>
      <w:r>
        <w:rPr/>
        <w:t>4.2 What “ready” looks like by dimension</w:t>
      </w:r>
    </w:p>
    <w:p>
      <w:pPr>
        <w:pStyle w:val="FirstParagraph"/>
        <w:rPr/>
      </w:pPr>
      <w:r>
        <w:rPr/>
        <w:t xml:space="preserve">The </w:t>
      </w:r>
      <w:r>
        <w:rPr>
          <w:i/>
          <w:iCs/>
        </w:rPr>
        <w:t>leading</w:t>
      </w:r>
      <w:r>
        <w:rPr/>
        <w:t xml:space="preserve"> end of the maturity scale represents “readiness” for each dimension. The descriptions below summarise the leading-end profile for each dimension, drawing on the dossier evidence in Parts 1 and 3 and the existing leading-edge instances among the Class D institutions identified in Part 3.2.</w:t>
      </w:r>
    </w:p>
    <w:p>
      <w:pPr>
        <w:pStyle w:val="BodyText"/>
        <w:rPr/>
      </w:pPr>
      <w:r>
        <w:rPr>
          <w:i/>
          <w:iCs/>
        </w:rPr>
        <w:t>Dimension 1 — Human-in-the-loop discipline at leading.</w:t>
      </w:r>
      <w:r>
        <w:rPr/>
        <w:t xml:space="preserve"> The institution has published a research-task-level demarcation between labour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rPr/>
        <w:t xml:space="preserve"> on this dimension; the German U15 cluster, with its </w:t>
      </w:r>
      <w:r>
        <w:rPr>
          <w:i/>
          <w:iCs/>
        </w:rPr>
        <w:t>eidesstattliche Versicherung</w:t>
      </w:r>
      <w:r>
        <w:rPr/>
        <w:t xml:space="preserve"> tradition and the named graduate-academy-level documents at Heidelberg, is the closest current global instance of </w:t>
      </w:r>
      <w:r>
        <w:rPr>
          <w:i/>
          <w:iCs/>
        </w:rPr>
        <w:t>leading</w:t>
      </w:r>
      <w:r>
        <w:rPr/>
        <w:t>. The University College London Doctoral School’s policy on candidate-supervisor authorship-and-acknowledgement and the King’s College London Centre for Education Studies’ explicit examiner-side rules are the closest UK instances.</w:t>
      </w:r>
    </w:p>
    <w:p>
      <w:pPr>
        <w:pStyle w:val="BodyText"/>
        <w:rPr/>
      </w:pPr>
      <w:r>
        <w:rPr>
          <w:i/>
          <w:iCs/>
        </w:rPr>
        <w:t>Dimension 2 — Responsible use in practice at leading.</w:t>
      </w:r>
      <w:r>
        <w:rPr/>
        <w:t xml:space="preserve"> Task-level rules for the four AI-use modes (search, co-author, validator, tutor) are published, taught, supervised, and examined; disclosure on outputs is operationalised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rPr/>
        <w:t xml:space="preserve"> is achievable, but no university in 2026 has yet reached it.</w:t>
      </w:r>
    </w:p>
    <w:p>
      <w:pPr>
        <w:pStyle w:val="BodyText"/>
        <w:rPr/>
      </w:pPr>
      <w:r>
        <w:rPr>
          <w:i/>
          <w:iCs/>
        </w:rPr>
        <w:t>Dimension 3 — Tooling that promotes responsible use at leading.</w:t>
      </w:r>
      <w:r>
        <w:rP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rPr/>
        <w:t xml:space="preserve"> than the Anglosphere on the regulated-tooling axis. The Australian Group of Eight institutional tooling-procurement gates have improved through 2024-2026; full </w:t>
      </w:r>
      <w:r>
        <w:rPr>
          <w:i/>
          <w:iCs/>
        </w:rPr>
        <w:t>leading</w:t>
      </w:r>
      <w:r>
        <w:rPr/>
        <w:t xml:space="preserve"> maturity on this dimension awaits the Article 27 deadline.</w:t>
      </w:r>
    </w:p>
    <w:p>
      <w:pPr>
        <w:pStyle w:val="BodyText"/>
        <w:rPr/>
      </w:pPr>
      <w:r>
        <w:rPr>
          <w:i/>
          <w:iCs/>
        </w:rPr>
        <w:t>Dimension 4 — AI-literate humans at leading.</w:t>
      </w:r>
      <w:r>
        <w:rPr/>
        <w:t xml:space="preserve"> The institution has codified the six core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rPr/>
        <w:t xml:space="preserve"> maturity on this dimension is currently aspirational at sector scale: it is achievable, no institution has reached it as a fully integrated programme as of 2026.</w:t>
      </w:r>
    </w:p>
    <w:p>
      <w:pPr>
        <w:pStyle w:val="BodyText"/>
        <w:rPr/>
      </w:pPr>
      <w:r>
        <w:rPr>
          <w:i/>
          <w:iCs/>
        </w:rPr>
        <w:t>Dimension 5 — Institutional benchmarking grid at leading.</w:t>
      </w:r>
      <w:r>
        <w:rP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benchmarking or peer audit operates at a stated cadence. 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w:t>
      </w:r>
      <w:bookmarkEnd w:id="36"/>
    </w:p>
    <w:p>
      <w:pPr>
        <w:pStyle w:val="Heading3"/>
        <w:rPr/>
      </w:pPr>
      <w:bookmarkStart w:id="37" w:name="worked-institutional-examples"/>
      <w:r>
        <w:rPr/>
        <w:t>4.3 Worked institutional examples</w:t>
      </w:r>
    </w:p>
    <w:p>
      <w:pPr>
        <w:pStyle w:val="FirstParagraph"/>
        <w:rPr/>
      </w:pPr>
      <w:r>
        <w:rPr/>
        <w:t>Three worked examples illustrate how the grid scores the same institution differently across dimensions, and how the dimensional pattern reveals where the institutional posture is consistent and where it is uneven.</w:t>
      </w:r>
    </w:p>
    <w:p>
      <w:pPr>
        <w:pStyle w:val="BodyText"/>
        <w:rPr/>
      </w:pPr>
      <w:r>
        <w:rPr>
          <w:i/>
          <w:iCs/>
        </w:rPr>
        <w:t>University College London — Class D in the Part 1.3 taxonomy.</w:t>
      </w:r>
      <w:r>
        <w:rPr/>
        <w:t xml:space="preserve"> On Dimension 1, </w:t>
      </w:r>
      <w:r>
        <w:rPr>
          <w:i/>
          <w:iCs/>
        </w:rPr>
        <w:t>established</w:t>
      </w:r>
      <w:r>
        <w:rPr/>
        <w:t xml:space="preserve"> moving to </w:t>
      </w:r>
      <w:r>
        <w:rPr>
          <w:i/>
          <w:iCs/>
        </w:rPr>
        <w:t>leading</w:t>
      </w:r>
      <w:r>
        <w:rPr/>
        <w:t xml:space="preserve"> on the strength of the Doctoral School’s “Transparency on Authorship and Generative AI in Doctoral Research” policy and the explicit candidate-supervisor authorship-and-acknowledgement chain. On Dimension 2, </w:t>
      </w:r>
      <w:r>
        <w:rPr>
          <w:i/>
          <w:iCs/>
        </w:rPr>
        <w:t>established</w:t>
      </w:r>
      <w:r>
        <w:rPr/>
        <w:t xml:space="preserve"> on the strength of the disclosure-and-acknowledgement requirements and UCL Press’s authorship rule, with the task-level taxonomy for all four AI-use modes not yet codified. On Dimension 3, </w:t>
      </w:r>
      <w:r>
        <w:rPr>
          <w:i/>
          <w:iCs/>
        </w:rPr>
        <w:t>nascent</w:t>
      </w:r>
      <w:r>
        <w:rPr/>
        <w:t xml:space="preserve">: UCL operates institutional AI tooling but a published procurement standard with the resolvability test does not appear in the public policy library. On Dimension 4, </w:t>
      </w:r>
      <w:r>
        <w:rPr>
          <w:i/>
          <w:iCs/>
        </w:rPr>
        <w:t>established</w:t>
      </w:r>
      <w:r>
        <w:rP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rPr/>
        <w:t>: the policy is reviewable, the people are named (Doctoral School; Research Integrity Office), but a public benchmarking-and-improvement cycle is not yet articulated. Overall profile: leading at Dimension 1, lagging at Dimension 3, intermediate elsewhere.</w:t>
      </w:r>
    </w:p>
    <w:p>
      <w:pPr>
        <w:pStyle w:val="BodyText"/>
        <w:rPr/>
      </w:pPr>
      <w:r>
        <w:rPr>
          <w:i/>
          <w:iCs/>
        </w:rPr>
        <w:t>Heidelberg University Graduate Academy — Class D, German U15.</w:t>
      </w:r>
      <w:r>
        <w:rPr/>
        <w:t xml:space="preserve"> On Dimension 1, </w:t>
      </w:r>
      <w:r>
        <w:rPr>
          <w:i/>
          <w:iCs/>
        </w:rPr>
        <w:t>leading</w:t>
      </w:r>
      <w:r>
        <w:rPr/>
        <w:t xml:space="preserve">: the </w:t>
      </w:r>
      <w:r>
        <w:rPr>
          <w:i/>
          <w:iCs/>
        </w:rPr>
        <w:t>eidesstattliche Versicherung</w:t>
      </w:r>
      <w:r>
        <w:rPr/>
        <w:t xml:space="preserve"> affidavit tradition supplies a native legal anchor that no other national system replicates, and the Graduate Academy’s policy operationalises AI disclosure inside that tradition. On Dimension 2, </w:t>
      </w:r>
      <w:r>
        <w:rPr>
          <w:i/>
          <w:iCs/>
        </w:rPr>
        <w:t>established</w:t>
      </w:r>
      <w:r>
        <w:rPr/>
        <w:t xml:space="preserve">: the policy is task-level operationalised for the four AI-use modes with the affidavit as the disclosure instrument. On Dimension 3, </w:t>
      </w:r>
      <w:r>
        <w:rPr>
          <w:i/>
          <w:iCs/>
        </w:rPr>
        <w:t>established</w:t>
      </w:r>
      <w:r>
        <w:rPr/>
        <w:t xml:space="preserve">: the German institutional landscape carries the EU AI Act compliance gate by structural integration. On Dimension 4, </w:t>
      </w:r>
      <w:r>
        <w:rPr>
          <w:i/>
          <w:iCs/>
        </w:rPr>
        <w:t>established</w:t>
      </w:r>
      <w:r>
        <w:rPr/>
        <w:t xml:space="preserve">: the Graduate Academy supplies AI-literacy provision aligned with the existing doctoral-development programme. On Dimension 5, </w:t>
      </w:r>
      <w:r>
        <w:rPr>
          <w:i/>
          <w:iCs/>
        </w:rPr>
        <w:t>established</w:t>
      </w:r>
      <w:r>
        <w:rPr/>
        <w:t>: the affidavit instrument and the Graduate Academy programme structure produce a benchmarking-friendly institutional evidence base. Overall profile: the most consistently mature single institution in the global sample.</w:t>
      </w:r>
    </w:p>
    <w:p>
      <w:pPr>
        <w:pStyle w:val="BodyText"/>
        <w:rPr/>
      </w:pPr>
      <w:r>
        <w:rPr>
          <w:i/>
          <w:iCs/>
        </w:rPr>
        <w:t>A US Ivy-Plus university at the Part 1.3 Class A or B end.</w:t>
      </w:r>
      <w:r>
        <w:rPr/>
        <w:t xml:space="preserve"> On Dimension 1, </w:t>
      </w:r>
      <w:r>
        <w:rPr>
          <w:i/>
          <w:iCs/>
        </w:rPr>
        <w:t>nascent</w:t>
      </w:r>
      <w:r>
        <w:rPr/>
        <w:t xml:space="preserve">: central policy mentions AI under academic-integrity language without articulating the labour-vs-judgement demarcation at research-task level. On Dimension 2, </w:t>
      </w:r>
      <w:r>
        <w:rPr>
          <w:i/>
          <w:iCs/>
        </w:rPr>
        <w:t>absent</w:t>
      </w:r>
      <w:r>
        <w:rPr/>
        <w:t xml:space="preserve"> to </w:t>
      </w:r>
      <w:r>
        <w:rPr>
          <w:i/>
          <w:iCs/>
        </w:rPr>
        <w:t>nascent</w:t>
      </w:r>
      <w:r>
        <w:rPr/>
        <w:t xml:space="preserve">: task-level rules are devolved to schools and faculties; no central institutional position. On Dimension 3, </w:t>
      </w:r>
      <w:r>
        <w:rPr>
          <w:i/>
          <w:iCs/>
        </w:rPr>
        <w:t>nascent</w:t>
      </w:r>
      <w:r>
        <w:rPr/>
        <w:t xml:space="preserve">: institutional AI procurement is fragmented across schools and central IT; the resolvability test is not applied as an institutional gate. On Dimension 4, </w:t>
      </w:r>
      <w:r>
        <w:rPr>
          <w:i/>
          <w:iCs/>
        </w:rPr>
        <w:t>absent</w:t>
      </w:r>
      <w:r>
        <w:rPr/>
        <w:t xml:space="preserve"> to </w:t>
      </w:r>
      <w:r>
        <w:rPr>
          <w:i/>
          <w:iCs/>
        </w:rPr>
        <w:t>nascent</w:t>
      </w:r>
      <w:r>
        <w:rPr/>
        <w:t xml:space="preserve">: AI-literacy provision is uneven across schools, with some Class-leading school-level documents (Harvard Graduate School of Education; Michigan Rackham; MIT departments) but no central programme. On Dimension 5, </w:t>
      </w:r>
      <w:r>
        <w:rPr>
          <w:i/>
          <w:iCs/>
        </w:rPr>
        <w:t>absent</w:t>
      </w:r>
      <w:r>
        <w:rPr/>
        <w:t>: no central benchmarking-and-improvement cycle; the devolved structure resists single-institutional scoring. Overall profile: substantial school-level activity, weak central institutional posture, dimension-5 absent.</w:t>
      </w:r>
    </w:p>
    <w:p>
      <w:pPr>
        <w:pStyle w:val="BodyText"/>
        <w:rPr/>
      </w:pPr>
      <w:r>
        <w:rP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capability: a university at </w:t>
      </w:r>
      <w:r>
        <w:rPr>
          <w:i/>
          <w:iCs/>
        </w:rPr>
        <w:t>leading</w:t>
      </w:r>
      <w:r>
        <w:rPr/>
        <w:t xml:space="preserve"> on Dimension 1 but </w:t>
      </w:r>
      <w:r>
        <w:rPr>
          <w:i/>
          <w:iCs/>
        </w:rPr>
        <w:t>absent</w:t>
      </w:r>
      <w:r>
        <w:rPr/>
        <w:t xml:space="preserve"> on Dimension 3 cannot realise the human-in-the-loop discipline at scale, because the tooling its researchers actually use does not support it. The grid is built to make the constraint visible.</w:t>
      </w:r>
      <w:bookmarkEnd w:id="34"/>
      <w:bookmarkEnd w:id="37"/>
    </w:p>
    <w:p>
      <w:pPr>
        <w:pStyle w:val="Heading2"/>
        <w:rPr/>
      </w:pPr>
      <w:bookmarkStart w:id="38" w:name="X84b8053bd241840a3d62bcee5726c3dbee3ed04"/>
      <w:r>
        <w:rPr/>
        <w:t>Part 5 — Recommendations for university research leadership</w:t>
      </w:r>
    </w:p>
    <w:p>
      <w:pPr>
        <w:pStyle w:val="FirstParagraph"/>
        <w:rPr/>
      </w:pPr>
      <w:r>
        <w:rPr/>
        <w:t>Part 5 specifies, for each of the five audience tiers from the executive summary, a small number of concrete actions that move an institution along the maturity grid. Each recommendation names the framework dimension it targets and the maturity-level move it represents. The actions are non-prescriptive on which level the institution should ultimately occupy: that is an institutional choice. The actions are prescriptive on what counts as movement.</w:t>
      </w:r>
    </w:p>
    <w:p>
      <w:pPr>
        <w:pStyle w:val="Heading3"/>
        <w:rPr/>
      </w:pPr>
      <w:bookmarkStart w:id="39" w:name="for-executive-research-leadership"/>
      <w:r>
        <w:rPr/>
        <w:t>5.1 For executive research leadership</w:t>
      </w:r>
    </w:p>
    <w:p>
      <w:pPr>
        <w:pStyle w:val="FirstParagraph"/>
        <w:rPr/>
      </w:pPr>
      <w:r>
        <w:rPr/>
        <w:t>The Tier 1 audience is the Deputy Vice-Chancellors and equivalents, the Pro-Vice-Chancellors and Deputy Vice Presidents of Research, the Deputy Provosts. Five concrete actions.</w:t>
      </w:r>
    </w:p>
    <w:p>
      <w:pPr>
        <w:pStyle w:val="BodyText"/>
        <w:rPr/>
      </w:pPr>
      <w:r>
        <w:rPr/>
        <w:t xml:space="preserve">First, </w:t>
      </w:r>
      <w:r>
        <w:rPr>
          <w:i/>
          <w:iCs/>
        </w:rPr>
        <w:t>appoint an owner for Dimension 5</w:t>
      </w:r>
      <w:r>
        <w:rP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rPr/>
        <w:t xml:space="preserve"> to </w:t>
      </w:r>
      <w:r>
        <w:rPr>
          <w:i/>
          <w:iCs/>
        </w:rPr>
        <w:t>nascent</w:t>
      </w:r>
      <w:r>
        <w:rPr/>
        <w:t xml:space="preserve"> on Dimension 5.</w:t>
      </w:r>
    </w:p>
    <w:p>
      <w:pPr>
        <w:pStyle w:val="BodyText"/>
        <w:rPr/>
      </w:pPr>
      <w:r>
        <w:rPr/>
        <w:t xml:space="preserve">Second, </w:t>
      </w:r>
      <w:r>
        <w:rPr>
          <w:i/>
          <w:iCs/>
        </w:rPr>
        <w:t>publish the institution’s preparation status for the regulatory pressure points</w:t>
      </w:r>
      <w:r>
        <w:rP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rPr/>
        <w:t>.</w:t>
      </w:r>
    </w:p>
    <w:p>
      <w:pPr>
        <w:pStyle w:val="BodyText"/>
        <w:rPr/>
      </w:pPr>
      <w:r>
        <w:rPr/>
        <w:t xml:space="preserve">Third, </w:t>
      </w:r>
      <w:r>
        <w:rPr>
          <w:i/>
          <w:iCs/>
        </w:rPr>
        <w:t>commission an institutional review against the maturity grid</w:t>
      </w:r>
      <w:r>
        <w:rPr/>
        <w:t xml:space="preserve"> in Part 4 and Appendix A and publish the dimensional profile. The review can be internal in year one; external benchmarking against peers is what moves the institution from </w:t>
      </w:r>
      <w:r>
        <w:rPr>
          <w:i/>
          <w:iCs/>
        </w:rPr>
        <w:t>established</w:t>
      </w:r>
      <w:r>
        <w:rPr/>
        <w:t xml:space="preserve"> to </w:t>
      </w:r>
      <w:r>
        <w:rPr>
          <w:i/>
          <w:iCs/>
        </w:rPr>
        <w:t>leading</w:t>
      </w:r>
      <w:r>
        <w:rPr/>
        <w:t xml:space="preserve"> on Dimension 5.</w:t>
      </w:r>
    </w:p>
    <w:p>
      <w:pPr>
        <w:pStyle w:val="BodyText"/>
        <w:rPr/>
      </w:pPr>
      <w:r>
        <w:rPr/>
        <w:t xml:space="preserve">Fourth, </w:t>
      </w:r>
      <w:r>
        <w:rPr>
          <w:i/>
          <w:iCs/>
        </w:rPr>
        <w:t>fund the people, systems, and processes the dimensional profile reveals are constrained</w:t>
      </w:r>
      <w:r>
        <w:rPr/>
        <w:t>. Dimension 3 (tooling that promotes responsible use) typically requires the largest upfront investment because the institutional procurement gate, the sampled resolvability test, and the EU AI Act Article 27 Fundamental Rights Impact Assessment infrastructure are organisationally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pPr>
        <w:pStyle w:val="BodyText"/>
        <w:rPr/>
      </w:pPr>
      <w:r>
        <w:rPr/>
        <w:t xml:space="preserve">Fifth, </w:t>
      </w:r>
      <w:r>
        <w:rPr>
          <w:i/>
          <w:iCs/>
        </w:rPr>
        <w:t>state the institution’s framework position publicly</w:t>
      </w:r>
      <w:r>
        <w:rPr/>
        <w:t xml:space="preserve"> to council, board, and sector peers. Convergence at sector scale is achievable, as the publisher ten-week wave demonstrated. Universities have not yet achieved convergence at sector scale. Public articulation of the institutional framework position contributes to the convergence the report’s evidence shows the sector currently lacks.</w:t>
      </w:r>
      <w:bookmarkEnd w:id="39"/>
    </w:p>
    <w:p>
      <w:pPr>
        <w:pStyle w:val="Heading3"/>
        <w:rPr/>
      </w:pPr>
      <w:bookmarkStart w:id="40" w:name="Xfe35cd0e7334cb7c73c4edbd7515c9376f22755"/>
      <w:r>
        <w:rPr/>
        <w:t>5.2 For faculty deans and associate deans of research</w:t>
      </w:r>
    </w:p>
    <w:p>
      <w:pPr>
        <w:pStyle w:val="FirstParagraph"/>
        <w:rPr/>
      </w:pPr>
      <w:r>
        <w:rPr/>
        <w:t>The Tier 2 audience translates the executive position into faculty practice. Four concrete actions.</w:t>
      </w:r>
    </w:p>
    <w:p>
      <w:pPr>
        <w:pStyle w:val="BodyText"/>
        <w:rPr/>
      </w:pPr>
      <w:r>
        <w:rPr/>
        <w:t xml:space="preserve">First, </w:t>
      </w:r>
      <w:r>
        <w:rPr>
          <w:i/>
          <w:iCs/>
        </w:rPr>
        <w:t>publish the faculty’s task-level rules for AI use in PhD research</w:t>
      </w:r>
      <w:r>
        <w:rP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pPr>
        <w:pStyle w:val="BodyText"/>
        <w:rPr/>
      </w:pPr>
      <w:r>
        <w:rPr/>
        <w:t xml:space="preserve">Second, </w:t>
      </w:r>
      <w:r>
        <w:rPr>
          <w:i/>
          <w:iCs/>
        </w:rPr>
        <w:t>integrate AI competency into the faculty’s PhD methods curriculum</w:t>
      </w:r>
      <w:r>
        <w:rP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rPr/>
        <w:t xml:space="preserve"> to </w:t>
      </w:r>
      <w:r>
        <w:rPr>
          <w:i/>
          <w:iCs/>
        </w:rPr>
        <w:t>established</w:t>
      </w:r>
      <w:r>
        <w:rPr/>
        <w:t xml:space="preserve"> on Dimension 4 at faculty scale.</w:t>
      </w:r>
    </w:p>
    <w:p>
      <w:pPr>
        <w:pStyle w:val="BodyText"/>
        <w:rPr/>
      </w:pPr>
      <w:r>
        <w:rPr/>
        <w:t xml:space="preserve">Third, </w:t>
      </w:r>
      <w:r>
        <w:rPr>
          <w:i/>
          <w:iCs/>
        </w:rPr>
        <w:t>commission a faculty-level mapping of the AI tools faculty researchers actually use</w:t>
      </w:r>
      <w:r>
        <w:rPr/>
        <w:t xml:space="preserve"> against the §2.3 observable-property test. The mapping is a one-off at the faculty level and feeds the institutional tooling-procurement gate. Faculty researchers will surface tools the institutional procurement gate has not yet considered.</w:t>
      </w:r>
    </w:p>
    <w:p>
      <w:pPr>
        <w:pStyle w:val="BodyText"/>
        <w:rPr/>
      </w:pPr>
      <w:r>
        <w:rPr/>
        <w:t xml:space="preserve">Fourth, </w:t>
      </w:r>
      <w:r>
        <w:rPr>
          <w:i/>
          <w:iCs/>
        </w:rPr>
        <w:t>report the faculty’s dimensional profile against the institutional benchmark</w:t>
      </w:r>
      <w:r>
        <w:rPr/>
        <w:t xml:space="preserve">. The faculty’s profile may differ from the institutional one, and the difference is the most informative diagnostic. A faculty at </w:t>
      </w:r>
      <w:r>
        <w:rPr>
          <w:i/>
          <w:iCs/>
        </w:rPr>
        <w:t>established</w:t>
      </w:r>
      <w:r>
        <w:rPr/>
        <w:t xml:space="preserve"> on Dimension 1 while the institution is at </w:t>
      </w:r>
      <w:r>
        <w:rPr>
          <w:i/>
          <w:iCs/>
        </w:rPr>
        <w:t>nascent</w:t>
      </w:r>
      <w:r>
        <w:rPr/>
        <w:t xml:space="preserve"> is doing important work the institution should learn from. A faculty at </w:t>
      </w:r>
      <w:r>
        <w:rPr>
          <w:i/>
          <w:iCs/>
        </w:rPr>
        <w:t>absent</w:t>
      </w:r>
      <w:r>
        <w:rPr/>
        <w:t xml:space="preserve"> on Dimension 4 while the institution is at </w:t>
      </w:r>
      <w:r>
        <w:rPr>
          <w:i/>
          <w:iCs/>
        </w:rPr>
        <w:t>established</w:t>
      </w:r>
      <w:r>
        <w:rPr/>
        <w:t xml:space="preserve"> needs faculty-level intervention.</w:t>
      </w:r>
      <w:bookmarkEnd w:id="40"/>
    </w:p>
    <w:p>
      <w:pPr>
        <w:pStyle w:val="Heading3"/>
        <w:rPr/>
      </w:pPr>
      <w:bookmarkStart w:id="41" w:name="Xc5c7e67c2b686b79a10b44fe001854c04336b11"/>
      <w:r>
        <w:rPr/>
        <w:t>5.3 For deans of graduate schools and A/Deans of research training</w:t>
      </w:r>
    </w:p>
    <w:p>
      <w:pPr>
        <w:pStyle w:val="FirstParagraph"/>
        <w:rPr/>
      </w:pPr>
      <w:r>
        <w:rPr/>
        <w:t>The Tier 3 audience manages the core research-training functions: supervision, curriculum, and examination. Four concrete actions.</w:t>
      </w:r>
    </w:p>
    <w:p>
      <w:pPr>
        <w:pStyle w:val="BodyText"/>
        <w:rPr/>
      </w:pPr>
      <w:r>
        <w:rPr/>
        <w:t xml:space="preserve">First, </w:t>
      </w:r>
      <w:r>
        <w:rPr>
          <w:i/>
          <w:iCs/>
        </w:rPr>
        <w:t>publish a graduate-school-level AI policy with examiner-side rules</w:t>
      </w:r>
      <w:r>
        <w:rP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rPr/>
        <w:t xml:space="preserve"> to </w:t>
      </w:r>
      <w:r>
        <w:rPr>
          <w:i/>
          <w:iCs/>
        </w:rPr>
        <w:t>established</w:t>
      </w:r>
      <w:r>
        <w:rPr/>
        <w:t xml:space="preserve"> on Dimension 1 at graduate-school scale.</w:t>
      </w:r>
    </w:p>
    <w:p>
      <w:pPr>
        <w:pStyle w:val="BodyText"/>
        <w:rPr/>
      </w:pPr>
      <w:r>
        <w:rPr/>
        <w:t xml:space="preserve">Second, </w:t>
      </w:r>
      <w:r>
        <w:rPr>
          <w:i/>
          <w:iCs/>
        </w:rPr>
        <w:t>codify the six AI-era competencies as PhD methods curriculum outcomes</w:t>
      </w:r>
      <w:r>
        <w:rPr/>
        <w:t>. The competencies are additive to the pre-AI reproducibility-and-validity canon; the curriculum carries both. KU Leuven’s “Responsible and Open research learning path for PhD researchers” and Helsinki’s MOOC sequence are the curriculum-integration exemplars. The curriculum review cycle is published and the curriculum content tracks the AI tool landscape.</w:t>
      </w:r>
    </w:p>
    <w:p>
      <w:pPr>
        <w:pStyle w:val="BodyText"/>
        <w:rPr/>
      </w:pPr>
      <w:r>
        <w:rPr/>
        <w:t xml:space="preserve">Third, </w:t>
      </w:r>
      <w:r>
        <w:rPr>
          <w:i/>
          <w:iCs/>
        </w:rPr>
        <w:t>train supervisors on the framework</w:t>
      </w:r>
      <w:r>
        <w:rP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pPr>
        <w:pStyle w:val="BodyText"/>
        <w:rPr/>
      </w:pPr>
      <w:r>
        <w:rPr/>
        <w:t xml:space="preserve">Fourth, </w:t>
      </w:r>
      <w:r>
        <w:rPr>
          <w:i/>
          <w:iCs/>
        </w:rPr>
        <w:t>train examiners on the corresponding verification skills</w:t>
      </w:r>
      <w:r>
        <w:rPr/>
        <w:t>. The examiner-side rule that a candidate “must be able to describe and defend any use of generative AI, as well as the contents of the thesis during their final oral examination,” the University of Toronto School of Graduate Studies formulation, operationalises Dimension 1 at the point of examination. The examiner training carries the verification competencies the examination is expected to apply.</w:t>
      </w:r>
      <w:bookmarkEnd w:id="41"/>
    </w:p>
    <w:p>
      <w:pPr>
        <w:pStyle w:val="Heading3"/>
        <w:rPr/>
      </w:pPr>
      <w:bookmarkStart w:id="42" w:name="Xf8e6fc39c3d0ddc0391c79039db452b3c38372d"/>
      <w:r>
        <w:rPr/>
        <w:t>5.4 For higher-degrees committees and research-integrity committees</w:t>
      </w:r>
    </w:p>
    <w:p>
      <w:pPr>
        <w:pStyle w:val="FirstParagraph"/>
        <w:rPr/>
      </w:pPr>
      <w:r>
        <w:rPr/>
        <w:t>The Tier 4 audience writes the policy text and adjudicates the cases the policy text covers. Three concrete actions.</w:t>
      </w:r>
    </w:p>
    <w:p>
      <w:pPr>
        <w:pStyle w:val="BodyText"/>
        <w:rPr/>
      </w:pPr>
      <w:r>
        <w:rPr/>
        <w:t xml:space="preserve">First, </w:t>
      </w:r>
      <w:r>
        <w:rPr>
          <w:i/>
          <w:iCs/>
        </w:rPr>
        <w:t>publish a committee-level AI policy anchored in research-integrity adjudication</w:t>
      </w:r>
      <w:r>
        <w:rP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r>
        <w:rPr>
          <w:i/>
          <w:iCs/>
        </w:rPr>
        <w:t>eidesstattliche Versicherung</w:t>
      </w:r>
      <w:r>
        <w:rPr/>
        <w:t xml:space="preserve"> tradition, and the publisher-side disclosure conventions supply the policy-language anchors the committee can build on.</w:t>
      </w:r>
    </w:p>
    <w:p>
      <w:pPr>
        <w:pStyle w:val="BodyText"/>
        <w:rPr/>
      </w:pPr>
      <w:r>
        <w:rPr/>
        <w:t xml:space="preserve">Second, </w:t>
      </w:r>
      <w:r>
        <w:rPr>
          <w:i/>
          <w:iCs/>
        </w:rPr>
        <w:t>develop an adjudication framework for AI-related cases</w:t>
      </w:r>
      <w:r>
        <w:rP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pPr>
        <w:pStyle w:val="BodyText"/>
        <w:rPr/>
      </w:pPr>
      <w:r>
        <w:rPr/>
        <w:t xml:space="preserve">Third, </w:t>
      </w:r>
      <w:r>
        <w:rPr>
          <w:i/>
          <w:iCs/>
        </w:rPr>
        <w:t>engage with the regulatory environment</w:t>
      </w:r>
      <w:r>
        <w:rP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2"/>
    </w:p>
    <w:p>
      <w:pPr>
        <w:pStyle w:val="Heading3"/>
        <w:rPr/>
      </w:pPr>
      <w:bookmarkStart w:id="43" w:name="for-peak-bodies-for-graduate-students"/>
      <w:r>
        <w:rPr/>
        <w:t>5.5 For peak bodies for graduate students</w:t>
      </w:r>
    </w:p>
    <w:p>
      <w:pPr>
        <w:pStyle w:val="FirstParagraph"/>
        <w:rPr/>
      </w:pPr>
      <w:r>
        <w:rPr/>
        <w:t>The Tier 5 audience comprises advocacy bodies: national graduate-student associations, councils of graduate schools, and postdoc associations. Three concrete actions.</w:t>
      </w:r>
    </w:p>
    <w:p>
      <w:pPr>
        <w:pStyle w:val="BodyText"/>
        <w:rPr/>
      </w:pPr>
      <w:r>
        <w:rPr/>
        <w:t xml:space="preserve">First, </w:t>
      </w:r>
      <w:r>
        <w:rPr>
          <w:i/>
          <w:iCs/>
        </w:rPr>
        <w:t>publish position statements specifying what graduate students should be entitled to expect</w:t>
      </w:r>
      <w:r>
        <w:rPr/>
        <w:t xml:space="preserve"> from their training environment on each of the framework’s five dimensions. The position can be expressed as a published charter, a sector-level petition, or an annual benchmarking report. The Council of Graduate Schools and Institut national de la recherche scientifique 2025 Global Action Agenda is the closest current sector-level position; peak bodies for graduate students can name where its principles need operational extension.</w:t>
      </w:r>
    </w:p>
    <w:p>
      <w:pPr>
        <w:pStyle w:val="BodyText"/>
        <w:rPr/>
      </w:pPr>
      <w:r>
        <w:rPr/>
        <w:t xml:space="preserve">Second, </w:t>
      </w:r>
      <w:r>
        <w:rPr>
          <w:i/>
          <w:iCs/>
        </w:rPr>
        <w:t>advocate for the funder and institutional investment</w:t>
      </w:r>
      <w:r>
        <w:rP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Centres for Doctoral Training and £117 million commitment is the largest current investment of this kind; peak bodies for graduate students can name what comparable national investments would look like in their jurisdictions.</w:t>
      </w:r>
    </w:p>
    <w:p>
      <w:pPr>
        <w:pStyle w:val="BodyText"/>
        <w:rPr/>
      </w:pPr>
      <w:r>
        <w:rPr/>
        <w:t xml:space="preserve">Third, </w:t>
      </w:r>
      <w:r>
        <w:rPr>
          <w:i/>
          <w:iCs/>
        </w:rPr>
        <w:t>commission and publish independent benchmarking</w:t>
      </w:r>
      <w:r>
        <w:rPr/>
        <w:t xml:space="preserve"> of the universities in each peak body’s jurisdiction. Universities are the actor the framework’s evidence shows is least developed; the peak body is the independent voice with the standing to make universities’ gaps visible. The benchmarking can use the Part 4 maturity grid directly.</w:t>
      </w:r>
      <w:bookmarkEnd w:id="38"/>
      <w:bookmarkEnd w:id="43"/>
    </w:p>
    <w:p>
      <w:pPr>
        <w:pStyle w:val="Heading2"/>
        <w:rPr/>
      </w:pPr>
      <w:bookmarkStart w:id="44" w:name="conclusion-1"/>
      <w:r>
        <w:rPr/>
        <w:t>Conclusion</w:t>
      </w:r>
    </w:p>
    <w:p>
      <w:pPr>
        <w:pStyle w:val="FirstParagraph"/>
        <w:rPr/>
      </w:pPr>
      <w:r>
        <w:rPr/>
        <w:t>The world’s major academic publishers acted in ten weeks. National research funders have acted, unevenly, over three years. International capability-framework bodies have published the AI-literacy literature universities now cite. Universities themselves, the institutions that actually train PhD researchers, have not caught up. Only six of thirty-eight top-tier doctoral universities publish AI policies that extend past plagiarism into AI literacy and valid research practices; the other five in six do not. The single most authoritative researcher-development framework in the Anglophone university world did not, in its 2025 refresh, surface AI as a competency at all.</w:t>
      </w:r>
    </w:p>
    <w:p>
      <w:pPr>
        <w:pStyle w:val="BodyText"/>
        <w:rPr/>
      </w:pPr>
      <w:r>
        <w:rPr/>
        <w:t>Universities are not passive consumers of AI. They are the institutions that define what responsible research practice looks like for the next generation of researchers, examiners, supervisors, and colleagues. LLMs are agentic research tools, and the institutional question is whether their use is ethical, valid, reproducible, and transparent. Universities therefore need purpose-built, adaptive frameworks for AI as a research tool: not extensions to plagiarism policies, and not bolt-ons to researcher-development frameworks designed for a pre-2022 world. The framework presented here is the operational tool for that task. Its goal is excellent research, achieved through excellent research training, at the speed and scale publishers have already shown is possible.</w:t>
      </w:r>
      <w:bookmarkEnd w:id="44"/>
    </w:p>
    <w:p>
      <w:pPr>
        <w:pStyle w:val="Heading2"/>
        <w:rPr/>
      </w:pPr>
      <w:bookmarkStart w:id="45" w:name="Xe68ee8087a0fb6c54faf307f3bd4ef6aae1293d"/>
      <w:r>
        <w:rPr/>
        <w:t>Appendix A — The maturity grid, full version</w:t>
      </w:r>
    </w:p>
    <w:p>
      <w:pPr>
        <w:pStyle w:val="FirstParagraph"/>
        <w:rPr/>
      </w:pPr>
      <w:r>
        <w:rPr/>
        <w:t>Appendix A is the full grid table. Five framework dimensions on the row axis (Dimension 1 through Dimension 5 per Part 2); four maturity levels on the column axis (absent, nascent, established, leading). Each cell describes observable institutional behaviour at the dimension-and-level intersection, evaluated against the four institutional axes from §2.5 (policy / people / systems / process). The descriptions are deliberately short and observable; a workshop facilitator should be able to apply them to a candidate institution in an hour and the result should be reviewable by anyone else who reads the grid.</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1881"/>
        <w:gridCol w:w="1881"/>
        <w:gridCol w:w="1881"/>
        <w:gridCol w:w="1882"/>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Dimension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Absent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Nascent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Established</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Leading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1. Human-in-the-loop discipline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published institutional position on which research tasks AI may augment and which it may not. Labour-vs-judgement demarcation is left to individual supervisors. AI-related accountability language appears only in student-conduct or assessment-integrity policy.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position articulated in principle (typically a single AI-policy document) but task-level demarcation not specified. The “AI cannot replace expert opinion or judgement” sentence appears in the policy without operational guidance on what counts as judgement.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 Responsible use in practice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Responsible-use language confined to student-conduct or assessment-integrity rules. No task-level rules for AI-use modes. Disclosure-on-output is delegated to the publisher policy applicable to each submission.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Single institutional disclosure template published but task-level rules for the four AI-use modes (search, co-author, validator, tutor) not specified. Disclosure is acknowledged but not assessed.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rules published for all four AI-use modes; institutional disclosure template aligned with publisher policy convention; rules taught in methods curriculum; verification expectation operationalised in supervision and at examination.</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3. Tooling that promotes responsible use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AI procurement gate; tool choice is private to each laboratory. The observable-property test (verifiable citation; data residency; uncertainty reporting; reproducibility; auditability; open-source options where workload permits) is not applied at institutional level.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AI procurement gate exists but criteria are vendor-led; the resolvability test is named but not consistently applied; data-residency posture is articulated for some research workloads but not all.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Procurement standard published, incorporating the six observable properties from §2.3;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tooling-procurement audit 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4. AI-literate humans</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literacy is treated as a tooling-skills problem (“which buttons to press”). No PhD methods curriculum content; no supervisor training; no examiner training on AI verification.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Some institutional AI-literacy provision exists (a MOOC; a library guide; a one-off seminar) but it is not integrated with the PhD methods curriculum, supervisor development, or examiner training. Participation is voluntary.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six load-bearing AI-era competencies from §2.4 are named outcomes in the PhD methods curriculum; supervisors are trained on the same; examiners are trained on the corresponding verification skills; the competencies are additive to the pre-AI reproducibility-and-validity canon, not replacement. Curriculum is reviewed at a stated cadence against the AI tool landscape.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evidence on competency-acquisition outcomes (a graduate-research survey instrument; a thesis-declaration-form analysis; supervisor self-assessment); contributes the evidence to sector-level benchmarking; operates a curriculum-improvement cycle informed by external review.</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5. Institutional benchmarking grid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benchmarking-and-improvement cycle on AI in research and research training. The four axes (policy / people / systems / process) are not articulated as a single institutional architecture. The 2 August 2026 EU AI Act Article 27 deadline and the 10 December 2026 Australian Privacy Act commencement are not named in the institutional plan.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institutional benchmarking-and-improvement cycle is articulated in principle but not operationalised. A named owner exists for the policy axis; people/systems/process axes are partially populated. Regulatory deadlines are recognised but not assigned.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(with explicit method); uses external benchmarking or peer audit at a stated cadence; publishes the results of its preparation-plan execution for the regulatory deadlines; contributes its scoring methodology to sector-level standardisation work.</w:t>
            </w:r>
          </w:p>
        </w:tc>
      </w:tr>
    </w:tbl>
    <w:p>
      <w:pPr>
        <w:pStyle w:val="BodyText"/>
        <w:rPr/>
      </w:pPr>
      <w:r>
        <w:rPr/>
        <w:t>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occupy: that is an institutional choice informed by context, scope, regulatory environment, and resource. The grid specifies only the criteria against which the choice is observable.</w:t>
      </w:r>
    </w:p>
    <w:p>
      <w:pPr>
        <w:pStyle w:val="BodyText"/>
        <w:rPr/>
      </w:pPr>
      <w:r>
        <w:rPr/>
        <w:t>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operational answer to the question this report opened with: what does responsible AI use look like at PhD level, and how would a university know whether it is doing it well.</w:t>
      </w:r>
      <w:bookmarkEnd w:id="45"/>
    </w:p>
    <w:p>
      <w:pPr>
        <w:pStyle w:val="Heading2"/>
        <w:rPr/>
      </w:pPr>
      <w:bookmarkStart w:id="46" w:name="Xa84783782a8a542074362876906e23e4f0078b9"/>
      <w:r>
        <w:rPr/>
        <w:t>Appendix B — Country and institutional dossiers</w:t>
      </w:r>
    </w:p>
    <w:p>
      <w:pPr>
        <w:pStyle w:val="FirstParagraph"/>
        <w:rPr/>
      </w:pPr>
      <w:r>
        <w:rPr/>
        <w:t>Appendix B compresses the country-level evidence base from Dossier 1 (national research-funder AI policies) and Dossier 2 (top-tier university institutional AI policies). Each country block summarises the funder posture, the institutional sample, the class distribution across the Part 1.3 taxonomy, and the key finding from the country’s evidence. Full per-funder and per-institution evidence with primary-source URLs is in the underlying dossier files.</w:t>
      </w:r>
    </w:p>
    <w:p>
      <w:pPr>
        <w:pStyle w:val="BodyText"/>
        <w:rPr/>
      </w:pPr>
      <w:r>
        <w:rPr>
          <w:b/>
          <w:bCs/>
        </w:rPr>
        <w:t>United Kingdom.</w:t>
      </w:r>
      <w:r>
        <w:rPr/>
        <w:t xml:space="preserve"> Funder: UK Research and Innovation. Policy live since 23 September 2024, transparency expectation added 3 December 2024; AI Research and Innovation Strategic Framework published 19 February 2026 with £117 million across twelve AI Centres for Doctoral Training at sixteen universities and continuing-professional-development commitments.</w:t>
      </w:r>
      <w:r>
        <w:rPr>
          <w:rFonts w:ascii="Inter" w:hAnsi="Inter" w:cs="Inter"/>
          <w:b/>
          <w:color w:val="3092B1"/>
          <w:position w:val="8"/>
          <w:sz w:val="18"/>
          <w:szCs w:val="18"/>
          <w:vertAlign w:val="superscript"/>
        </w:rPr>
        <w:footnoteReference w:id="74"/>
      </w:r>
      <w:r>
        <w:rP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addresses AI literacy in funded training environments (the Research Council of Norway has a parallel posture at national-strategy rather than funder-policy level); UK universities, by contrast, are the most bimodal in the sample.</w:t>
      </w:r>
    </w:p>
    <w:p>
      <w:pPr>
        <w:pStyle w:val="BodyText"/>
        <w:rPr/>
      </w:pPr>
      <w:r>
        <w:rPr>
          <w:b/>
          <w:bCs/>
        </w:rPr>
        <w:t>United States.</w:t>
      </w:r>
      <w:r>
        <w:rP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5"/>
      </w:r>
      <w:r>
        <w:rP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pPr>
        <w:pStyle w:val="BodyText"/>
        <w:rPr/>
      </w:pPr>
      <w:r>
        <w:rPr>
          <w:b/>
          <w:bCs/>
        </w:rPr>
        <w:t>Australia.</w:t>
      </w:r>
      <w:r>
        <w:rP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6"/>
      </w:r>
      <w:r>
        <w:rPr/>
        <w:t xml:space="preserve"> Institutional sample: six Group 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pPr>
        <w:pStyle w:val="BodyText"/>
        <w:rPr/>
      </w:pPr>
      <w:r>
        <w:rPr>
          <w:b/>
          <w:bCs/>
        </w:rPr>
        <w:t>Germany.</w:t>
      </w:r>
      <w:r>
        <w:rPr/>
        <w:t xml:space="preserve"> Funder: Deutsche Forschungsgemeinschaft,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7"/>
      </w:r>
      <w:r>
        <w:rP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r>
        <w:rPr>
          <w:i/>
          <w:iCs/>
        </w:rPr>
        <w:t>eidesstattliche Versicherung</w:t>
      </w:r>
      <w:r>
        <w:rPr/>
        <w:t xml:space="preserve"> (sworn affidavit)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pPr>
        <w:pStyle w:val="BodyText"/>
        <w:rPr/>
      </w:pPr>
      <w:r>
        <w:rPr>
          <w:b/>
          <w:bCs/>
        </w:rPr>
        <w:t>Continental Europe.</w:t>
      </w:r>
      <w:r>
        <w:rPr/>
        <w:t xml:space="preserve"> Funders: European Research Council (applicant-side December 2023, evaluation-side March 2026); Netherlands Organisation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8"/>
      </w:r>
      <w:r>
        <w:rP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Garante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7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0"/>
      </w:r>
      <w:r>
        <w:rPr/>
        <w:t xml:space="preserve">, </w:t>
      </w:r>
      <w:r>
        <w:rPr>
          <w:rFonts w:ascii="Inter" w:hAnsi="Inter" w:cs="Inter"/>
          <w:b/>
          <w:color w:val="3092B1"/>
          <w:position w:val="8"/>
          <w:sz w:val="18"/>
          <w:szCs w:val="18"/>
          <w:vertAlign w:val="superscript"/>
        </w:rPr>
        <w:footnoteReference w:id="81"/>
      </w:r>
    </w:p>
    <w:p>
      <w:pPr>
        <w:pStyle w:val="BodyText"/>
        <w:rPr/>
      </w:pPr>
      <w:r>
        <w:rPr>
          <w:b/>
          <w:bCs/>
        </w:rPr>
        <w:t>Asia.</w:t>
      </w:r>
      <w:r>
        <w:rPr/>
        <w:t xml:space="preserve"> Funders: Singapore Agency for Science, Technology and Research (no AI-specific grant policy located; 2016 ethics statement is umbrella code); Japan Society for the Promotion of Science KAKENHI (no AI-specific position located; FY2025 application procedures partial reference).</w:t>
      </w:r>
      <w:r>
        <w:rPr>
          <w:rFonts w:ascii="Inter" w:hAnsi="Inter" w:cs="Inter"/>
          <w:b/>
          <w:color w:val="3092B1"/>
          <w:position w:val="8"/>
          <w:sz w:val="18"/>
          <w:szCs w:val="18"/>
          <w:vertAlign w:val="superscript"/>
        </w:rPr>
        <w:footnoteReference w:id="82"/>
      </w:r>
      <w:r>
        <w:rP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university-wide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universities in Asia are on a slower but possibly more comprehensive trajectory than the Anglosphere.</w:t>
      </w:r>
    </w:p>
    <w:p>
      <w:pPr>
        <w:pStyle w:val="BodyText"/>
        <w:rPr/>
      </w:pPr>
      <w:r>
        <w:rPr>
          <w:b/>
          <w:bCs/>
        </w:rPr>
        <w:t>Canada.</w:t>
      </w:r>
      <w:r>
        <w:rP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3"/>
      </w:r>
      <w:r>
        <w:rP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pPr>
        <w:pStyle w:val="BodyText"/>
        <w:rPr/>
      </w:pPr>
      <w:r>
        <w:rPr>
          <w:b/>
          <w:bCs/>
        </w:rPr>
        <w:t>Supranational and treaty layer.</w:t>
      </w:r>
      <w:r>
        <w:rP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4"/>
      </w:r>
      <w:r>
        <w:rPr/>
        <w:t xml:space="preserve"> The Council of Graduate Schools and Institut national de la recherche scientifique Global Action Agenda (13 November 2025) is the closest existing peer to the report’s audience-tier framing and is the principle-level antecedent the report’s Dimension 1 through Dimension 5 operationalises. The OECD AI Principles (2019, updated 2024) supply the global non-binding baseline. Together these layers carry weight comparable to a national funder in regions where domestic regulation is less specific.</w:t>
      </w:r>
    </w:p>
    <w:p>
      <w:pPr>
        <w:pStyle w:val="BodyText"/>
        <w:rPr/>
      </w:pPr>
      <w:r>
        <w:rPr/>
        <w:t>The cross-country picture is the central evidentiary finding of Part 3: publishers standardised disclosure and authorship rules across the sector in roughly ten weeks, while national research funders standardised AI-in-application policies unevenly over roughly three years. Universities have not built research-training capability at scale; the framework’s Dimension 5 maturity grid is where they can self-diagnose against that pattern.</w:t>
      </w:r>
      <w:bookmarkEnd w:id="46"/>
    </w:p>
    <w:p>
      <w:pPr>
        <w:pStyle w:val="Heading2"/>
        <w:rPr/>
      </w:pPr>
      <w:bookmarkStart w:id="47" w:name="appendix-c-glossary-of-ai-tool-classes-1"/>
      <w:r>
        <w:rPr/>
        <w:t>Appendix C — Glossary of AI tool classes</w:t>
      </w:r>
    </w:p>
    <w:p>
      <w:pPr>
        <w:pStyle w:val="FirstParagraph"/>
        <w:rPr/>
      </w:pPr>
      <w:r>
        <w:rP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rPr/>
        <w:t xml:space="preserve">; the key public sources are in </w:t>
      </w:r>
      <w:hyperlink w:anchor="appendix-e-sources_1">
        <w:r>
          <w:rPr>
            <w:rStyle w:val="Hyperlink"/>
          </w:rPr>
          <w:t>Appendix E</w:t>
        </w:r>
      </w:hyperlink>
      <w:r>
        <w:rPr/>
        <w:t>.</w:t>
      </w:r>
    </w:p>
    <w:p>
      <w:pPr>
        <w:pStyle w:val="BodyText"/>
        <w:rPr/>
      </w:pPr>
      <w:r>
        <w:rPr>
          <w:b/>
          <w:bCs/>
        </w:rPr>
        <w:t>Note on terminology — “agentic.”</w:t>
      </w:r>
      <w:r>
        <w:rPr/>
        <w:t xml:space="preserve"> This report describes the AI tools below as </w:t>
      </w:r>
      <w:r>
        <w:rPr>
          <w:i/>
          <w:iCs/>
        </w:rPr>
        <w:t>agentic research tools</w:t>
      </w:r>
      <w:r>
        <w:rPr/>
        <w:t>: tools that, given a task, produce an output incorporated into the research record — in the same family as statistical packages, transcription engines, code-generation assistants, and data-cleaning pipelines. Calling them agentic foregrounds the right institutional question: is the use ethical, valid, reproducible, and transparent? The plagiarism-policy framing that treats LLM output as misappropriated authorship is a category error driven by the surface feature (output looks like writing) rather than the underlying function (output is a tool result). Each of the eleven AI tool classes below operationalises that distinction.</w:t>
      </w:r>
    </w:p>
    <w:p>
      <w:pPr>
        <w:pStyle w:val="BodyText"/>
        <w:rPr/>
      </w:pPr>
      <w:r>
        <w:rPr>
          <w:b/>
          <w:bCs/>
        </w:rPr>
        <w:t>Class 1 — Large-language-model search.</w:t>
      </w:r>
      <w:r>
        <w:rPr/>
        <w:t xml:space="preserve"> An LLM used to scope or discover literature, either by replacing or augmenting a keyword search, with or without live retrieval.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present in the source; the source the publisher of record; reproducibility at a known model version; session-log auditability.</w:t>
      </w:r>
    </w:p>
    <w:p>
      <w:pPr>
        <w:pStyle w:val="BodyText"/>
        <w:rPr/>
      </w:pPr>
      <w:r>
        <w:rPr>
          <w:b/>
          <w:bCs/>
        </w:rPr>
        <w:t>Class 2 — Large-language-model co-author.</w:t>
      </w:r>
      <w:r>
        <w:rPr/>
        <w:t xml:space="preserve"> An LLM used to draft, paraphrase, expand, summarise,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pPr>
        <w:pStyle w:val="BodyText"/>
        <w:rPr/>
      </w:pPr>
      <w:r>
        <w:rPr>
          <w:b/>
          <w:bCs/>
        </w:rPr>
        <w:t>Class 3 — Large-language-model validator.</w:t>
      </w:r>
      <w:r>
        <w:rP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pPr>
        <w:pStyle w:val="BodyText"/>
        <w:rPr/>
      </w:pPr>
      <w:r>
        <w:rPr>
          <w:b/>
          <w:bCs/>
        </w:rPr>
        <w:t>Class 4 — Large-language-model tutor.</w:t>
      </w:r>
      <w:r>
        <w:rP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(NotebookLM on a reading list, institutional RAG over required readings), refusal behaviours on assessable tasks, supervisor-accessible logging where consent permits.</w:t>
      </w:r>
    </w:p>
    <w:p>
      <w:pPr>
        <w:pStyle w:val="BodyText"/>
        <w:rPr/>
      </w:pPr>
      <w:r>
        <w:rPr>
          <w:b/>
          <w:bCs/>
        </w:rPr>
        <w:t>Class 5 — Large-language-model coder.</w:t>
      </w:r>
      <w:r>
        <w:rPr/>
        <w:t xml:space="preserve"> An LLM used to generate, debug, or refactor research code; statistical-pipeline assistance; data-cleaning automation. Good for: boilerplate, statistical-platform syntax conversion, debugging suggestions, data-wrangling pipelines. Fails at: security weaknesses in generated code (ACM TOSEM 2024: around 29.5 per cent of Python and 24.2 per cent of JavaScript Copilot, CodeWhisperer,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pPr>
        <w:pStyle w:val="BodyText"/>
        <w:rPr/>
      </w:pPr>
      <w:r>
        <w:rPr>
          <w:b/>
          <w:bCs/>
        </w:rPr>
        <w:t>Class 6 — Retrieval-augmented research assistants.</w:t>
      </w:r>
      <w:r>
        <w:rPr/>
        <w:t xml:space="preserve"> RAG-anchored tools that answer questions against a corpus the researcher selected or trusts (Elicit, Consensus, Scite Assistant, SciSpace, NotebookLM,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suggest (Stanford RegLab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pPr>
        <w:pStyle w:val="BodyText"/>
        <w:rPr/>
      </w:pPr>
      <w:r>
        <w:rPr>
          <w:b/>
          <w:bCs/>
        </w:rPr>
        <w:t>Class 7 — Automated literature-synthesis tools.</w:t>
      </w:r>
      <w:r>
        <w:rPr/>
        <w:t xml:space="preserve"> Systematic-review-adjacent tooling: Rayyan (with 2024-2026 AI augments), Covidence, ASReview (open-source, active-learning core), DistillerSR, EPPI-Reviewer, RobotReviewer. Good for: prioritising titles and abstracts for screening (ASReview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areas. Responsible-by-construction: open-source codebase, local execution, full screening-history audit trail, pre-registration alignment (PROSPERO; OSF), reporting-standards alignment (PRISMA AI-augment extension). ASReview is the closest current exemplar.</w:t>
      </w:r>
    </w:p>
    <w:p>
      <w:pPr>
        <w:pStyle w:val="BodyText"/>
        <w:rPr/>
      </w:pPr>
      <w:r>
        <w:rPr>
          <w:b/>
          <w:bCs/>
        </w:rPr>
        <w:t>Class 8 — Specialised research-coding-and-analysis assistants.</w:t>
      </w:r>
      <w:r>
        <w:rPr/>
        <w:t xml:space="preserve"> Domain-specific deep-learning systems for protein structure prediction (AlphaFold 2/3, ESMFold, RoseTTAFold, OpenFold), weather forecasting (GraphCast, GenCast),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pLDDT over 90 in error by over 2 Å; 22 per cent at 80-90; 33 per cent at 70-80; 77 per cent at under 70); fold-switching proteins; ligand-binding effects; dynamic systems. Responsible-by-construction: per-residue confidence (pLDDT), pairwise alignment-error matrices (PAE), inter-chain confidence (ipTM) as first-class outputs; public model versions; open weights where permitted. The existence proof that uncertainty reporting can be first-class.</w:t>
      </w:r>
    </w:p>
    <w:p>
      <w:pPr>
        <w:pStyle w:val="BodyText"/>
        <w:rPr/>
      </w:pPr>
      <w:r>
        <w:rPr>
          <w:b/>
          <w:bCs/>
        </w:rPr>
        <w:t>Class 9 — Image and figure generation tools.</w:t>
      </w:r>
      <w:r>
        <w:rP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Content Credentials in Adobe Firefly), watermarking (Google SynthID, Stability AI watermarking).</w:t>
      </w:r>
    </w:p>
    <w:p>
      <w:pPr>
        <w:pStyle w:val="BodyText"/>
        <w:rPr/>
      </w:pPr>
      <w:r>
        <w:rPr>
          <w:b/>
          <w:bCs/>
        </w:rPr>
        <w:t>Class 10 — Voice and transcription tools.</w:t>
      </w:r>
      <w:r>
        <w:rPr/>
        <w:t xml:space="preserve"> Speech-to-text systems for interview transcription, focus-group transcription, observation-log dictation, meeting capture (Whisper, Otter.ai, NotebookLM transcription, Microsoft Teams transcription, Apple Voice Memos). Good for: transcription at a quality good enough for human checking against audio. Fails at: producing transcripts faithful in their entirety (Koenecke et al. ACM FAccT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MacWhisper), enterprise-tenanted cloud (Teams in an M365 tenant with EU Data Boundary), segment-level confidence reporting, audit-trail logging for research-ethics review.</w:t>
      </w:r>
    </w:p>
    <w:p>
      <w:pPr>
        <w:pStyle w:val="BodyText"/>
        <w:rPr/>
      </w:pPr>
      <w:r>
        <w:rPr>
          <w:b/>
          <w:bCs/>
        </w:rPr>
        <w:t>Class 11 — AI-detection tools.</w:t>
      </w:r>
      <w:r>
        <w:rPr/>
        <w:t xml:space="preserve"> Statistical or watermark-detection classifiers used to flag whether text was written or substantially edited by an AI tool (Turnitin AI Detection, GPTZero, Originality.ai, Copyleaks, Winston AI, Sapling, Crossplag).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clearest illustration of the category error this report’s framework displaces: AI-detection treats surface authorship signals as a proxy for research validity, which they are not.</w:t>
      </w:r>
      <w:bookmarkEnd w:id="47"/>
    </w:p>
    <w:p>
      <w:pPr>
        <w:pStyle w:val="Heading2"/>
        <w:rPr/>
      </w:pPr>
      <w:bookmarkStart w:id="48" w:name="appendix-d-about-this-report-1"/>
      <w:r>
        <w:rPr/>
        <w:t>Appendix D — About this report</w:t>
      </w:r>
    </w:p>
    <w:p>
      <w:pPr>
        <w:pStyle w:val="FirstParagraph"/>
        <w:rPr/>
      </w:pPr>
      <w:r>
        <w:rPr>
          <w:b/>
          <w:bCs/>
        </w:rPr>
        <w:t>Author and contact.</w:t>
      </w:r>
      <w:r>
        <w:rPr/>
        <w:t xml:space="preserve"> Michael J. Zyphur, PhD (Instats; ORCID 0000-0003-3237-7892; support@instats.org).</w:t>
      </w:r>
    </w:p>
    <w:p>
      <w:pPr>
        <w:pStyle w:val="BodyText"/>
        <w:rPr/>
      </w:pPr>
      <w:r>
        <w:rPr>
          <w:b/>
          <w:bCs/>
        </w:rPr>
        <w:t>Scope.</w:t>
      </w:r>
      <w:r>
        <w:rPr/>
        <w:t xml:space="preserve"> This is the global view in a planned regional series. The capability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European Research Council as a supranational fourteenth funder; institutional AI policies across thirty-eight top-tier doctoral universities in fifteen countries and jurisdictions; the existing AI-literacy and researcher-development capability-framework literature; and the AI co-authorship and use policies of eighteen major publishers plus three preprint servers. Every load-bearing claim is anchored to a primary-source URL with a snapshot date.</w:t>
      </w:r>
    </w:p>
    <w:p>
      <w:pPr>
        <w:pStyle w:val="BodyText"/>
        <w:rPr/>
      </w:pPr>
      <w:r>
        <w:rPr>
          <w:b/>
          <w:bCs/>
        </w:rPr>
        <w:t>Methodology.</w:t>
      </w:r>
      <w:r>
        <w:rPr/>
        <w:t xml:space="preserve"> Forensic, source-anchored analysis. Synthesis claims that consolidate multiple primary sources are anchored through the publication’s evidence dossiers (Appendix E), organised by evidence axis: national research-funder policies; institutional AI policies; capability frameworks; publisher and journal policies; AI tool taxonomy; privacy and governance frameworks; reproducibility-crisis intersection; adversarial-review patterns.</w:t>
      </w:r>
    </w:p>
    <w:p>
      <w:pPr>
        <w:pStyle w:val="BodyText"/>
        <w:rPr/>
      </w:pPr>
      <w:r>
        <w:rPr>
          <w:b/>
          <w:bCs/>
        </w:rPr>
        <w:t>AI assistance disclosure.</w:t>
      </w:r>
      <w:r>
        <w:rPr/>
        <w:t xml:space="preserve"> This report was drafted with assistance from large language models for evidence synthesis, structural review, and copy editing. The lead author retains responsibility for every factual claim, institutional classification, numerical finding, and framework decision, and verified each load-bearing claim against the primary sources before publication.</w:t>
      </w:r>
    </w:p>
    <w:p>
      <w:pPr>
        <w:pStyle w:val="BodyText"/>
        <w:rPr/>
      </w:pPr>
      <w:r>
        <w:rPr>
          <w:b/>
          <w:bCs/>
        </w:rPr>
        <w:t>Conflict-of-interest disclosure.</w:t>
      </w:r>
      <w:r>
        <w:rPr/>
        <w:t xml:space="preserve"> The author has no paid relationships with any of the institutions in the report’s institutional sample (Appendix B).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bookmarkEnd w:id="48"/>
    </w:p>
    <w:p>
      <w:pPr>
        <w:pStyle w:val="Heading2"/>
        <w:rPr/>
      </w:pPr>
      <w:bookmarkStart w:id="49" w:name="appendix-e-sources-1"/>
      <w:r>
        <w:rPr/>
        <w:t>Appendix E — Sources</w:t>
      </w:r>
    </w:p>
    <w:p>
      <w:pPr>
        <w:pStyle w:val="FirstParagraph"/>
        <w:rPr/>
      </w:pPr>
      <w:r>
        <w:rPr/>
        <w:t xml:space="preserve">The report’s full evidence base is documented across eight primary-source dossiers in the project’s </w:t>
      </w:r>
      <w:r>
        <w:rPr>
          <w:rStyle w:val="VerbatimChar"/>
        </w:rPr>
        <w:t>research/</w:t>
      </w:r>
      <w:r>
        <w:rPr/>
        <w:t xml:space="preserve"> directory. Each dossier carries an alphabetised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pPr>
        <w:pStyle w:val="BodyText"/>
        <w:rPr/>
      </w:pPr>
      <w:r>
        <w:rPr/>
        <w:t>The eight dossiers are:</w:t>
      </w:r>
    </w:p>
    <w:p>
      <w:pPr>
        <w:pStyle w:val="Compact"/>
        <w:numPr>
          <w:ilvl w:val="0"/>
          <w:numId w:val="7"/>
        </w:numPr>
        <w:rPr/>
      </w:pPr>
      <w:r>
        <w:rPr>
          <w:rStyle w:val="VerbatimChar"/>
        </w:rPr>
        <w:t>research/dossier_01_national_funders.md</w:t>
      </w:r>
      <w:r>
        <w:rPr/>
        <w:t xml:space="preserve"> — fourteen national research funders across thirteen countries (UKRI; NSF; NIH; ARC; NHMRC; DFG; ERC; A*STAR; JSPS; Canadian tri-agency; NWO; SNSF; Swedish Research Council; Research Council of Norway).</w:t>
      </w:r>
    </w:p>
    <w:p>
      <w:pPr>
        <w:pStyle w:val="Compact"/>
        <w:numPr>
          <w:ilvl w:val="0"/>
          <w:numId w:val="7"/>
        </w:numPr>
        <w:rPr/>
      </w:pPr>
      <w:r>
        <w:rPr>
          <w:rStyle w:val="VerbatimChar"/>
        </w:rPr>
        <w:t>research/dossier_02_university_policies.md</w:t>
      </w:r>
      <w:r>
        <w:rPr/>
        <w:t xml:space="preserve"> — thirty-eight top-tier doctoral universities across fifteen countries and jurisdictions (UK Russell Group; US Ivy-Plus and AAU; Australian Group of Eight; German U15; continental European research-intensives; Asian RU11 and adjacent; Canadian U15).</w:t>
      </w:r>
    </w:p>
    <w:p>
      <w:pPr>
        <w:pStyle w:val="Compact"/>
        <w:numPr>
          <w:ilvl w:val="0"/>
          <w:numId w:val="7"/>
        </w:numPr>
        <w:rPr/>
      </w:pPr>
      <w:r>
        <w:rPr>
          <w:rStyle w:val="VerbatimChar"/>
        </w:rPr>
        <w:t>research/dossier_03_capability_frameworks.md</w:t>
      </w:r>
      <w:r>
        <w:rPr/>
        <w:t xml:space="preserve"> — thirteen capability frameworks (UNESCO AI CF for Students and Teachers; OECD-EC AILit; DigComp 2.2; Jisc; EDUCAUSE; Vitae RDF; CGS-INRS Global Action Agenda; EUA; US National Academies / PNAS; TEQSA; Russell Group; Digital Education Council).</w:t>
      </w:r>
    </w:p>
    <w:p>
      <w:pPr>
        <w:pStyle w:val="Compact"/>
        <w:numPr>
          <w:ilvl w:val="0"/>
          <w:numId w:val="7"/>
        </w:numPr>
        <w:rPr/>
      </w:pPr>
      <w:r>
        <w:rPr>
          <w:rStyle w:val="VerbatimChar"/>
        </w:rPr>
        <w:t>research/dossier_04_publisher_policies.md</w:t>
      </w:r>
      <w:r>
        <w:rP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arXiv; bioRxiv; medRxiv).</w:t>
      </w:r>
    </w:p>
    <w:p>
      <w:pPr>
        <w:pStyle w:val="Compact"/>
        <w:numPr>
          <w:ilvl w:val="0"/>
          <w:numId w:val="7"/>
        </w:numPr>
        <w:rPr/>
      </w:pPr>
      <w:r>
        <w:rPr>
          <w:rStyle w:val="VerbatimChar"/>
        </w:rPr>
        <w:t>research/dossier_05_ai_tool_taxonomy.md</w:t>
      </w:r>
      <w:r>
        <w:rPr/>
        <w:t xml:space="preserve"> — eleven AI tool classes (LLM-as-search; LLM-as-co-author; LLM-as-validator; LLM-as-tutor; LLM-as-coder; RAG-anchored research assistants; automated literature-synthesis tools; AlphaFold-class specialised assistants; image-and-figure generation; voice-and-transcription; AI-detection).</w:t>
      </w:r>
    </w:p>
    <w:p>
      <w:pPr>
        <w:pStyle w:val="Compact"/>
        <w:numPr>
          <w:ilvl w:val="0"/>
          <w:numId w:val="7"/>
        </w:numPr>
        <w:rPr/>
      </w:pPr>
      <w:r>
        <w:rPr>
          <w:rStyle w:val="VerbatimChar"/>
        </w:rPr>
        <w:t>research/dossier_06_privacy_ip_governance.md</w:t>
      </w:r>
      <w:r>
        <w:rP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pPr>
        <w:pStyle w:val="Compact"/>
        <w:numPr>
          <w:ilvl w:val="0"/>
          <w:numId w:val="7"/>
        </w:numPr>
        <w:rPr/>
      </w:pPr>
      <w:r>
        <w:rPr>
          <w:rStyle w:val="VerbatimChar"/>
        </w:rPr>
        <w:t>research/dossier_07_reproducibility_intersection.md</w:t>
      </w:r>
      <w:r>
        <w:rPr/>
        <w:t xml:space="preserve"> — pre-AI reproducibility-crisis literature anchor (Ioannidis 2005; OSC 2015; Begley-Ellis 2012; Errington 2021; Camerer 2018; Many Labs 1-3; Voelkl 2018; Bouter / Gopalakrishna 2022) and the AI-augmentation intersection (multiplier-side §7a-§7i; solver-side §7j-§7n).</w:t>
      </w:r>
    </w:p>
    <w:p>
      <w:pPr>
        <w:pStyle w:val="Compact"/>
        <w:numPr>
          <w:ilvl w:val="0"/>
          <w:numId w:val="7"/>
        </w:numPr>
        <w:rPr/>
      </w:pPr>
      <w:r>
        <w:rPr>
          <w:rStyle w:val="VerbatimChar"/>
        </w:rPr>
        <w:t>research/dossier_08_adversarial_review_patterns.md</w:t>
      </w:r>
      <w:r>
        <w:rPr/>
        <w:t xml:space="preserve"> — nine adversarial-review patterns (red-team / blue-team; devil’s-advocate; pre-mortem; structured analytic techniques; adversarial collaboration; multi-agent LLM debate; constitutional AI / self-critique chains; AI red-teaming as research method; pre-registration).</w:t>
      </w:r>
    </w:p>
    <w:p>
      <w:pPr>
        <w:pStyle w:val="FirstParagraph"/>
        <w:rPr/>
      </w:pPr>
      <w:r>
        <w:rP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9"/>
    </w:p>
    <w:p>
      <w:pPr>
        <w:pStyle w:val="Heading2"/>
        <w:rPr/>
      </w:pPr>
      <w:bookmarkStart w:id="50" w:name="appendix-f-regional-adaptation-note-1"/>
      <w:r>
        <w:rPr/>
        <w:t>Appendix F — Regional-adaptation note</w:t>
      </w:r>
    </w:p>
    <w:p>
      <w:pPr>
        <w:pStyle w:val="FirstParagraph"/>
        <w:rPr/>
      </w:pPr>
      <w:r>
        <w:rPr/>
        <w:t>This report is the global anchor of a planned regional series. The framework in Part 2 and the maturity grid in Part 4 are deliberately built to be reusable: the framework’s five dimensions and the grid’s four maturity levels do not change between the global view and a regional adaptation. What changes is the evidence that populates each cell.</w:t>
      </w:r>
    </w:p>
    <w:p>
      <w:pPr>
        <w:pStyle w:val="BodyText"/>
        <w:rPr/>
      </w:pPr>
      <w:r>
        <w:rPr/>
        <w:t>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follow the regional adaptations: within-US (state and system differentiation); UK versus wider Europe; East versus West Europe; North versus South Europe.</w:t>
      </w:r>
    </w:p>
    <w:p>
      <w:pPr>
        <w:pStyle w:val="BodyText"/>
        <w:rPr/>
      </w:pPr>
      <w:r>
        <w:rPr/>
        <w:t xml:space="preserve">Three design choices make the framework reusable. First, the five dimensions are defined in terms of observable institutional behaviour, not in terms of named documents or instruments specific to a single jurisdiction. The German </w:t>
      </w:r>
      <w:r>
        <w:rPr>
          <w:i/>
          <w:iCs/>
        </w:rPr>
        <w:t>eidesstattliche Versicherung</w:t>
      </w:r>
      <w:r>
        <w:rP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pPr>
        <w:pStyle w:val="BodyText"/>
        <w:rPr/>
      </w:pPr>
      <w:r>
        <w:rPr/>
        <w:t>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evidence agrees with the global pattern and where it diverges. The cross-references the regional adaptations build allow sub-regional and longitudinal comparisons that the global view alone cannot support.</w:t>
      </w:r>
    </w:p>
    <w:p>
      <w:pPr>
        <w:pStyle w:val="BodyText"/>
        <w:rPr/>
      </w:pPr>
      <w:r>
        <w:rP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50"/>
    </w:p>
    <w:p>
      <w:pPr>
        <w:pStyle w:val="Heading2"/>
        <w:rPr/>
      </w:pPr>
      <w:bookmarkStart w:id="51" w:name="X17285a873e63ccb0cca26e646af65800f47b2e1"/>
      <w:r>
        <w:rPr/>
        <w:t>Appendix G — Labour-vs-judgement task taxonomy</w:t>
      </w:r>
    </w:p>
    <w:p>
      <w:pPr>
        <w:pStyle w:val="FirstParagraph"/>
        <w:rPr/>
      </w:pPr>
      <w:r>
        <w:rPr/>
        <w:t xml:space="preserve">The framework’s Dimension 1 (human-in-the-loop discipline) requires that institutions publish a research-task-level demarcation between </w:t>
      </w:r>
      <w:r>
        <w:rPr>
          <w:i/>
          <w:iCs/>
        </w:rPr>
        <w:t>labour</w:t>
      </w:r>
      <w:r>
        <w:rPr/>
        <w:t xml:space="preserve"> (work AI augmentation may carry, with human verification of derived results) and </w:t>
      </w:r>
      <w:r>
        <w:rPr>
          <w:i/>
          <w:iCs/>
        </w:rPr>
        <w:t>judgement</w:t>
      </w:r>
      <w:r>
        <w:rP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labour with verification; a humanities PhD’s “interpreting an archive document” is judgement under any taxonomy).</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3135"/>
        <w:gridCol w:w="3135"/>
        <w:gridCol w:w="3136"/>
      </w:tblGrid>
      <w:tr>
        <w:trPr>
          <w:tblHeader w:val="true"/>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Research task</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Default class</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 for institutional policy</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Initial literature scoping (search-term iteration; reading-list assembly from broad queries)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RAG-anchored research-assistant class is the responsible-by-construction tool; researcher verifies citations against primary sources before incorporating.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Citation accuracy verification at draft time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may flag candidate matches; researcher must resolve every citation to the primary source per the Walters &amp; Wilder 18-55 per cent fabrication-rate evidence (§1.1).</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Literature synthesis judgement (deciding which papers are load-bearing; resolving conflicting findings)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synthesis is the research contribution; AI may scaffold the inputs but not substitute for the synthesis.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prose from a researcher-generated outline (bullets to paragraphs; section drafts from notes)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disclosure rules apply; institutional disclosure template names the use.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substantive content the researcher cannot independently produce or validate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fabrication-risk surface; AI may not substitute.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Language polishing on researcher-generated text (grammar, register, length compression)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Major-publisher carve-outs permit this without disclosure beyond general AI-use note.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Translation of researcher-generated text between languages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Audit-trail captures the source text; researcher signs the translation.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Code generation for data-cleaning and analysis pipelines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LLM-as-coder class; researcher reviews diff, runs tests, signs the commit.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Method choice and analytic-plan design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method choice is the research stance; AI may scaffold options, not decide.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Statistical-assumption checking and outlier-decision adjudication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decisions define the inferences.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Hypothesis formulation prior to data collection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Pre-registration discipline applies; AI may suggest, researcher commits in the registered plan.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Inclusion / exclusion criteria for systematic review or meta-analysis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criteria are the methods; AI-augmented screening is a labour subset.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Active-learning screening of titles and abstracts (ASReview-class)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Open-source-and-local responsible-by-construction exemplar; researcher reviews borderline decisions.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Transcription of interviews and focus groups (with audio retained for human verification)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Local Whisper class; researcher verifies transcript against audio per the Koenecke et al. 1 per cent invented-content evidence.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illustrative or schematic purposes (talks, slides, teaching materials, cover art)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Disclosure per publisher policy; not for data figures.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data presentation (graphs, microscopy, gel images, structural diagrams)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(prohibited)</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convergence is against any data-figure use; the demarcation crosses into prohibition.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Adversarial review of one’s own argument (red-team, devil’s-advocate, pre-mortem)</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(with AI augmentation)</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model-heterogeneity discipline and human-as-verifier discipline from Dimension 4 apply; AI scaffolds without substituting.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Examiner judgement at viva voce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examination is the verification mechanism for the entire research-training pipeline; AI may not participate as an examiner.</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Supervisor approval of an analysis chapter</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approval is the institutional verification; AI may flag issues, not substitute for the approval.</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Co-authorship determination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publisher convergence (§3.3) excludes AI from author roles.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Peer-review decision on a submitted manuscript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 the reviewer-side publisher convergence and the Dimension 4 sycophancy-detection competency, AI may scaffold reading but not substitute for the decision.</w:t>
            </w:r>
          </w:p>
        </w:tc>
      </w:tr>
    </w:tbl>
    <w:p>
      <w:pPr>
        <w:pStyle w:val="BodyText"/>
        <w:rPr/>
      </w:pPr>
      <w:r>
        <w:rPr/>
        <w:t xml:space="preserve">The taxonomy is illustrative, not exhaustive. Two operational notes for faculty deans, graduate-school deans, and higher-degrees committees building their own institutional version: first, the </w:t>
      </w:r>
      <w:r>
        <w:rPr>
          <w:i/>
          <w:iCs/>
        </w:rPr>
        <w:t>labour</w:t>
      </w:r>
      <w:r>
        <w:rPr/>
        <w:t xml:space="preserve"> class is not a permission slip; AI use in labour tasks still requires the institutional disclosure standard from Dimension 2. Second, the </w:t>
      </w:r>
      <w:r>
        <w:rPr>
          <w:i/>
          <w:iCs/>
        </w:rPr>
        <w:t>judgement</w:t>
      </w:r>
      <w:r>
        <w:rP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pPr>
        <w:pStyle w:val="BodyText"/>
        <w:rPr/>
      </w:pPr>
      <w:r>
        <w:rPr/>
        <w:t>The catalogue is intentionally short and discipline-blind so that faculties adapt rather than copy. A computational-biology faculty extending the taxonomy will add entries for protein-structure-prediction-with-pLDDT-thresholds, molecular-dynamics-simulation-with-uncertainty-reporting, and similar discipline-specific surfaces. A humanities faculty extending the taxonomy will add entries for archive-document interpretation, primary-text close-reading, and discipline-specific exegesis surfaces. The institutional capability the framework specifies is the act of articulating the taxonomy, not the specific entries.</w:t>
      </w:r>
      <w:bookmarkEnd w:id="51"/>
    </w:p>
    <w:p>
      <w:pPr>
        <w:pStyle w:val="Heading2"/>
        <w:keepNext w:val="true"/>
        <w:keepLines/>
        <w:spacing w:lineRule="auto" w:line="288" w:before="360" w:after="120"/>
        <w:rPr/>
      </w:pPr>
      <w:bookmarkStart w:id="52" w:name="sources-and-footnotes"/>
      <w:r>
        <w:rPr/>
        <w:t>Sources and footnotes</w:t>
      </w:r>
      <w:bookmarkEnd w:id="4"/>
      <w:bookmarkEnd w:id="52"/>
    </w:p>
    <w:sectPr>
      <w:headerReference w:type="even" r:id="rId7"/>
      <w:headerReference w:type="default" r:id="rId8"/>
      <w:headerReference w:type="first" r:id="rId9"/>
      <w:footerReference w:type="even" r:id="rId10"/>
      <w:footerReference w:type="default" r:id="rId11"/>
      <w:footerReference w:type="first" r:id="rId12"/>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Hill, M., quoted in Cambridge University Press’s “Cambridge launches AI research ethics policy” press release, March 2023. URL: https://www.cambridge.org/news-and-insights/cambridge-launches-ai-research-ethics-policy · snapshotted 2026-05-18.</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Synthesised across the eighteen-entry publisher dossier; see </w:t>
      </w:r>
      <w:r>
        <w:rPr>
          <w:rStyle w:val="VerbatimChar"/>
        </w:rPr>
        <w:t>research/dossier_04_publisher_policies.md</w:t>
      </w:r>
      <w:r>
        <w:rPr/>
        <w:t xml:space="preserve"> and the trajectory-analysis section therein.</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Synthesised across the fourteen-entry national-funder dossier; see </w:t>
      </w:r>
      <w:r>
        <w:rPr>
          <w:rStyle w:val="VerbatimChar"/>
        </w:rPr>
        <w:t>research/dossier_01_national_funders.md</w:t>
      </w:r>
      <w:r>
        <w:rPr/>
        <w:t>.</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arXiv internal moderation findings reported in 2025; methodology and threshold discussed in </w:t>
      </w:r>
      <w:r>
        <w:rPr>
          <w:rStyle w:val="VerbatimChar"/>
        </w:rPr>
        <w:t>research/dossier_04_publisher_policies.md</w:t>
      </w:r>
      <w:r>
        <w:rPr/>
        <w:t xml:space="preserve"> § preprint-server position.</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BMJ Author Hub, “AI policy and submission form disclosure,” April 2024; 2025 Peer Review Congress disclosure rate report. See </w:t>
      </w:r>
      <w:r>
        <w:rPr>
          <w:rStyle w:val="VerbatimChar"/>
        </w:rPr>
        <w:t>research/dossier_04_publisher_policies.md</w:t>
      </w:r>
      <w:r>
        <w:rPr/>
        <w:t xml:space="preserve"> § BMJ family entry. URL: https://authors.bmj.com/policies/bmj-policy-on-artificial-intelligence/ (access status noted in dossier).</w:t>
      </w:r>
    </w:p>
  </w:footnote>
  <w:footnote w:id="7">
    <w:p>
      <w:pPr>
        <w:pStyle w:val="FootnoteText"/>
        <w:widowControl/>
        <w:bidi w:val="0"/>
        <w:spacing w:lineRule="auto" w:line="312" w:before="0" w:after="80"/>
        <w:jc w:val="start"/>
        <w:rPr/>
      </w:pPr>
      <w:r>
        <w:rPr>
          <w:rStyle w:val="FootnoteCharacters"/>
        </w:rPr>
        <w:footnoteRef/>
      </w:r>
      <w:r>
        <w:rPr/>
        <w:t xml:space="preserve"> </w:t>
      </w:r>
      <w:r>
        <w:rPr/>
        <w:t>Deutsche Forschungsgemeinschaft, Executive Committee statement on the use of generative models in research, 21 September 2023. URL: https://www.dfg.de/en/service/press/press-releases/2023/press-release-no-39 · snapshotted 2026-05-18.</w:t>
      </w:r>
    </w:p>
  </w:footnote>
  <w:footnote w:id="8">
    <w:p>
      <w:pPr>
        <w:pStyle w:val="FootnoteText"/>
        <w:widowControl/>
        <w:bidi w:val="0"/>
        <w:spacing w:lineRule="auto" w:line="312" w:before="0" w:after="80"/>
        <w:jc w:val="start"/>
        <w:rPr/>
      </w:pPr>
      <w:r>
        <w:rPr>
          <w:rStyle w:val="FootnoteCharacters"/>
        </w:rPr>
        <w:footnoteRef/>
      </w:r>
      <w:r>
        <w:rPr/>
        <w:t xml:space="preserve"> </w:t>
      </w:r>
      <w:r>
        <w:rPr/>
        <w:t>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9">
    <w:p>
      <w:pPr>
        <w:pStyle w:val="FootnoteText"/>
        <w:widowControl/>
        <w:bidi w:val="0"/>
        <w:spacing w:lineRule="auto" w:line="312" w:before="0" w:after="80"/>
        <w:jc w:val="start"/>
        <w:rPr/>
      </w:pPr>
      <w:r>
        <w:rPr>
          <w:rStyle w:val="FootnoteCharacters"/>
        </w:rPr>
        <w:footnoteRef/>
      </w:r>
      <w:r>
        <w:rPr/>
        <w:t xml:space="preserve"> </w:t>
      </w:r>
      <w:r>
        <w:rPr/>
        <w:t>Elsevier publisher-wide policy on the use of generative AI and AI-assisted technologies in scientific writing. URL: https://www.elsevier.com/about/policies-and-standards/the-use-of-generative-ai-and-ai-assisted-technologies-in-scientific-writing · snapshotted 2026-05-18.</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Cell Press, </w:t>
      </w:r>
      <w:r>
        <w:rPr>
          <w:i/>
          <w:iCs/>
        </w:rPr>
        <w:t>Newton</w:t>
      </w:r>
      <w:r>
        <w:rPr/>
        <w:t xml:space="preserve"> journal Information for Authors (April 2024 issue), summarising the Cell Press-wide AI disclosure rule. See </w:t>
      </w:r>
      <w:r>
        <w:rPr>
          <w:rStyle w:val="VerbatimChar"/>
        </w:rPr>
        <w:t>research/dossier_04_publisher_policies.md</w:t>
      </w:r>
      <w:r>
        <w:rPr/>
        <w:t xml:space="preserve"> § Cell Press entry.</w:t>
      </w:r>
    </w:p>
  </w:footnote>
  <w:footnote w:id="11">
    <w:p>
      <w:pPr>
        <w:pStyle w:val="FootnoteText"/>
        <w:widowControl/>
        <w:bidi w:val="0"/>
        <w:spacing w:lineRule="auto" w:line="312" w:before="0" w:after="80"/>
        <w:jc w:val="start"/>
        <w:rPr/>
      </w:pPr>
      <w:r>
        <w:rPr>
          <w:rStyle w:val="FootnoteCharacters"/>
        </w:rPr>
        <w:footnoteRef/>
      </w:r>
      <w:r>
        <w:rPr/>
        <w:t xml:space="preserve"> </w:t>
      </w:r>
      <w:r>
        <w:rPr/>
        <w:t>JAMA Network policy on the use of AI in scholarly publication, formal Guidance issued 27 July 2023. URL: https://jamanetwork.com/journals/jama/fullarticle/2807956 · snapshotted 2026-05-18.</w:t>
      </w:r>
    </w:p>
  </w:footnote>
  <w:footnote w:id="12">
    <w:p>
      <w:pPr>
        <w:pStyle w:val="FootnoteText"/>
        <w:widowControl/>
        <w:bidi w:val="0"/>
        <w:spacing w:lineRule="auto" w:line="312" w:before="0" w:after="80"/>
        <w:jc w:val="start"/>
        <w:rPr/>
      </w:pPr>
      <w:r>
        <w:rPr>
          <w:rStyle w:val="FootnoteCharacters"/>
        </w:rPr>
        <w:footnoteRef/>
      </w:r>
      <w:r>
        <w:rPr/>
        <w:t xml:space="preserve"> </w:t>
      </w:r>
      <w:r>
        <w:rPr/>
        <w:t>Public Library of Science, “The promise and perils of AI use in peer review,” The PLOS Blog, September 2025. URL: https://theplosblog.plos.org/2025/09/the-promise-and-perils-of-ai-use-in-peer-review/ · snapshotted 2026-05-18.</w:t>
      </w:r>
    </w:p>
  </w:footnote>
  <w:footnote w:id="13">
    <w:p>
      <w:pPr>
        <w:pStyle w:val="FootnoteText"/>
        <w:widowControl/>
        <w:bidi w:val="0"/>
        <w:spacing w:lineRule="auto" w:line="312" w:before="0" w:after="80"/>
        <w:jc w:val="start"/>
        <w:rPr/>
      </w:pPr>
      <w:r>
        <w:rPr>
          <w:rStyle w:val="FootnoteCharacters"/>
        </w:rPr>
        <w:footnoteRef/>
      </w:r>
      <w:r>
        <w:rPr/>
        <w:t xml:space="preserve"> </w:t>
      </w:r>
      <w:r>
        <w:rPr/>
        <w:t>UNESCO, AI Competency Framework for Students, issued 8 August 2024, revised 16 January 2026. URL: https://www.unesco.org/en/articles/ai-competency-framework-students · snapshotted 2026-05-18.</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Council of Graduate Schools and Institut national de la recherche scientifique, </w:t>
      </w:r>
      <w:r>
        <w:rPr>
          <w:i/>
          <w:iCs/>
        </w:rPr>
        <w:t>Global Action Agenda for Using AI to Improve Graduate Education and Workforce Preparation</w:t>
      </w:r>
      <w:r>
        <w:rPr/>
        <w:t>, 13 November 2025. URL: https://cgsnet.org/press-releases/new-action-agenda-for-using-ai-to-improve-graduate-education-and-workforce-preparation · snapshotted 2026-05-18.</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Blau, W. </w:t>
      </w:r>
      <w:r>
        <w:rPr>
          <w:i/>
          <w:iCs/>
        </w:rPr>
        <w:t>et al.</w:t>
      </w:r>
      <w:r>
        <w:rPr/>
        <w:t xml:space="preserve">, “Protecting scientific integrity in an age of generative AI,” </w:t>
      </w:r>
      <w:r>
        <w:rPr>
          <w:i/>
          <w:iCs/>
        </w:rPr>
        <w:t>PNAS</w:t>
      </w:r>
      <w:r>
        <w:rPr/>
        <w:t>, 21 May 2024. DOI: 10.1073/pnas.2407886121. URL: https://www.pnas.org/doi/10.1073/pnas.2407886121 · snapshotted 2026-05-18.</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Thirty-eight-university sample with class breakdown A=4, B=11, C=17, D=6 (Total 38) per the reconciled summary table in </w:t>
      </w:r>
      <w:r>
        <w:rPr>
          <w:rStyle w:val="VerbatimChar"/>
        </w:rPr>
        <w:t>research/dossier_02_university_policies.md</w:t>
      </w:r>
      <w:r>
        <w:rPr/>
        <w:t xml:space="preserve"> § Class distribution and per-institution entries. The dossier’s earlier summary figures (A=5, B=6, C=13, D=6, Total 30) were inconsistent with the per-entry Classification fields and were reconciled at Stage A.</w:t>
      </w:r>
    </w:p>
  </w:footnote>
  <w:footnote w:id="17">
    <w:p>
      <w:pPr>
        <w:pStyle w:val="FootnoteText"/>
        <w:widowControl/>
        <w:bidi w:val="0"/>
        <w:spacing w:lineRule="auto" w:line="312" w:before="0" w:after="80"/>
        <w:jc w:val="start"/>
        <w:rPr/>
      </w:pPr>
      <w:r>
        <w:rPr>
          <w:rStyle w:val="FootnoteCharacters"/>
        </w:rPr>
        <w:footnoteRef/>
      </w:r>
      <w:r>
        <w:rPr/>
        <w:t xml:space="preserve"> </w:t>
      </w:r>
      <w:r>
        <w:rPr/>
        <w:t>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8">
    <w:p>
      <w:r>
        <w:t xml:space="preserve">Repeated source: ARC / NHMRC, joint policy on the use of generative AI in grant applications and assessm...</w:t>
      </w:r>
    </w:p>
  </w:footnote>
  <w:footnote w:id="19">
    <w:p>
      <w:r>
        <w:t xml:space="preserve">Repeated source: Synthesised across the eighteen-entry publisher dossier; see research/dossier_04_publis...</w:t>
      </w:r>
    </w:p>
  </w:footnote>
  <w:footnote w:id="20">
    <w:p>
      <w:r>
        <w:t xml:space="preserve">Repeated source: Blau, W. et al., “Protecting scientific integrity in an age of generative AI,” PNAS, 21...</w:t>
      </w:r>
    </w:p>
  </w:footnote>
  <w:footnote w:id="21">
    <w:p>
      <w:r>
        <w:t xml:space="preserve">Repeated source: Thirty-eight-university sample with class breakdown A=4, B=11, C=17, D=6 (Total 38) per...</w:t>
      </w:r>
    </w:p>
  </w:footnote>
  <w:footnote w:id="22">
    <w:p>
      <w:r>
        <w:t xml:space="preserve">Repeated source: Synthesised across the fourteen-entry national-funder dossier; see research/dossier_01_...</w:t>
      </w:r>
    </w:p>
  </w:footnote>
  <w:footnote w:id="23">
    <w:p>
      <w:r>
        <w:t xml:space="preserve">Repeated source: Synthesised across the eighteen-entry publisher dossier; see research/dossier_04_publis...</w:t>
      </w:r>
    </w:p>
  </w:footnote>
  <w:footnote w:id="24">
    <w:p>
      <w:r>
        <w:t xml:space="preserve">Repeated source: Thirty-eight-university sample with class breakdown A=4, B=11, C=17, D=6 (Total 38) per...</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Synthesised across the thirteen-entry capability-frameworks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research/dossier_03_capability_frameworks.md</w:t>
      </w:r>
      <w:r>
        <w:rPr/>
        <w:t>.</w:t>
      </w:r>
    </w:p>
  </w:footnote>
  <w:footnote w:id="26">
    <w:p>
      <w:r>
        <w:t xml:space="preserve">Repeated source: Elsevier publisher-wide policy on the use of generative AI and AI-assisted technologies...</w:t>
      </w:r>
    </w:p>
  </w:footnote>
  <w:footnote w:id="27">
    <w:p>
      <w:r>
        <w:t xml:space="preserve">Repeated source: JAMA Network policy on the use of AI in scholarly publication, formal Guidance issued 2...</w:t>
      </w:r>
    </w:p>
  </w:footnote>
  <w:footnote w:id="28">
    <w:p>
      <w:r>
        <w:t xml:space="preserve">Repeated source: Public Library of Science, “The promise and perils of AI use in peer review,” The PLOS...</w:t>
      </w:r>
    </w:p>
  </w:footnote>
  <w:footnote w:id="29">
    <w:p>
      <w:r>
        <w:t xml:space="preserve">Repeated source: Council of Graduate Schools and Institut national de la recherche scientifique, Global...</w:t>
      </w:r>
    </w:p>
  </w:footnote>
  <w:footnote w:id="30">
    <w:p>
      <w:r>
        <w:t xml:space="preserve">Repeated source: Synthesised across the fourteen-entry national-funder dossier; see research/dossier_01_...</w:t>
      </w:r>
    </w:p>
  </w:footnote>
  <w:footnote w:id="31">
    <w:p>
      <w:r>
        <w:t xml:space="preserve">Repeated source: Synthesised across the thirteen-entry capability-frameworks dossier covering UNESCO AI...</w:t>
      </w:r>
    </w:p>
  </w:footnote>
  <w:footnote w:id="32">
    <w:p>
      <w:pPr>
        <w:pStyle w:val="FootnoteText"/>
        <w:widowControl/>
        <w:bidi w:val="0"/>
        <w:spacing w:lineRule="auto" w:line="312" w:before="0" w:after="80"/>
        <w:jc w:val="start"/>
        <w:rPr/>
      </w:pPr>
      <w:r>
        <w:rPr>
          <w:rStyle w:val="FootnoteCharacters"/>
        </w:rPr>
        <w:footnoteRef/>
      </w:r>
      <w:r>
        <w:rPr/>
        <w:t xml:space="preserve"> </w:t>
      </w:r>
      <w:r>
        <w:rPr/>
        <w:t xml:space="preserve">Synthesised across the eleven-class AI tool taxonomy dossier; see </w:t>
      </w:r>
      <w:r>
        <w:rPr>
          <w:rStyle w:val="VerbatimChar"/>
        </w:rPr>
        <w:t>research/dossier_05_ai_tool_taxonomy.md</w:t>
      </w:r>
      <w:r>
        <w:rPr/>
        <w:t xml:space="preserve"> and Appendix C of this report. The 8 mandatory classes plus 3 optional classes (image/figure generation, voice/transcription, AI-detection) populate the matrix the dimension’s procurement test references.</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Walters, W. H., &amp; Wilder, E. I. (2023). “Fabrication and errors in the bibliographic citations generated by ChatGPT.” </w:t>
      </w:r>
      <w:r>
        <w:rPr>
          <w:i/>
          <w:iCs/>
        </w:rPr>
        <w:t>Scientific Reports</w:t>
      </w:r>
      <w:r>
        <w:rPr/>
        <w:t>, 13:14045. DOI: 10.1038/s41598-023-41032-5. URL: https://www.nature.com/articles/s41598-023-41032-5 · snapshotted 2026-05-18.</w:t>
      </w:r>
    </w:p>
  </w:footnote>
  <w:footnote w:id="34">
    <w:p>
      <w:pPr>
        <w:pStyle w:val="FootnoteText"/>
        <w:widowControl/>
        <w:bidi w:val="0"/>
        <w:spacing w:lineRule="auto" w:line="312" w:before="0" w:after="80"/>
        <w:jc w:val="start"/>
        <w:rPr/>
      </w:pPr>
      <w:r>
        <w:rPr>
          <w:rStyle w:val="FootnoteCharacters"/>
        </w:rPr>
        <w:footnoteRef/>
      </w:r>
      <w:r>
        <w:rPr/>
        <w:t xml:space="preserve"> </w:t>
      </w:r>
      <w:r>
        <w:rPr/>
        <w:t>Jaźwińska, K., &amp; Chandrasekar, A. (2025). “AI Search Has A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Huang, J., </w:t>
      </w:r>
      <w:r>
        <w:rPr>
          <w:i/>
          <w:iCs/>
        </w:rPr>
        <w:t>et al.</w:t>
      </w:r>
      <w:r>
        <w:rPr/>
        <w:t xml:space="preserve"> (2024). “Large Language Models Cannot Self-Correct Reasoning Yet.” </w:t>
      </w:r>
      <w:r>
        <w:rPr>
          <w:i/>
          <w:iCs/>
        </w:rPr>
        <w:t>Transactions of the Association for Computational Linguistics</w:t>
      </w:r>
      <w:r>
        <w:rPr/>
        <w:t>, 12. DOI: 10.1162/tacl_a_00713. URL: https://aclanthology.org/2024.tacl-1.43/ · snapshotted 2026-05-18.</w:t>
      </w:r>
    </w:p>
  </w:footnote>
  <w:footnote w:id="36">
    <w:p>
      <w:pPr>
        <w:pStyle w:val="FootnoteText"/>
        <w:widowControl/>
        <w:bidi w:val="0"/>
        <w:spacing w:lineRule="auto" w:line="312" w:before="0" w:after="80"/>
        <w:jc w:val="start"/>
        <w:rPr/>
      </w:pPr>
      <w:r>
        <w:rPr>
          <w:rStyle w:val="FootnoteCharacters"/>
        </w:rPr>
        <w:footnoteRef/>
      </w:r>
      <w:r>
        <w:rPr/>
        <w:t xml:space="preserve"> </w:t>
      </w:r>
      <w:r>
        <w:rPr/>
        <w:t>Wynn, S., Satija, T., &amp; Hadfield, G. (2025). “Talk Isn’t Always Cheap: Understanding Failure Modes in Multi-Agent Debate.” arXiv 2509.05396, September 2025. URL: https://arxiv.org/abs/2509.05396 · snapshotted 2026-05-18.</w:t>
      </w:r>
    </w:p>
  </w:footnote>
  <w:footnote w:id="37">
    <w:p>
      <w:r>
        <w:t xml:space="preserve">Repeated source: Synthesised across the eleven-class AI tool taxonomy dossier; see research/dossier_05_a...</w:t>
      </w:r>
    </w:p>
  </w:footnote>
  <w:footnote w:id="38">
    <w:p>
      <w:pPr>
        <w:pStyle w:val="FootnoteText"/>
        <w:widowControl/>
        <w:bidi w:val="0"/>
        <w:spacing w:lineRule="auto" w:line="312" w:before="0" w:after="80"/>
        <w:jc w:val="start"/>
        <w:rPr/>
      </w:pPr>
      <w:r>
        <w:rPr>
          <w:rStyle w:val="FootnoteCharacters"/>
        </w:rPr>
        <w:footnoteRef/>
      </w:r>
      <w:r>
        <w:rPr/>
        <w:t xml:space="preserve"> </w:t>
      </w:r>
      <w:r>
        <w:rPr/>
        <w:t>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39">
    <w:p>
      <w:r>
        <w:t xml:space="preserve">Repeated source: Jaźwińska, K., &amp;amp; Chandrasekar, A. (2025). “AI Search Has A Citation Problem.” Tow C...</w:t>
      </w:r>
    </w:p>
  </w:footnote>
  <w:footnote w:id="40">
    <w:p>
      <w:pPr>
        <w:pStyle w:val="FootnoteText"/>
        <w:widowControl/>
        <w:bidi w:val="0"/>
        <w:spacing w:lineRule="auto" w:line="312" w:before="0" w:after="80"/>
        <w:jc w:val="start"/>
        <w:rPr/>
      </w:pPr>
      <w:r>
        <w:rPr>
          <w:rStyle w:val="FootnoteCharacters"/>
        </w:rPr>
        <w:footnoteRef/>
      </w:r>
      <w:r>
        <w:rPr/>
        <w:t xml:space="preserve"> </w:t>
      </w:r>
      <w:r>
        <w:rPr/>
        <w:t xml:space="preserve">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rPr/>
        <w:t xml:space="preserve"> 1 May 2023; </w:t>
      </w:r>
      <w:r>
        <w:rPr>
          <w:i/>
          <w:iCs/>
        </w:rPr>
        <w:t>Forbes</w:t>
      </w:r>
      <w:r>
        <w:rPr/>
        <w:t xml:space="preserve"> 2 May 2023; </w:t>
      </w:r>
      <w:r>
        <w:rPr>
          <w:i/>
          <w:iCs/>
        </w:rPr>
        <w:t>Reuters</w:t>
      </w:r>
      <w:r>
        <w:rPr/>
        <w:t xml:space="preserve"> 2 May 2023. URL: https://www.bloomberg.com/news/articles/2023-05-02/samsung-bans-chatgpt-and-other-generative-ai-use-by-staff-after-leak · snapshotted 2026-05-18.</w:t>
      </w:r>
    </w:p>
  </w:footnote>
  <w:footnote w:id="41">
    <w:p>
      <w:pPr>
        <w:pStyle w:val="FootnoteText"/>
        <w:widowControl/>
        <w:bidi w:val="0"/>
        <w:spacing w:lineRule="auto" w:line="312" w:before="0" w:after="80"/>
        <w:jc w:val="start"/>
        <w:rPr/>
      </w:pPr>
      <w:r>
        <w:rPr>
          <w:rStyle w:val="FootnoteCharacters"/>
        </w:rPr>
        <w:footnoteRef/>
      </w:r>
      <w:r>
        <w:rPr/>
        <w:t xml:space="preserve"> </w:t>
      </w:r>
      <w:r>
        <w:rPr/>
        <w:t xml:space="preserve">Terwilliger, T. C., </w:t>
      </w:r>
      <w:r>
        <w:rPr>
          <w:i/>
          <w:iCs/>
        </w:rPr>
        <w:t>et al.</w:t>
      </w:r>
      <w:r>
        <w:rPr/>
        <w:t xml:space="preserve"> (2024). “AlphaFold predictions are valuable hypotheses and accelerate but do not replace experimental structure determination.” </w:t>
      </w:r>
      <w:r>
        <w:rPr>
          <w:i/>
          <w:iCs/>
        </w:rPr>
        <w:t>Nature Methods</w:t>
      </w:r>
      <w:r>
        <w:rP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Synthesised from the reproducibility-crisis intersection dossier; see </w:t>
      </w:r>
      <w:r>
        <w:rPr>
          <w:rStyle w:val="VerbatimChar"/>
        </w:rPr>
        <w:t>research/dossier_07_reproducibility_intersection.md</w:t>
      </w:r>
      <w:r>
        <w:rPr/>
        <w:t xml:space="preserve">. The pre-AI anchor draws on Ioannidis (2005, </w:t>
      </w:r>
      <w:r>
        <w:rPr>
          <w:i/>
          <w:iCs/>
        </w:rPr>
        <w:t>PLOS Medicine</w:t>
      </w:r>
      <w:r>
        <w:rPr/>
        <w:t xml:space="preserve">), Open Science Collaboration (2015, </w:t>
      </w:r>
      <w:r>
        <w:rPr>
          <w:i/>
          <w:iCs/>
        </w:rPr>
        <w:t>Science</w:t>
      </w:r>
      <w:r>
        <w:rPr/>
        <w:t xml:space="preserve"> 349:aac4716), Begley and Ellis (2012, </w:t>
      </w:r>
      <w:r>
        <w:rPr>
          <w:i/>
          <w:iCs/>
        </w:rPr>
        <w:t>Nature</w:t>
      </w:r>
      <w:r>
        <w:rPr/>
        <w:t xml:space="preserve"> 483:531-533), Errington </w:t>
      </w:r>
      <w:r>
        <w:rPr>
          <w:i/>
          <w:iCs/>
        </w:rPr>
        <w:t>et al.</w:t>
      </w:r>
      <w:r>
        <w:rPr/>
        <w:t xml:space="preserve"> (2021, </w:t>
      </w:r>
      <w:r>
        <w:rPr>
          <w:i/>
          <w:iCs/>
        </w:rPr>
        <w:t>eLife</w:t>
      </w:r>
      <w:r>
        <w:rPr/>
        <w:t xml:space="preserve">), Camerer </w:t>
      </w:r>
      <w:r>
        <w:rPr>
          <w:i/>
          <w:iCs/>
        </w:rPr>
        <w:t>et al.</w:t>
      </w:r>
      <w:r>
        <w:rPr/>
        <w:t xml:space="preserve"> (2018, </w:t>
      </w:r>
      <w:r>
        <w:rPr>
          <w:i/>
          <w:iCs/>
        </w:rPr>
        <w:t>Nature Human Behaviour</w:t>
      </w:r>
      <w:r>
        <w:rPr/>
        <w:t xml:space="preserve"> 2:637-644), Many Labs 1-3, Voelkl </w:t>
      </w:r>
      <w:r>
        <w:rPr>
          <w:i/>
          <w:iCs/>
        </w:rPr>
        <w:t>et al.</w:t>
      </w:r>
      <w:r>
        <w:rPr/>
        <w:t xml:space="preserve"> (2018, </w:t>
      </w:r>
      <w:r>
        <w:rPr>
          <w:i/>
          <w:iCs/>
        </w:rPr>
        <w:t>PLOS Biology</w:t>
      </w:r>
      <w:r>
        <w:rPr/>
        <w:t xml:space="preserve">), and Bouter / Gopalakrishna (2022, </w:t>
      </w:r>
      <w:r>
        <w:rPr>
          <w:i/>
          <w:iCs/>
        </w:rPr>
        <w:t>PLOS ONE</w:t>
      </w:r>
      <w:r>
        <w:rPr/>
        <w:t>). The AI intersection draws on the multiplier-side §7a-§7i and the solver-side §7j-§7n.</w:t>
      </w:r>
    </w:p>
  </w:footnote>
  <w:footnote w:id="43">
    <w:p>
      <w:pPr>
        <w:pStyle w:val="FootnoteText"/>
        <w:widowControl/>
        <w:bidi w:val="0"/>
        <w:spacing w:lineRule="auto" w:line="312" w:before="0" w:after="80"/>
        <w:jc w:val="start"/>
        <w:rPr/>
      </w:pPr>
      <w:r>
        <w:rPr>
          <w:rStyle w:val="FootnoteCharacters"/>
        </w:rPr>
        <w:footnoteRef/>
      </w:r>
      <w:r>
        <w:rPr/>
        <w:t xml:space="preserve"> </w:t>
      </w:r>
      <w:r>
        <w:rPr/>
        <w:t>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4">
    <w:p>
      <w:pPr>
        <w:pStyle w:val="FootnoteText"/>
        <w:widowControl/>
        <w:bidi w:val="0"/>
        <w:spacing w:lineRule="auto" w:line="312" w:before="0" w:after="80"/>
        <w:jc w:val="start"/>
        <w:rPr/>
      </w:pPr>
      <w:r>
        <w:rPr>
          <w:rStyle w:val="FootnoteCharacters"/>
        </w:rPr>
        <w:footnoteRef/>
      </w:r>
      <w:r>
        <w:rPr/>
        <w:t xml:space="preserve"> </w:t>
      </w:r>
      <w:r>
        <w:rPr/>
        <w:t>Commission Nationale de l’Informatique et des Libertés (CNIL). “AI system development: CNIL’s recommendations to comply with the GDPR.” 19 June 2025. URL: https://www.cnil.fr/en/ai-system-development-cnils-recommendations-to-comply-gdpr · snapshotted 2026-05-18.</w:t>
      </w:r>
    </w:p>
  </w:footnote>
  <w:footnote w:id="45">
    <w:p>
      <w:pPr>
        <w:pStyle w:val="FootnoteText"/>
        <w:widowControl/>
        <w:bidi w:val="0"/>
        <w:spacing w:lineRule="auto" w:line="312" w:before="0" w:after="80"/>
        <w:jc w:val="start"/>
        <w:rPr/>
      </w:pPr>
      <w:r>
        <w:rPr>
          <w:rStyle w:val="FootnoteCharacters"/>
        </w:rPr>
        <w:footnoteRef/>
      </w:r>
      <w:r>
        <w:rPr/>
        <w:t xml:space="preserve"> </w:t>
      </w:r>
      <w:r>
        <w:rPr/>
        <w:t>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6">
    <w:p>
      <w:r>
        <w:t xml:space="preserve">Repeated source: Synthesised across the thirteen-entry capability-frameworks dossier covering UNESCO AI...</w:t>
      </w:r>
    </w:p>
  </w:footnote>
  <w:footnote w:id="47">
    <w:p>
      <w:pPr>
        <w:pStyle w:val="FootnoteText"/>
        <w:widowControl/>
        <w:bidi w:val="0"/>
        <w:spacing w:lineRule="auto" w:line="312" w:before="0" w:after="80"/>
        <w:jc w:val="start"/>
        <w:rPr/>
      </w:pPr>
      <w:r>
        <w:rPr>
          <w:rStyle w:val="FootnoteCharacters"/>
        </w:rPr>
        <w:footnoteRef/>
      </w:r>
      <w:r>
        <w:rPr/>
        <w:t xml:space="preserve"> </w:t>
      </w:r>
      <w:r>
        <w:rPr/>
        <w:t>Russell Group. “Principles on the use of generative AI tools in education.” 3 July 2023. URL: https://www.russellgroup.ac.uk/policy/policy-briefings/principles-use-generative-ai-tools-education · snapshotted 2026-05-18.</w:t>
      </w:r>
    </w:p>
  </w:footnote>
  <w:footnote w:id="48">
    <w:p>
      <w:r>
        <w:t xml:space="preserve">Repeated source: Synthesised from the reproducibility-crisis intersection dossier; see research/dossier_...</w:t>
      </w:r>
    </w:p>
  </w:footnote>
  <w:footnote w:id="49">
    <w:p>
      <w:r>
        <w:t xml:space="preserve">Repeated source: Walters, W. H., &amp;amp; Wilder, E. I. (2023). “Fabrication and errors in the bibliographi...</w:t>
      </w:r>
    </w:p>
  </w:footnote>
  <w:footnote w:id="50">
    <w:p>
      <w:pPr>
        <w:pStyle w:val="FootnoteText"/>
        <w:widowControl/>
        <w:bidi w:val="0"/>
        <w:spacing w:lineRule="auto" w:line="312" w:before="0" w:after="80"/>
        <w:jc w:val="start"/>
        <w:rPr/>
      </w:pPr>
      <w:r>
        <w:rPr>
          <w:rStyle w:val="FootnoteCharacters"/>
        </w:rPr>
        <w:footnoteRef/>
      </w:r>
      <w:r>
        <w:rPr/>
        <w:t xml:space="preserve"> </w:t>
      </w:r>
      <w:r>
        <w:rPr/>
        <w:t xml:space="preserve">Chelli, M., </w:t>
      </w:r>
      <w:r>
        <w:rPr>
          <w:i/>
          <w:iCs/>
        </w:rPr>
        <w:t>et al.</w:t>
      </w:r>
      <w:r>
        <w:rPr/>
        <w:t xml:space="preserve"> (2024). “Hallucination Rates and Reference Accuracy of ChatGPT and Bard for Systematic Reviews: Comparative Analysis.” </w:t>
      </w:r>
      <w:r>
        <w:rPr>
          <w:i/>
          <w:iCs/>
        </w:rPr>
        <w:t>Journal of Medical Internet Research</w:t>
      </w:r>
      <w:r>
        <w:rPr/>
        <w:t>, 26:e53164. DOI: 10.2196/53164. URL: https://www.jmir.org/2024/1/e53164 · snapshotted 2026-05-18.</w:t>
      </w:r>
    </w:p>
  </w:footnote>
  <w:footnote w:id="51">
    <w:p>
      <w:pPr>
        <w:pStyle w:val="FootnoteText"/>
        <w:widowControl/>
        <w:bidi w:val="0"/>
        <w:spacing w:lineRule="auto" w:line="312" w:before="0" w:after="80"/>
        <w:jc w:val="start"/>
        <w:rPr/>
      </w:pPr>
      <w:r>
        <w:rPr>
          <w:rStyle w:val="FootnoteCharacters"/>
        </w:rPr>
        <w:footnoteRef/>
      </w:r>
      <w:r>
        <w:rPr/>
        <w:t xml:space="preserve"> </w:t>
      </w:r>
      <w:r>
        <w:rPr>
          <w:i/>
          <w:iCs/>
        </w:rPr>
        <w:t>Mata v. Avianca, Inc.</w:t>
      </w:r>
      <w:r>
        <w:rP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2">
    <w:p>
      <w:r>
        <w:t xml:space="preserve">Repeated source: Synthesised from the reproducibility-crisis intersection dossier; see research/dossier_...</w:t>
      </w:r>
    </w:p>
  </w:footnote>
  <w:footnote w:id="53">
    <w:p>
      <w:pPr>
        <w:pStyle w:val="FootnoteText"/>
        <w:widowControl/>
        <w:bidi w:val="0"/>
        <w:spacing w:lineRule="auto" w:line="312" w:before="0" w:after="80"/>
        <w:jc w:val="start"/>
        <w:rPr/>
      </w:pPr>
      <w:r>
        <w:rPr>
          <w:rStyle w:val="FootnoteCharacters"/>
        </w:rPr>
        <w:footnoteRef/>
      </w:r>
      <w:r>
        <w:rPr/>
        <w:t xml:space="preserve"> “</w:t>
      </w:r>
      <w:r>
        <w:rPr/>
        <w:t>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Zhang, </w:t>
      </w:r>
      <w:r>
        <w:rPr>
          <w:i/>
          <w:iCs/>
        </w:rPr>
        <w:t>et al.</w:t>
      </w:r>
      <w:r>
        <w:rP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5">
    <w:p>
      <w:r>
        <w:t xml:space="preserve">Repeated source: Huang, J., et al. (2024). “Large Language Models Cannot Self-Correct Reasoning Yet.” Tr...</w:t>
      </w:r>
    </w:p>
  </w:footnote>
  <w:footnote w:id="56">
    <w:p>
      <w:r>
        <w:t xml:space="preserve">Repeated source: Wynn, S., Satija, T., &amp;amp; Hadfield, G. (2025). “Talk Isn’t Always Cheap: Understandin...</w:t>
      </w:r>
    </w:p>
  </w:footnote>
  <w:footnote w:id="57">
    <w:p>
      <w:pPr>
        <w:pStyle w:val="FootnoteText"/>
        <w:widowControl/>
        <w:bidi w:val="0"/>
        <w:spacing w:lineRule="auto" w:line="312" w:before="0" w:after="80"/>
        <w:jc w:val="start"/>
        <w:rPr/>
      </w:pPr>
      <w:r>
        <w:rPr>
          <w:rStyle w:val="FootnoteCharacters"/>
        </w:rPr>
        <w:footnoteRef/>
      </w:r>
      <w:r>
        <w:rPr/>
        <w:t xml:space="preserve"> </w:t>
      </w:r>
      <w:r>
        <w:rPr/>
        <w:t>OWASP Foundation. “OWASP Top 10 for Large Language Model Applications 2025.” Open Worldwide Application Security Project, 12 March 2025. URL: https://owasp.org/www-project-top-10-for-large-language-model-applications/ · snapshotted 2026-05-18.</w:t>
      </w:r>
    </w:p>
  </w:footnote>
  <w:footnote w:id="58">
    <w:p>
      <w:pPr>
        <w:pStyle w:val="FootnoteText"/>
        <w:widowControl/>
        <w:bidi w:val="0"/>
        <w:spacing w:lineRule="auto" w:line="312" w:before="0" w:after="80"/>
        <w:jc w:val="start"/>
        <w:rPr/>
      </w:pPr>
      <w:r>
        <w:rPr>
          <w:rStyle w:val="FootnoteCharacters"/>
        </w:rPr>
        <w:footnoteRef/>
      </w:r>
      <w:r>
        <w:rPr/>
        <w:t xml:space="preserve"> </w:t>
      </w:r>
      <w:r>
        <w:rPr/>
        <w:t>National Institute of Standards and Technology. “Artificial Intelligence Risk Management Framework: Generative AI Profile” (NIST AI 600-1). 26 July 2024. URL: https://www.nist.gov/itl/ai-risk-management-framework · snapshotted 2026-05-18.</w:t>
      </w:r>
    </w:p>
  </w:footnote>
  <w:footnote w:id="59">
    <w:p>
      <w:r>
        <w:t xml:space="preserve">Repeated source: Regulation (EU) 2024/1689 of the European Parliament and of the Council of 13 June 2024...</w:t>
      </w:r>
    </w:p>
  </w:footnote>
  <w:footnote w:id="60">
    <w:p>
      <w:pPr>
        <w:pStyle w:val="FootnoteText"/>
        <w:widowControl/>
        <w:bidi w:val="0"/>
        <w:spacing w:lineRule="auto" w:line="312" w:before="0" w:after="80"/>
        <w:jc w:val="start"/>
        <w:rPr/>
      </w:pPr>
      <w:r>
        <w:rPr>
          <w:rStyle w:val="FootnoteCharacters"/>
        </w:rPr>
        <w:footnoteRef/>
      </w:r>
      <w:r>
        <w:rPr/>
        <w:t xml:space="preserve"> </w:t>
      </w:r>
      <w:r>
        <w:rPr/>
        <w:t>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1">
    <w:p>
      <w:r>
        <w:t xml:space="preserve">Repeated source: Synthesised across the fourteen-entry national-funder dossier; see research/dossier_01_...</w:t>
      </w:r>
    </w:p>
  </w:footnote>
  <w:footnote w:id="62">
    <w:p>
      <w:pPr>
        <w:pStyle w:val="FootnoteText"/>
        <w:widowControl/>
        <w:bidi w:val="0"/>
        <w:spacing w:lineRule="auto" w:line="312" w:before="0" w:after="80"/>
        <w:jc w:val="start"/>
        <w:rPr/>
      </w:pPr>
      <w:r>
        <w:rPr>
          <w:rStyle w:val="FootnoteCharacters"/>
        </w:rPr>
        <w:footnoteRef/>
      </w:r>
      <w:r>
        <w:rPr/>
        <w:t xml:space="preserve"> </w:t>
      </w:r>
      <w:r>
        <w:rPr/>
        <w:t>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3">
    <w:p>
      <w:pPr>
        <w:pStyle w:val="FootnoteText"/>
        <w:widowControl/>
        <w:bidi w:val="0"/>
        <w:spacing w:lineRule="auto" w:line="312" w:before="0" w:after="80"/>
        <w:jc w:val="start"/>
        <w:rPr/>
      </w:pPr>
      <w:r>
        <w:rPr>
          <w:rStyle w:val="FootnoteCharacters"/>
        </w:rPr>
        <w:footnoteRef/>
      </w:r>
      <w:r>
        <w:rPr/>
        <w:t xml:space="preserve"> </w:t>
      </w:r>
      <w:r>
        <w:rPr/>
        <w:t>Swedish Research Council (Vetenskapsrådet), “Guidelines for the use of AI tools.” Updated 28 August 2024. URL: https://www.vr.se/english/applying-for-funding/applying-for-a-grant/guidelines-for-the-use-of-ai-tools.html · snapshotted 2026-05-18.</w:t>
      </w:r>
    </w:p>
  </w:footnote>
  <w:footnote w:id="64">
    <w:p>
      <w:pPr>
        <w:pStyle w:val="FootnoteText"/>
        <w:widowControl/>
        <w:bidi w:val="0"/>
        <w:spacing w:lineRule="auto" w:line="312" w:before="0" w:after="80"/>
        <w:jc w:val="start"/>
        <w:rPr/>
      </w:pPr>
      <w:r>
        <w:rPr>
          <w:rStyle w:val="FootnoteCharacters"/>
        </w:rPr>
        <w:footnoteRef/>
      </w:r>
      <w:r>
        <w:rPr/>
        <w:t xml:space="preserve"> </w:t>
      </w:r>
      <w:r>
        <w:rPr/>
        <w:t>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5">
    <w:p>
      <w:r>
        <w:t xml:space="preserve">Repeated source: Synthesised across the fourteen-entry national-funder dossier; see research/dossier_01_...</w:t>
      </w:r>
    </w:p>
  </w:footnote>
  <w:footnote w:id="66">
    <w:p>
      <w:r>
        <w:t xml:space="preserve">Repeated source: Thirty-eight-university sample with class breakdown A=4, B=11, C=17, D=6 (Total 38) per...</w:t>
      </w:r>
    </w:p>
  </w:footnote>
  <w:footnote w:id="67">
    <w:p>
      <w:r>
        <w:t xml:space="preserve">Repeated source: Class D institutional documents: - UCL Doctoral School, “Transparency on Authorship and...</w:t>
      </w:r>
    </w:p>
  </w:footnote>
  <w:footnote w:id="68">
    <w:p>
      <w:r>
        <w:t xml:space="preserve">Repeated source: Class D institutional documents: - UCL Doctoral School, “Transparency on Authorship and...</w:t>
      </w:r>
    </w:p>
  </w:footnote>
  <w:footnote w:id="69">
    <w:p>
      <w:r>
        <w:t xml:space="preserve">Repeated source: Synthesised across the eighteen-entry publisher dossier; see research/dossier_04_publis...</w:t>
      </w:r>
    </w:p>
  </w:footnote>
  <w:footnote w:id="70">
    <w:p>
      <w:r>
        <w:t xml:space="preserve">Repeated source: Synthesised across the eighteen-entry publisher dossier; see research/dossier_04_publis...</w:t>
      </w:r>
    </w:p>
  </w:footnote>
  <w:footnote w:id="71">
    <w:p>
      <w:r>
        <w:t xml:space="preserve">Repeated source: BMJ Author Hub, “AI policy and submission form disclosure,” April 2024; 2025 Peer Revie...</w:t>
      </w:r>
    </w:p>
  </w:footnote>
  <w:footnote w:id="72">
    <w:p>
      <w:r>
        <w:t xml:space="preserve">Repeated source: Synthesised across the thirteen-entry capability-frameworks dossier covering UNESCO AI...</w:t>
      </w:r>
    </w:p>
  </w:footnote>
  <w:footnote w:id="73">
    <w:p>
      <w:r>
        <w:t xml:space="preserve">Repeated source: Synthesised across the thirteen-entry capability-frameworks dossier covering UNESCO AI...</w:t>
      </w:r>
    </w:p>
  </w:footnote>
  <w:footnote w:id="74">
    <w:p>
      <w:r>
        <w:t xml:space="preserve">Repeated source: UK Research and Innovation, “UKRI AI Research and Innovation Strategic Framework.” 19 F...</w:t>
      </w:r>
    </w:p>
  </w:footnote>
  <w:footnote w:id="75">
    <w:p>
      <w:r>
        <w:t xml:space="preserve">Repeated source: National Institutes of Health, “Apply Responsibly: Policy on AI Use in NIH Research App...</w:t>
      </w:r>
    </w:p>
  </w:footnote>
  <w:footnote w:id="76">
    <w:p>
      <w:r>
        <w:t xml:space="preserve">Repeated source: ARC / NHMRC, joint policy on the use of generative AI in grant applications and assessm...</w:t>
      </w:r>
    </w:p>
  </w:footnote>
  <w:footnote w:id="77">
    <w:p>
      <w:r>
        <w:t xml:space="preserve">Repeated source: Deutsche Forschungsgemeinschaft, Executive Committee statement on the use of generative...</w:t>
      </w:r>
    </w:p>
  </w:footnote>
  <w:footnote w:id="78">
    <w:p>
      <w:r>
        <w:t xml:space="preserve">Repeated source: Synthesised across the fourteen-entry national-funder dossier; see research/dossier_01_...</w:t>
      </w:r>
    </w:p>
  </w:footnote>
  <w:footnote w:id="79">
    <w:p>
      <w:r>
        <w:t xml:space="preserve">Repeated source: European Data Protection Board, Opinion 28/2024 on certain data protection aspects rela...</w:t>
      </w:r>
    </w:p>
  </w:footnote>
  <w:footnote w:id="80">
    <w:p>
      <w:r>
        <w:t xml:space="preserve">Repeated source: Commission Nationale de l’Informatique et des Libertés (CNIL). “AI system development:...</w:t>
      </w:r>
    </w:p>
  </w:footnote>
  <w:footnote w:id="81">
    <w:p>
      <w:r>
        <w:t xml:space="preserve">Repeated source: Regulation (EU) 2024/1689 of the European Parliament and of the Council of 13 June 2024...</w:t>
      </w:r>
    </w:p>
  </w:footnote>
  <w:footnote w:id="82">
    <w:p>
      <w:r>
        <w:t xml:space="preserve">Repeated source: Synthesised across the fourteen-entry national-funder dossier; see research/dossier_01_...</w:t>
      </w:r>
    </w:p>
  </w:footnote>
  <w:footnote w:id="83">
    <w:p>
      <w:r>
        <w:t xml:space="preserve">Repeated source: Synthesised across the fourteen-entry national-funder dossier; see research/dossier_01_...</w:t>
      </w:r>
    </w:p>
  </w:footnote>
  <w:footnote w:id="84">
    <w:p>
      <w:r>
        <w:t xml:space="preserve">Repeated source: Synthesised across the fourteen-entry national-funder dossier; see research/dossier_01_...</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Responsible AI in research training (v1.1.1)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6"/>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responsible-ai-in-research-training" TargetMode="External"/><Relationship Id="rId5" Type="http://schemas.openxmlformats.org/officeDocument/2006/relationships/hyperlink" Target="https://orcid.org/0000-0003-3237-7892" TargetMode="Externa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notes" Target="footnotes.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2026-05-19T03:05:34Z</dcterms:created>
  <dc:creator/>
  <dc:description/>
  <dc:language>en-AU</dc:language>
  <cp:lastModifiedBy/>
  <dcterms:modified xsi:type="dcterms:W3CDTF">2026-05-19T03:05:34Z</dcterms:modified>
  <cp:revision>0</cp:revision>
  <dc:subject>Public policy analysis — responsible AI use in research and research training</dc:subject>
  <dc:title/>
</cp:coreProperties>
</file>

<file path=docProps/custom.xml><?xml version="1.0" encoding="utf-8"?>
<Properties xmlns="http://schemas.openxmlformats.org/officeDocument/2006/custom-properties" xmlns:vt="http://schemas.openxmlformats.org/officeDocument/2006/docPropsVTypes"/>
</file>