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b0099d9a5ffa4a0bdea957eac68513c9492629b"/>
      <w:r>
        <w:rPr>
          <w:i/>
          <w:iCs/>
        </w:rPr>
        <w:t>A Capability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capability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Capability Framework for Research Training.</w:t>
      </w:r>
      <w:r>
        <w:rPr/>
        <w:t xml:space="preserve"> Instats Policy Series, v1.2.4.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capability-framework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capability-framework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surface feature, not as their primary research function. The right question of any such tool is not who wrote the output but whether the use is ethical, valid, reproducible, and transparent. No one treats SPSS output as plagiarism. No one treats a Whisper-transcribed interview as fraudulent so long as the researcher verifies the transcript against the audio. The institutional move to treat AI use as a plagiarism question is a category error driven by surface mimicry rather than underlying function. The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PhD level as a plagiarism issue treats the binding constraint as student conduct rather than the validity, replicability, and ethical defensibility of AI-augmented research itself. Reproducibility, hallucination, validator-use,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7"/>
        </w:numPr>
        <w:ind w:hanging="360" w:start="720" w:end="340"/>
        <w:rPr/>
      </w:pPr>
      <w:r>
        <w:rPr>
          <w:i/>
          <w:iCs/>
        </w:rPr>
        <w:t>Policy alone is not the capability.</w:t>
      </w:r>
      <w:r>
        <w:rPr/>
        <w:t xml:space="preserve"> The most common institutional move in 2026 is to publish a single AI-policy document and treat the problem as closed. The capability sits across four institutional dimensions: the policy itself, the people responsible for enacting it, the systems that support it, and the process by which AI use enters supervision and examination. A policy is one row in the capability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capability framework, a maturity grid for institutional self-diagnosis, and audience-specific recommendations for the five leadership audiences named above.</w:t>
      </w:r>
    </w:p>
    <w:p>
      <w:pPr>
        <w:pStyle w:val="BodyText"/>
        <w:rPr/>
      </w:pPr>
      <w:bookmarkStart w:id="3" w:name="fig-timeline"/>
      <w:r>
        <w:rPr/>
        <w:drawing>
          <wp:inline distT="0" distB="0" distL="0" distR="0">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6"/>
                    <a:stretch>
                      <a:fillRect/>
                    </a:stretch>
                  </pic:blipFill>
                  <pic:spPr bwMode="auto">
                    <a:xfrm>
                      <a:off x="0" y="0"/>
                      <a:ext cx="5969000" cy="2451735"/>
                    </a:xfrm>
                    <a:prstGeom prst="rect">
                      <a:avLst/>
                    </a:prstGeom>
                    <a:noFill/>
                  </pic:spPr>
                </pic:pic>
              </a:graphicData>
            </a:graphic>
          </wp:inline>
        </w:drawing>
      </w:r>
      <w:bookmarkEnd w:id="3"/>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Class D universities — the only institutions with AI policies that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4" w:name="contents"/>
      <w:r>
        <w:rPr/>
        <w:t>Contents</w:t>
      </w:r>
    </w:p>
    <w:p>
      <w:pPr>
        <w:pStyle w:val="Heading4"/>
        <w:rPr/>
      </w:pPr>
      <w:hyperlink w:anchor="the-finding">
        <w:bookmarkStart w:id="5" w:name="executive-summary"/>
        <w:r>
          <w:rPr>
            <w:rStyle w:val="Hyperlink"/>
          </w:rPr>
          <w:t>Executive summary</w:t>
        </w:r>
      </w:hyperlink>
      <w:bookmarkEnd w:id="5"/>
    </w:p>
    <w:p>
      <w:pPr>
        <w:pStyle w:val="Heading4"/>
        <w:rPr/>
      </w:pPr>
      <w:hyperlink w:anchor="part-1-the-factual-baseline_1">
        <w:bookmarkStart w:id="6" w:name="part-1-the-factual-baseline"/>
        <w:r>
          <w:rPr>
            <w:rStyle w:val="Hyperlink"/>
          </w:rPr>
          <w:t>Part 1 — The factual baseline</w:t>
        </w:r>
      </w:hyperlink>
    </w:p>
    <w:p>
      <w:pPr>
        <w:pStyle w:val="Compact"/>
        <w:numPr>
          <w:ilvl w:val="0"/>
          <w:numId w:val="7"/>
        </w:numPr>
        <w:rPr/>
      </w:pPr>
      <w:hyperlink w:anchor="Xdf86be2fb4ae6983caa60f753da7a3b7585160b">
        <w:r>
          <w:rPr>
            <w:rStyle w:val="Hyperlink"/>
          </w:rPr>
          <w:t>1.1   The shift in research practice, 2022 to 2026</w:t>
        </w:r>
      </w:hyperlink>
    </w:p>
    <w:p>
      <w:pPr>
        <w:pStyle w:val="Compact"/>
        <w:numPr>
          <w:ilvl w:val="0"/>
          <w:numId w:val="7"/>
        </w:numPr>
        <w:rPr/>
      </w:pPr>
      <w:hyperlink w:anchor="Xef39ab72682dae84cefc71e63937706e29d01f9">
        <w:r>
          <w:rPr>
            <w:rStyle w:val="Hyperlink"/>
          </w:rPr>
          <w:t>1.2   What “responsible AI use” still lacks a definition for</w:t>
        </w:r>
      </w:hyperlink>
    </w:p>
    <w:p>
      <w:pPr>
        <w:pStyle w:val="Compact"/>
        <w:numPr>
          <w:ilvl w:val="0"/>
          <w:numId w:val="7"/>
        </w:numPr>
        <w:rPr/>
      </w:pPr>
      <w:hyperlink w:anchor="X0c4a3566b1b7587cf42a990d8449a1ff81a75dd">
        <w:r>
          <w:rPr>
            <w:rStyle w:val="Hyperlink"/>
          </w:rPr>
          <w:t>1.3   The institutional baseline in 2026</w:t>
        </w:r>
      </w:hyperlink>
      <w:bookmarkEnd w:id="6"/>
    </w:p>
    <w:p>
      <w:pPr>
        <w:pStyle w:val="Heading4"/>
        <w:rPr/>
      </w:pPr>
      <w:hyperlink w:anchor="X4f9d66c4114ab910b08655494b03e6cc2bb0186">
        <w:bookmarkStart w:id="7" w:name="X3bd643d343f2974ee01ac844e0357dfaba13ffe"/>
        <w:r>
          <w:rPr>
            <w:rStyle w:val="Hyperlink"/>
          </w:rPr>
          <w:t>Part 2 — A five-dimension capability framework</w:t>
        </w:r>
      </w:hyperlink>
    </w:p>
    <w:p>
      <w:pPr>
        <w:pStyle w:val="Compact"/>
        <w:numPr>
          <w:ilvl w:val="0"/>
          <w:numId w:val="7"/>
        </w:numPr>
        <w:rPr/>
      </w:pPr>
      <w:hyperlink w:anchor="Xb0410b896ac7ef6a6cbe20afd8440f8e2e34f1c">
        <w:r>
          <w:rPr>
            <w:rStyle w:val="Hyperlink"/>
          </w:rPr>
          <w:t>2.1   Dimension 1 — Human-in-the-loop discipline</w:t>
        </w:r>
      </w:hyperlink>
    </w:p>
    <w:p>
      <w:pPr>
        <w:pStyle w:val="Compact"/>
        <w:numPr>
          <w:ilvl w:val="0"/>
          <w:numId w:val="7"/>
        </w:numPr>
        <w:rPr/>
      </w:pPr>
      <w:hyperlink w:anchor="Xa2978b9e88e006a11ba7c882c810e9185f91c2e">
        <w:r>
          <w:rPr>
            <w:rStyle w:val="Hyperlink"/>
          </w:rPr>
          <w:t>2.2   Dimension 2 — Responsible use in practice</w:t>
        </w:r>
      </w:hyperlink>
    </w:p>
    <w:p>
      <w:pPr>
        <w:pStyle w:val="Compact"/>
        <w:numPr>
          <w:ilvl w:val="0"/>
          <w:numId w:val="7"/>
        </w:numPr>
        <w:rPr/>
      </w:pPr>
      <w:hyperlink w:anchor="Xf03f014728e057244187e34525d77c4ae36f76d">
        <w:r>
          <w:rPr>
            <w:rStyle w:val="Hyperlink"/>
          </w:rPr>
          <w:t>2.3   Dimension 3 — Tooling that promotes responsible use</w:t>
        </w:r>
      </w:hyperlink>
    </w:p>
    <w:p>
      <w:pPr>
        <w:pStyle w:val="Compact"/>
        <w:numPr>
          <w:ilvl w:val="0"/>
          <w:numId w:val="7"/>
        </w:numPr>
        <w:rPr/>
      </w:pPr>
      <w:hyperlink w:anchor="X9022f3b58da7204a1c5a692bcfe77fac557b070">
        <w:r>
          <w:rPr>
            <w:rStyle w:val="Hyperlink"/>
          </w:rPr>
          <w:t>2.4   Dimension 4 — AI-literate humans</w:t>
        </w:r>
      </w:hyperlink>
    </w:p>
    <w:p>
      <w:pPr>
        <w:pStyle w:val="Compact"/>
        <w:numPr>
          <w:ilvl w:val="0"/>
          <w:numId w:val="7"/>
        </w:numPr>
        <w:rPr/>
      </w:pPr>
      <w:hyperlink w:anchor="X5c66220ea38a998fd91f5afd0ef459d3a5d80b4">
        <w:r>
          <w:rPr>
            <w:rStyle w:val="Hyperlink"/>
          </w:rPr>
          <w:t>2.5   Dimension 5 — Institutional benchmarking grid</w:t>
        </w:r>
      </w:hyperlink>
      <w:bookmarkEnd w:id="7"/>
    </w:p>
    <w:p>
      <w:pPr>
        <w:pStyle w:val="Heading4"/>
        <w:rPr/>
      </w:pPr>
      <w:hyperlink w:anchor="Xfaf275e331ed51ebecadb9345be19a0314acfc3">
        <w:bookmarkStart w:id="8" w:name="Xdc77c75a62b621fcf7c8fe71c969742e2e32c4d"/>
        <w:r>
          <w:rPr>
            <w:rStyle w:val="Hyperlink"/>
          </w:rPr>
          <w:t>Part 3 — What the international evidence shows</w:t>
        </w:r>
      </w:hyperlink>
    </w:p>
    <w:p>
      <w:pPr>
        <w:pStyle w:val="Compact"/>
        <w:numPr>
          <w:ilvl w:val="0"/>
          <w:numId w:val="7"/>
        </w:numPr>
        <w:rPr/>
      </w:pPr>
      <w:hyperlink w:anchor="X67362a211dc18a32089bb5a92eae11abc44c983">
        <w:r>
          <w:rPr>
            <w:rStyle w:val="Hyperlink"/>
          </w:rPr>
          <w:t>3.1   National research-funder positions</w:t>
        </w:r>
      </w:hyperlink>
    </w:p>
    <w:p>
      <w:pPr>
        <w:pStyle w:val="Compact"/>
        <w:numPr>
          <w:ilvl w:val="0"/>
          <w:numId w:val="7"/>
        </w:numPr>
        <w:rPr/>
      </w:pPr>
      <w:hyperlink w:anchor="X409e526c0ea6449c8a9fb87a385fab88236ca99">
        <w:r>
          <w:rPr>
            <w:rStyle w:val="Hyperlink"/>
          </w:rPr>
          <w:t>3.2   Top-tier university institutional policies</w:t>
        </w:r>
      </w:hyperlink>
    </w:p>
    <w:p>
      <w:pPr>
        <w:pStyle w:val="Compact"/>
        <w:numPr>
          <w:ilvl w:val="0"/>
          <w:numId w:val="7"/>
        </w:numPr>
        <w:rPr/>
      </w:pPr>
      <w:hyperlink w:anchor="X58df4d38bc63fe6a1527f35cdd611f9af8daefa">
        <w:r>
          <w:rPr>
            <w:rStyle w:val="Hyperlink"/>
          </w:rPr>
          <w:t>3.3   Publisher and journal policies</w:t>
        </w:r>
      </w:hyperlink>
    </w:p>
    <w:p>
      <w:pPr>
        <w:pStyle w:val="Compact"/>
        <w:numPr>
          <w:ilvl w:val="0"/>
          <w:numId w:val="7"/>
        </w:numPr>
        <w:rPr/>
      </w:pPr>
      <w:hyperlink w:anchor="Xe77ed63e1e1dbfa81b73895cfdf812d8aaac6fa">
        <w:r>
          <w:rPr>
            <w:rStyle w:val="Hyperlink"/>
          </w:rPr>
          <w:t>3.4   Existing AI-literacy and researcher-development frameworks</w:t>
        </w:r>
      </w:hyperlink>
      <w:bookmarkEnd w:id="8"/>
    </w:p>
    <w:p>
      <w:pPr>
        <w:pStyle w:val="Heading4"/>
        <w:rPr/>
      </w:pPr>
      <w:hyperlink w:anchor="part-4-the-maturity-grid_1">
        <w:bookmarkStart w:id="9" w:name="part-4-the-maturity-grid"/>
        <w:r>
          <w:rPr>
            <w:rStyle w:val="Hyperlink"/>
          </w:rPr>
          <w:t>Part 4 — The maturity grid</w:t>
        </w:r>
      </w:hyperlink>
    </w:p>
    <w:p>
      <w:pPr>
        <w:pStyle w:val="Compact"/>
        <w:numPr>
          <w:ilvl w:val="0"/>
          <w:numId w:val="7"/>
        </w:numPr>
        <w:rPr/>
      </w:pPr>
      <w:hyperlink w:anchor="Xa2528ffc6271a3b7f8494c7574039782e296ef5">
        <w:r>
          <w:rPr>
            <w:rStyle w:val="Hyperlink"/>
          </w:rPr>
          <w:t>4.1   The five-by-four grid</w:t>
        </w:r>
      </w:hyperlink>
    </w:p>
    <w:p>
      <w:pPr>
        <w:pStyle w:val="Compact"/>
        <w:numPr>
          <w:ilvl w:val="0"/>
          <w:numId w:val="7"/>
        </w:numPr>
        <w:rPr/>
      </w:pPr>
      <w:hyperlink w:anchor="X2d830cf8cc8d1f050bc7fd5f5026d8fb6f7586e">
        <w:r>
          <w:rPr>
            <w:rStyle w:val="Hyperlink"/>
          </w:rPr>
          <w:t>4.2   What “ready” looks like by dimension</w:t>
        </w:r>
      </w:hyperlink>
    </w:p>
    <w:p>
      <w:pPr>
        <w:pStyle w:val="Compact"/>
        <w:numPr>
          <w:ilvl w:val="0"/>
          <w:numId w:val="7"/>
        </w:numPr>
        <w:rPr/>
      </w:pPr>
      <w:hyperlink w:anchor="X36abbbf7fa7a3c3143910f28c5505844b7e0b4f">
        <w:r>
          <w:rPr>
            <w:rStyle w:val="Hyperlink"/>
          </w:rPr>
          <w:t>4.3   Worked institutional examples</w:t>
        </w:r>
      </w:hyperlink>
      <w:bookmarkEnd w:id="9"/>
    </w:p>
    <w:p>
      <w:pPr>
        <w:pStyle w:val="Heading4"/>
        <w:rPr/>
      </w:pPr>
      <w:hyperlink w:anchor="Xa1dfcb691ac0c1297bce0e5e7c4e1d6d6dc6ae7">
        <w:bookmarkStart w:id="10" w:name="Xade74cb8c91f1bbf3902d8c6c15257bafa8604c"/>
        <w:r>
          <w:rPr>
            <w:rStyle w:val="Hyperlink"/>
          </w:rPr>
          <w:t>Part 5 — Recommendations for university research leadership</w:t>
        </w:r>
      </w:hyperlink>
    </w:p>
    <w:p>
      <w:pPr>
        <w:pStyle w:val="Compact"/>
        <w:numPr>
          <w:ilvl w:val="0"/>
          <w:numId w:val="7"/>
        </w:numPr>
        <w:rPr/>
      </w:pPr>
      <w:hyperlink w:anchor="X637bbf0db3ca7ba96c0636057322e2f0dd6c2b8">
        <w:r>
          <w:rPr>
            <w:rStyle w:val="Hyperlink"/>
          </w:rPr>
          <w:t>5.1   For executive research leadership</w:t>
        </w:r>
      </w:hyperlink>
    </w:p>
    <w:p>
      <w:pPr>
        <w:pStyle w:val="Compact"/>
        <w:numPr>
          <w:ilvl w:val="0"/>
          <w:numId w:val="7"/>
        </w:numPr>
        <w:rPr/>
      </w:pPr>
      <w:hyperlink w:anchor="X4df49f9c2fdee26b5106621f4e6bae7f77c10a2">
        <w:r>
          <w:rPr>
            <w:rStyle w:val="Hyperlink"/>
          </w:rPr>
          <w:t>5.2   For faculty deans and associate deans of research</w:t>
        </w:r>
      </w:hyperlink>
    </w:p>
    <w:p>
      <w:pPr>
        <w:pStyle w:val="Compact"/>
        <w:numPr>
          <w:ilvl w:val="0"/>
          <w:numId w:val="7"/>
        </w:numPr>
        <w:rPr/>
      </w:pPr>
      <w:hyperlink w:anchor="X01a7ced067d8590f8de445e51dcb8ba28790c83">
        <w:r>
          <w:rPr>
            <w:rStyle w:val="Hyperlink"/>
          </w:rPr>
          <w:t>5.3   For deans of graduate schools and A/Deans of research training</w:t>
        </w:r>
      </w:hyperlink>
    </w:p>
    <w:p>
      <w:pPr>
        <w:pStyle w:val="Compact"/>
        <w:numPr>
          <w:ilvl w:val="0"/>
          <w:numId w:val="7"/>
        </w:numPr>
        <w:rPr/>
      </w:pPr>
      <w:hyperlink w:anchor="Xaf1c59110ac2d2b00da69a4f26feb31fdf6efc6">
        <w:r>
          <w:rPr>
            <w:rStyle w:val="Hyperlink"/>
          </w:rPr>
          <w:t>5.4   For higher-degrees committees and research-integrity committees</w:t>
        </w:r>
      </w:hyperlink>
    </w:p>
    <w:p>
      <w:pPr>
        <w:pStyle w:val="Compact"/>
        <w:numPr>
          <w:ilvl w:val="0"/>
          <w:numId w:val="7"/>
        </w:numPr>
        <w:rPr/>
      </w:pPr>
      <w:hyperlink w:anchor="X3344b8117abe35e69dffb3d8223ef8b3371967a">
        <w:r>
          <w:rPr>
            <w:rStyle w:val="Hyperlink"/>
          </w:rPr>
          <w:t>5.5   For peak bodies for graduate students</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X58efa211c38677f6721adc2049a1ec624e0c3e5">
        <w:bookmarkStart w:id="12" w:name="Xacafc5f6c5affb2bcbe0c710c92c025823d84b1"/>
        <w:r>
          <w:rPr>
            <w:rStyle w:val="Hyperlink"/>
          </w:rPr>
          <w:t>Appendix A — The maturity grid, full version</w:t>
        </w:r>
      </w:hyperlink>
      <w:bookmarkEnd w:id="12"/>
    </w:p>
    <w:p>
      <w:pPr>
        <w:pStyle w:val="Heading4"/>
        <w:rPr/>
      </w:pPr>
      <w:hyperlink w:anchor="X30a15aa0718d80bdea4e1d3776a0ba9becb19b9">
        <w:bookmarkStart w:id="13" w:name="Xa4fff6b6df5f7a3b09445c229bc4b09ed80ee37"/>
        <w:r>
          <w:rPr>
            <w:rStyle w:val="Hyperlink"/>
          </w:rPr>
          <w:t>Appendix B — Country and institutional dossiers</w:t>
        </w:r>
      </w:hyperlink>
      <w:bookmarkEnd w:id="13"/>
    </w:p>
    <w:p>
      <w:pPr>
        <w:pStyle w:val="Heading4"/>
        <w:rPr/>
      </w:pPr>
      <w:hyperlink w:anchor="appendix-c-glossary-of-ai-tool-classes_1">
        <w:bookmarkStart w:id="14" w:name="appendix-c-glossary-of-ai-tool-classes"/>
        <w:r>
          <w:rPr>
            <w:rStyle w:val="Hyperlink"/>
          </w:rPr>
          <w:t>Appendix C — Glossary of AI tool classes</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appendix-e-sources_1">
        <w:bookmarkStart w:id="16" w:name="appendix-e-sources"/>
        <w:r>
          <w:rPr>
            <w:rStyle w:val="Hyperlink"/>
          </w:rPr>
          <w:t>Appendix E — Sources</w:t>
        </w:r>
      </w:hyperlink>
      <w:bookmarkEnd w:id="16"/>
    </w:p>
    <w:p>
      <w:pPr>
        <w:pStyle w:val="Heading4"/>
        <w:rPr/>
      </w:pPr>
      <w:hyperlink w:anchor="appendix-f-regional-adaptation-note_1">
        <w:bookmarkStart w:id="17" w:name="appendix-f-regional-adaptation-note"/>
        <w:r>
          <w:rPr>
            <w:rStyle w:val="Hyperlink"/>
          </w:rPr>
          <w:t>Appendix F — Regional-adaptation note</w:t>
        </w:r>
      </w:hyperlink>
      <w:bookmarkEnd w:id="17"/>
    </w:p>
    <w:p>
      <w:pPr>
        <w:pStyle w:val="Heading4"/>
        <w:rPr/>
      </w:pPr>
      <w:hyperlink w:anchor="Xbed8346cde3d6a4651c2d5c0a174b243c58d415">
        <w:bookmarkStart w:id="18"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part-1-the-factual-baseline-1"/>
      <w:r>
        <w:rPr/>
        <w:t>Part 1 — The factual baseline</w:t>
      </w:r>
    </w:p>
    <w:p>
      <w:pPr>
        <w:pStyle w:val="Heading3"/>
        <w:rPr/>
      </w:pPr>
      <w:bookmarkStart w:id="20"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20"/>
    </w:p>
    <w:p>
      <w:pPr>
        <w:pStyle w:val="Heading3"/>
        <w:rPr/>
      </w:pPr>
      <w:bookmarkStart w:id="21"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capability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p>
    <w:p>
      <w:pPr>
        <w:pStyle w:val="BodyText"/>
        <w:rPr/>
      </w:pPr>
      <w:r>
        <w:rPr/>
        <w:t xml:space="preserve">By “responsible,” this report means AI use that is </w:t>
      </w:r>
      <w:r>
        <w:rPr>
          <w:i/>
          <w:iCs/>
        </w:rPr>
        <w:t>ethical, valid, reproducible, and transparent</w:t>
      </w:r>
      <w:r>
        <w:rPr/>
        <w:t xml:space="preserve">. These four are not arbitrary; they are the conditions under which AI-augmented research remains research. </w:t>
      </w:r>
      <w:r>
        <w:rPr>
          <w:i/>
          <w:iCs/>
        </w:rPr>
        <w:t>Ethical</w:t>
      </w:r>
      <w:r>
        <w:rPr/>
        <w:t xml:space="preserve"> use does not harm research participants, affected communities, or third parties whose data is processed. </w:t>
      </w:r>
      <w:r>
        <w:rPr>
          <w:i/>
          <w:iCs/>
        </w:rPr>
        <w:t>Valid</w:t>
      </w:r>
      <w:r>
        <w:rPr/>
        <w:t xml:space="preserve"> use means the inferences AI helps produce meet the same methodological and evidentiary standards as human-produced inferences, including assumption-checking, sensitivity analysis, and replication. </w:t>
      </w:r>
      <w:r>
        <w:rPr>
          <w:i/>
          <w:iCs/>
        </w:rPr>
        <w:t>Reproducible</w:t>
      </w:r>
      <w:r>
        <w:rPr/>
        <w:t xml:space="preserve"> use means another researcher with access to the same inputs, prompts, parameters, and tool version can reproduce the output to a stated tolerance. </w:t>
      </w:r>
      <w:r>
        <w:rPr>
          <w:i/>
          <w:iCs/>
        </w:rPr>
        <w:t>Transparent</w:t>
      </w:r>
      <w:r>
        <w:rPr/>
        <w:t xml:space="preserve"> use means AI’s role is disclosed with enough specificity for supervisors, examiners, reviewers, and readers to assess it. These four properties are necessary together; no three substitute for the fourth.</w:t>
      </w:r>
      <w:bookmarkEnd w:id="21"/>
    </w:p>
    <w:p>
      <w:pPr>
        <w:pStyle w:val="Heading3"/>
        <w:rPr/>
      </w:pPr>
      <w:bookmarkStart w:id="22"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capability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capabilities reachable for institutions at any starting class.</w:t>
      </w:r>
    </w:p>
    <w:p>
      <w:pPr>
        <w:pStyle w:val="Normal"/>
        <w:rPr/>
      </w:pPr>
      <w:r>
        <w:rPr/>
        <mc:AlternateContent>
          <mc:Choice Requires="wps">
            <w:drawing>
              <wp:inline distT="0" distB="0" distL="0" distR="0">
                <wp:extent cx="597281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2"/>
    </w:p>
    <w:p>
      <w:pPr>
        <w:pStyle w:val="Heading2"/>
        <w:rPr/>
      </w:pPr>
      <w:bookmarkStart w:id="23" w:name="X9ebc4f84bbc00a46a110ccc18a9acd7ffb35c1e"/>
      <w:r>
        <w:rPr/>
        <w:t>Part 2 — A five-dimension capability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4"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4"/>
    </w:p>
    <w:p>
      <w:pPr>
        <w:pStyle w:val="Heading3"/>
        <w:rPr/>
      </w:pPr>
      <w:bookmarkStart w:id="25"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capability-framework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capability-framework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7"/>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5"/>
    </w:p>
    <w:p>
      <w:pPr>
        <w:pStyle w:val="Heading3"/>
        <w:rPr/>
      </w:pPr>
      <w:bookmarkStart w:id="26"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capability.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6"/>
    </w:p>
    <w:p>
      <w:pPr>
        <w:pStyle w:val="Heading3"/>
        <w:rPr/>
      </w:pPr>
      <w:bookmarkStart w:id="27"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capability-framework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brings the foundation for AI-augmented research: reproducibility, validity, and scepticism; the AI-era competencies extend that foundation.</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7"/>
    </w:p>
    <w:p>
      <w:pPr>
        <w:pStyle w:val="Heading3"/>
        <w:rPr/>
      </w:pPr>
      <w:bookmarkStart w:id="28"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capability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3"/>
      <w:bookmarkEnd w:id="28"/>
    </w:p>
    <w:p>
      <w:pPr>
        <w:pStyle w:val="Heading2"/>
        <w:rPr/>
      </w:pPr>
      <w:bookmarkStart w:id="29"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capability-framework literature. They are sequenced by regulatory weight in the audience’s institutional environment: funders set the terms of grant-funded research; institutions set the terms of doctoral training; publishers set the terms of output dissemination; the capability-framework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capability-framework literature is mature for K-12 and general undergraduate audiences but did not, in 2025-2026, populate the research-training-native PhD curriculum the report’s Dimension 4 has now articulated.</w:t>
      </w:r>
    </w:p>
    <w:p>
      <w:pPr>
        <w:pStyle w:val="Heading3"/>
        <w:rPr/>
      </w:pPr>
      <w:bookmarkStart w:id="30"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universities need to close.</w:t>
      </w:r>
      <w:bookmarkEnd w:id="30"/>
    </w:p>
    <w:p>
      <w:pPr>
        <w:pStyle w:val="Heading3"/>
        <w:rPr/>
      </w:pPr>
      <w:bookmarkStart w:id="31"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1"/>
    </w:p>
    <w:p>
      <w:pPr>
        <w:pStyle w:val="Heading3"/>
        <w:rPr/>
      </w:pPr>
      <w:bookmarkStart w:id="32"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2"/>
    </w:p>
    <w:p>
      <w:pPr>
        <w:pStyle w:val="Heading3"/>
        <w:rPr/>
      </w:pPr>
      <w:bookmarkStart w:id="33" w:name="Xca4da2d26c3d4406d6d5f02dafc313a2e0f1372"/>
      <w:r>
        <w:rPr/>
        <w:t>3.4 Existing AI-literacy and researcher-development frameworks</w:t>
      </w:r>
    </w:p>
    <w:p>
      <w:pPr>
        <w:pStyle w:val="FirstParagraph"/>
        <w:rPr/>
      </w:pPr>
      <w:r>
        <w:rPr/>
        <w:t>The existing capability-framework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capability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9"/>
      <w:bookmarkEnd w:id="33"/>
    </w:p>
    <w:p>
      <w:pPr>
        <w:pStyle w:val="Heading2"/>
        <w:rPr/>
      </w:pPr>
      <w:bookmarkStart w:id="34"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5"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5"/>
    </w:p>
    <w:p>
      <w:pPr>
        <w:pStyle w:val="Heading3"/>
        <w:rPr/>
      </w:pPr>
      <w:bookmarkStart w:id="36"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6"/>
    </w:p>
    <w:p>
      <w:pPr>
        <w:pStyle w:val="Heading3"/>
        <w:rPr/>
      </w:pPr>
      <w:bookmarkStart w:id="37"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capability: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4"/>
      <w:bookmarkEnd w:id="37"/>
    </w:p>
    <w:p>
      <w:pPr>
        <w:pStyle w:val="Heading2"/>
        <w:rPr/>
      </w:pPr>
      <w:bookmarkStart w:id="38"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9"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9"/>
    </w:p>
    <w:p>
      <w:pPr>
        <w:pStyle w:val="Heading3"/>
        <w:rPr/>
      </w:pPr>
      <w:bookmarkStart w:id="40"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40"/>
    </w:p>
    <w:p>
      <w:pPr>
        <w:pStyle w:val="Heading3"/>
        <w:rPr/>
      </w:pPr>
      <w:bookmarkStart w:id="41"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1"/>
    </w:p>
    <w:p>
      <w:pPr>
        <w:pStyle w:val="Heading3"/>
        <w:rPr/>
      </w:pPr>
      <w:bookmarkStart w:id="42"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2"/>
    </w:p>
    <w:p>
      <w:pPr>
        <w:pStyle w:val="Heading3"/>
        <w:rPr/>
      </w:pPr>
      <w:bookmarkStart w:id="43"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8"/>
      <w:bookmarkEnd w:id="43"/>
    </w:p>
    <w:p>
      <w:pPr>
        <w:pStyle w:val="Heading2"/>
        <w:rPr/>
      </w:pPr>
      <w:bookmarkStart w:id="44" w:name="conclusion-1"/>
      <w:r>
        <w:rPr/>
        <w:t>Conclusion</w:t>
      </w:r>
    </w:p>
    <w:p>
      <w:pPr>
        <w:pStyle w:val="FirstParagraph"/>
        <w:rPr/>
      </w:pPr>
      <w:r>
        <w:rPr/>
        <w:t>The world’s major academic publishers acted in ten weeks. National research funders have acted, unevenly, over three years. International capability-framework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This matters beyond institutional compliance. Universities train the researchers who produce the knowledge for public decisions on health, climate, economic policy, and technology. Society relies on universities as epistemic infrastructure: institutions that organise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an obligation universities owe society, because the social licence of research depends on knowledge that remains ethical, valid, reproducible, and transparent.</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4"/>
    </w:p>
    <w:p>
      <w:pPr>
        <w:pStyle w:val="Heading2"/>
        <w:rPr/>
      </w:pPr>
      <w:bookmarkStart w:id="45"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PhD level, and how would a university know whether it is doing it well.</w:t>
      </w:r>
      <w:bookmarkEnd w:id="45"/>
    </w:p>
    <w:p>
      <w:pPr>
        <w:pStyle w:val="Heading2"/>
        <w:rPr/>
      </w:pPr>
      <w:bookmarkStart w:id="46"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capability at scale; the framework’s Dimension 5 maturity grid is where they can self-diagnose against that pattern.</w:t>
      </w:r>
      <w:bookmarkEnd w:id="46"/>
    </w:p>
    <w:p>
      <w:pPr>
        <w:pStyle w:val="Heading2"/>
        <w:rPr/>
      </w:pPr>
      <w:bookmarkStart w:id="47"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7"/>
    </w:p>
    <w:p>
      <w:pPr>
        <w:pStyle w:val="Heading2"/>
        <w:rPr/>
      </w:pPr>
      <w:bookmarkStart w:id="48" w:name="appendix-d-about-this-report-1"/>
      <w:r>
        <w:rPr/>
        <w:t>Appendix D — About this report</w:t>
      </w:r>
    </w:p>
    <w:p>
      <w:pPr>
        <w:pStyle w:val="FirstParagraph"/>
        <w:rPr/>
      </w:pPr>
      <w:r>
        <w:rPr>
          <w:b/>
          <w:bCs/>
        </w:rPr>
        <w:t>Author and contact.</w:t>
      </w:r>
      <w:r>
        <w:rPr/>
        <w:t xml:space="preserve"> Michael J. Zyphur, PhD (Instats; ORCID 0000-0003-3237-7892; support@instats.org).</w:t>
      </w:r>
    </w:p>
    <w:p>
      <w:pPr>
        <w:pStyle w:val="BodyText"/>
        <w:rPr/>
      </w:pPr>
      <w:r>
        <w:rPr>
          <w:b/>
          <w:bCs/>
        </w:rPr>
        <w:t>Scope.</w:t>
      </w:r>
      <w:r>
        <w:rPr/>
        <w:t xml:space="preserve"> This is the global view in a planned regional series. The capability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capability-framework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capability frameworks; publisher and journal policies; AI tool taxonomy; privacy and governance frameworks; reproducibility-crisis intersection; adversarial-review patterns.</w:t>
      </w:r>
    </w:p>
    <w:p>
      <w:pPr>
        <w:pStyle w:val="BodyText"/>
        <w:rPr/>
      </w:pPr>
      <w:r>
        <w:rPr>
          <w:b/>
          <w:bCs/>
        </w:rPr>
        <w:t>AI assistance.</w:t>
      </w:r>
      <w:r>
        <w:rPr/>
        <w:t xml:space="preserve"> This report used assistance from Anthropic Claude Code (Opus 4.7), OpenAI Codex (GPT-5.5), and Google Gemini (3 Flash Preview) for research review, drafting, code/release checks, and copy-editing. The author is responsible for every factual claim, source interpretation, calculation, caveat, and final wording.</w:t>
      </w:r>
    </w:p>
    <w:p>
      <w:pPr>
        <w:pStyle w:val="BodyText"/>
        <w:rPr/>
      </w:pPr>
      <w:r>
        <w:rPr>
          <w:b/>
          <w:bCs/>
        </w:rPr>
        <w:t>Conflict-of-interest disclosure.</w:t>
      </w:r>
      <w:r>
        <w:rPr/>
        <w:t xml:space="preserve"> The author has no paid relationships with any of the institutions in the report’s institutional sample (Appendix B).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8"/>
    </w:p>
    <w:p>
      <w:pPr>
        <w:pStyle w:val="Heading2"/>
        <w:rPr/>
      </w:pPr>
      <w:bookmarkStart w:id="49"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research/dossier_03_capability_frameworks.md</w:t>
      </w:r>
      <w:r>
        <w:rPr/>
        <w:t xml:space="preserve"> — thirteen capability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9"/>
    </w:p>
    <w:p>
      <w:pPr>
        <w:pStyle w:val="Heading2"/>
        <w:rPr/>
      </w:pPr>
      <w:bookmarkStart w:id="50"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50"/>
    </w:p>
    <w:p>
      <w:pPr>
        <w:pStyle w:val="Heading2"/>
        <w:rPr/>
      </w:pPr>
      <w:bookmarkStart w:id="51"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capability the framework specifies is the act of articulating the taxonomy, not the specific entries.</w:t>
      </w:r>
      <w:bookmarkEnd w:id="51"/>
    </w:p>
    <w:p>
      <w:pPr>
        <w:pStyle w:val="Heading2"/>
        <w:keepNext w:val="true"/>
        <w:keepLines/>
        <w:spacing w:lineRule="auto" w:line="288" w:before="360" w:after="120"/>
        <w:rPr/>
      </w:pPr>
      <w:bookmarkStart w:id="52" w:name="sources-and-footnotes"/>
      <w:r>
        <w:rPr/>
        <w:t>Sources and footnotes</w:t>
      </w:r>
      <w:bookmarkEnd w:id="4"/>
      <w:bookmarkEnd w:id="52"/>
    </w:p>
    <w:sectPr>
      <w:headerReference w:type="even" r:id="rId7"/>
      <w:headerReference w:type="default" r:id="rId8"/>
      <w:headerReference w:type="first" r:id="rId9"/>
      <w:footerReference w:type="even" r:id="rId10"/>
      <w:footerReference w:type="default" r:id="rId11"/>
      <w:footerReference w:type="first" r:id="rId12"/>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capability-frameworks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research/dossier_03_capability_frameworks.md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capability-frameworks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capability-frameworks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capability-frameworks dossier covering UNESCO AI...</w:t>
      </w:r>
    </w:p>
  </w:footnote>
  <w:footnote w:id="73">
    <w:p>
      <w:r>
        <w:t xml:space="preserve">Repeated source: Synthesised across the thirteen-entry capability-frameworks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 (v1.2.3)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notes" Target="footnote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2026-05-19T06:26:03Z</dcterms:created>
  <dc:creator/>
  <dc:description/>
  <dc:language>en-AU</dc:language>
  <cp:lastModifiedBy/>
  <dcterms:modified xsi:type="dcterms:W3CDTF">2026-05-19T06:26:03Z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