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capability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v1.2.2.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timeline"/>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45173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Scope.</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capability frameworks; publisher and journal policies; AI tool taxonomy; privacy and governance frameworks; reproducibility-crisis intersection; adversarial-review patterns.</w:t>
      </w:r>
    </w:p>
    <w:p>
      <w:pPr>
        <w:pStyle w:val="BodyText"/>
        <w:rPr/>
      </w:pPr>
      <w:r>
        <w:rPr>
          <w:b/>
          <w:bCs/>
        </w:rPr>
        <w:t>AI assistance disclosure.</w:t>
      </w:r>
      <w:r>
        <w:rPr/>
        <w:t xml:space="preserve"> This report was drafted with assistance from large language models for evidence synthesis, structural review, and copy editing. The lead author retains responsibility for every factual claim, institutional classification, numerical finding, and framework decision, and verified each load-bearing claim against the primary sources before publication.</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(v1.2.2)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2026-05-19T04:03:01Z</dcterms:created>
  <dc:creator/>
  <dc:description/>
  <dc:language>en-AU</dc:language>
  <cp:lastModifiedBy/>
  <dcterms:modified xsi:type="dcterms:W3CDTF">2026-05-19T04:03:01Z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