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b0099d9a5ffa4a0bdea957eac68513c9492629b"/>
      <w:r>
        <w:rPr>
          <w:i/>
          <w:iCs/>
        </w:rPr>
        <w:t>A Capability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capability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Capability Framework for Research Training.</w:t>
      </w:r>
      <w:r>
        <w:rPr/>
        <w:t xml:space="preserve"> Instats Policy Series, v1.2.0.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capability-framework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dimensions: the policy itself, the people responsible for enacting it, the systems that support it, and the process by which AI use enters supervision and examination. A policy is one row in the capability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BodyText"/>
        <w:rPr/>
      </w:pPr>
      <w:bookmarkStart w:id="3" w:name="fig%3Atimeline"/>
      <w:r>
        <w:rPr/>
        <w:drawing>
          <wp:inline distT="0" distB="0" distL="0" distR="0">
            <wp:extent cx="5969000" cy="253428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6"/>
                    <a:stretch>
                      <a:fillRect/>
                    </a:stretch>
                  </pic:blipFill>
                  <pic:spPr bwMode="auto">
                    <a:xfrm>
                      <a:off x="0" y="0"/>
                      <a:ext cx="5969000" cy="2534285"/>
                    </a:xfrm>
                    <a:prstGeom prst="rect">
                      <a:avLst/>
                    </a:prstGeom>
                    <a:noFill/>
                  </pic:spPr>
                </pic:pic>
              </a:graphicData>
            </a:graphic>
          </wp:inline>
        </w:drawing>
      </w:r>
      <w:bookmarkEnd w:id="3"/>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4" w:name="contents"/>
      <w:r>
        <w:rPr/>
        <w:t>Contents</w:t>
      </w:r>
    </w:p>
    <w:p>
      <w:pPr>
        <w:pStyle w:val="Heading4"/>
        <w:rPr/>
      </w:pPr>
      <w:hyperlink w:anchor="the-finding">
        <w:bookmarkStart w:id="5" w:name="executive-summary"/>
        <w:r>
          <w:rPr>
            <w:rStyle w:val="Hyperlink"/>
          </w:rPr>
          <w:t>Executive summary</w:t>
        </w:r>
      </w:hyperlink>
      <w:bookmarkEnd w:id="5"/>
    </w:p>
    <w:p>
      <w:pPr>
        <w:pStyle w:val="Heading4"/>
        <w:rPr/>
      </w:pPr>
      <w:hyperlink w:anchor="part-1-the-factual-baseline_1">
        <w:bookmarkStart w:id="6"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6"/>
    </w:p>
    <w:p>
      <w:pPr>
        <w:pStyle w:val="Heading4"/>
        <w:rPr/>
      </w:pPr>
      <w:hyperlink w:anchor="X4f9d66c4114ab910b08655494b03e6cc2bb0186">
        <w:bookmarkStart w:id="7" w:name="X3bd643d343f2974ee01ac844e0357dfaba13ffe"/>
        <w:r>
          <w:rPr>
            <w:rStyle w:val="Hyperlink"/>
          </w:rPr>
          <w:t>Part 2 — A five-dimension capability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7"/>
    </w:p>
    <w:p>
      <w:pPr>
        <w:pStyle w:val="Heading4"/>
        <w:rPr/>
      </w:pPr>
      <w:hyperlink w:anchor="Xfaf275e331ed51ebecadb9345be19a0314acfc3">
        <w:bookmarkStart w:id="8"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8"/>
    </w:p>
    <w:p>
      <w:pPr>
        <w:pStyle w:val="Heading4"/>
        <w:rPr/>
      </w:pPr>
      <w:hyperlink w:anchor="part-4-the-maturity-grid_1">
        <w:bookmarkStart w:id="9"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9"/>
    </w:p>
    <w:p>
      <w:pPr>
        <w:pStyle w:val="Heading4"/>
        <w:rPr/>
      </w:pPr>
      <w:hyperlink w:anchor="Xa1dfcb691ac0c1297bce0e5e7c4e1d6d6dc6ae7">
        <w:bookmarkStart w:id="10"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X58efa211c38677f6721adc2049a1ec624e0c3e5">
        <w:bookmarkStart w:id="12" w:name="Xacafc5f6c5affb2bcbe0c710c92c025823d84b1"/>
        <w:r>
          <w:rPr>
            <w:rStyle w:val="Hyperlink"/>
          </w:rPr>
          <w:t>Appendix A — The maturity grid, full version</w:t>
        </w:r>
      </w:hyperlink>
      <w:bookmarkEnd w:id="12"/>
    </w:p>
    <w:p>
      <w:pPr>
        <w:pStyle w:val="Heading4"/>
        <w:rPr/>
      </w:pPr>
      <w:hyperlink w:anchor="X30a15aa0718d80bdea4e1d3776a0ba9becb19b9">
        <w:bookmarkStart w:id="13" w:name="Xa4fff6b6df5f7a3b09445c229bc4b09ed80ee37"/>
        <w:r>
          <w:rPr>
            <w:rStyle w:val="Hyperlink"/>
          </w:rPr>
          <w:t>Appendix B — Country and institutional dossiers</w:t>
        </w:r>
      </w:hyperlink>
      <w:bookmarkEnd w:id="13"/>
    </w:p>
    <w:p>
      <w:pPr>
        <w:pStyle w:val="Heading4"/>
        <w:rPr/>
      </w:pPr>
      <w:hyperlink w:anchor="appendix-c-glossary-of-ai-tool-classes_1">
        <w:bookmarkStart w:id="14" w:name="appendix-c-glossary-of-ai-tool-classes"/>
        <w:r>
          <w:rPr>
            <w:rStyle w:val="Hyperlink"/>
          </w:rPr>
          <w:t>Appendix C — Glossary of AI tool classes</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appendix-e-sources_1">
        <w:bookmarkStart w:id="16" w:name="appendix-e-sources"/>
        <w:r>
          <w:rPr>
            <w:rStyle w:val="Hyperlink"/>
          </w:rPr>
          <w:t>Appendix E — Sources</w:t>
        </w:r>
      </w:hyperlink>
      <w:bookmarkEnd w:id="16"/>
    </w:p>
    <w:p>
      <w:pPr>
        <w:pStyle w:val="Heading4"/>
        <w:rPr/>
      </w:pPr>
      <w:hyperlink w:anchor="appendix-f-regional-adaptation-note_1">
        <w:bookmarkStart w:id="17" w:name="appendix-f-regional-adaptation-note"/>
        <w:r>
          <w:rPr>
            <w:rStyle w:val="Hyperlink"/>
          </w:rPr>
          <w:t>Appendix F — Regional-adaptation note</w:t>
        </w:r>
      </w:hyperlink>
      <w:bookmarkEnd w:id="17"/>
    </w:p>
    <w:p>
      <w:pPr>
        <w:pStyle w:val="Heading4"/>
        <w:rPr/>
      </w:pPr>
      <w:hyperlink w:anchor="Xbed8346cde3d6a4651c2d5c0a174b243c58d415">
        <w:bookmarkStart w:id="18"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part-1-the-factual-baseline-1"/>
      <w:r>
        <w:rPr/>
        <w:t>Part 1 — The factual baseline</w:t>
      </w:r>
    </w:p>
    <w:p>
      <w:pPr>
        <w:pStyle w:val="Heading3"/>
        <w:rPr/>
      </w:pPr>
      <w:bookmarkStart w:id="20"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20"/>
    </w:p>
    <w:p>
      <w:pPr>
        <w:pStyle w:val="Heading3"/>
        <w:rPr/>
      </w:pPr>
      <w:bookmarkStart w:id="21"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1"/>
    </w:p>
    <w:p>
      <w:pPr>
        <w:pStyle w:val="Heading3"/>
        <w:rPr/>
      </w:pPr>
      <w:bookmarkStart w:id="22"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capability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capabilities reachable for institutions at any starting class.</w:t>
      </w:r>
    </w:p>
    <w:p>
      <w:pPr>
        <w:pStyle w:val="Normal"/>
        <w:rPr/>
      </w:pPr>
      <w:r>
        <w:rPr/>
        <mc:AlternateContent>
          <mc:Choice Requires="wps">
            <w:drawing>
              <wp:inline distT="0" distB="0" distL="0" distR="0">
                <wp:extent cx="597281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2"/>
    </w:p>
    <w:p>
      <w:pPr>
        <w:pStyle w:val="Heading2"/>
        <w:rPr/>
      </w:pPr>
      <w:bookmarkStart w:id="23"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4"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4"/>
    </w:p>
    <w:p>
      <w:pPr>
        <w:pStyle w:val="Heading3"/>
        <w:rPr/>
      </w:pPr>
      <w:bookmarkStart w:id="25"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5"/>
    </w:p>
    <w:p>
      <w:pPr>
        <w:pStyle w:val="Heading3"/>
        <w:rPr/>
      </w:pPr>
      <w:bookmarkStart w:id="26"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6"/>
    </w:p>
    <w:p>
      <w:pPr>
        <w:pStyle w:val="Heading3"/>
        <w:rPr/>
      </w:pPr>
      <w:bookmarkStart w:id="27"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7"/>
    </w:p>
    <w:p>
      <w:pPr>
        <w:pStyle w:val="Heading3"/>
        <w:rPr/>
      </w:pPr>
      <w:bookmarkStart w:id="28"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3"/>
      <w:bookmarkEnd w:id="28"/>
    </w:p>
    <w:p>
      <w:pPr>
        <w:pStyle w:val="Heading2"/>
        <w:rPr/>
      </w:pPr>
      <w:bookmarkStart w:id="29"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capability-framework literature. They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capability-framework literature is mature for K-12 and general undergraduate audiences but did not, in 2025-2026, populate the research-training-native PhD curriculum the report’s Dimension 4 has now articulated.</w:t>
      </w:r>
    </w:p>
    <w:p>
      <w:pPr>
        <w:pStyle w:val="Heading3"/>
        <w:rPr/>
      </w:pPr>
      <w:bookmarkStart w:id="30"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30"/>
    </w:p>
    <w:p>
      <w:pPr>
        <w:pStyle w:val="Heading3"/>
        <w:rPr/>
      </w:pPr>
      <w:bookmarkStart w:id="31"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1"/>
    </w:p>
    <w:p>
      <w:pPr>
        <w:pStyle w:val="Heading3"/>
        <w:rPr/>
      </w:pPr>
      <w:bookmarkStart w:id="32"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2"/>
    </w:p>
    <w:p>
      <w:pPr>
        <w:pStyle w:val="Heading3"/>
        <w:rPr/>
      </w:pPr>
      <w:bookmarkStart w:id="33"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9"/>
      <w:bookmarkEnd w:id="33"/>
    </w:p>
    <w:p>
      <w:pPr>
        <w:pStyle w:val="Heading2"/>
        <w:rPr/>
      </w:pPr>
      <w:bookmarkStart w:id="34"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5"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5"/>
    </w:p>
    <w:p>
      <w:pPr>
        <w:pStyle w:val="Heading3"/>
        <w:rPr/>
      </w:pPr>
      <w:bookmarkStart w:id="36"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6"/>
    </w:p>
    <w:p>
      <w:pPr>
        <w:pStyle w:val="Heading3"/>
        <w:rPr/>
      </w:pPr>
      <w:bookmarkStart w:id="37"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4"/>
      <w:bookmarkEnd w:id="37"/>
    </w:p>
    <w:p>
      <w:pPr>
        <w:pStyle w:val="Heading2"/>
        <w:rPr/>
      </w:pPr>
      <w:bookmarkStart w:id="38"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9"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9"/>
    </w:p>
    <w:p>
      <w:pPr>
        <w:pStyle w:val="Heading3"/>
        <w:rPr/>
      </w:pPr>
      <w:bookmarkStart w:id="40"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40"/>
    </w:p>
    <w:p>
      <w:pPr>
        <w:pStyle w:val="Heading3"/>
        <w:rPr/>
      </w:pPr>
      <w:bookmarkStart w:id="41"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1"/>
    </w:p>
    <w:p>
      <w:pPr>
        <w:pStyle w:val="Heading3"/>
        <w:rPr/>
      </w:pPr>
      <w:bookmarkStart w:id="42"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2"/>
    </w:p>
    <w:p>
      <w:pPr>
        <w:pStyle w:val="Heading3"/>
        <w:rPr/>
      </w:pPr>
      <w:bookmarkStart w:id="43"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8"/>
      <w:bookmarkEnd w:id="43"/>
    </w:p>
    <w:p>
      <w:pPr>
        <w:pStyle w:val="Heading2"/>
        <w:rPr/>
      </w:pPr>
      <w:bookmarkStart w:id="44" w:name="conclusion-1"/>
      <w:r>
        <w:rPr/>
        <w:t>Conclusion</w:t>
      </w:r>
    </w:p>
    <w:p>
      <w:pPr>
        <w:pStyle w:val="FirstParagraph"/>
        <w:rPr/>
      </w:pPr>
      <w:r>
        <w:rPr/>
        <w:t>The world’s major academic publishers acted in ten weeks. National research funders have acted, unevenly, over three years. International capability-framework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4"/>
    </w:p>
    <w:p>
      <w:pPr>
        <w:pStyle w:val="Heading2"/>
        <w:rPr/>
      </w:pPr>
      <w:bookmarkStart w:id="45"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5"/>
    </w:p>
    <w:p>
      <w:pPr>
        <w:pStyle w:val="Heading2"/>
        <w:rPr/>
      </w:pPr>
      <w:bookmarkStart w:id="46"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capability at scale; the framework’s Dimension 5 maturity grid is where they can self-diagnose against that pattern.</w:t>
      </w:r>
      <w:bookmarkEnd w:id="46"/>
    </w:p>
    <w:p>
      <w:pPr>
        <w:pStyle w:val="Heading2"/>
        <w:rPr/>
      </w:pPr>
      <w:bookmarkStart w:id="47"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7"/>
    </w:p>
    <w:p>
      <w:pPr>
        <w:pStyle w:val="Heading2"/>
        <w:rPr/>
      </w:pPr>
      <w:bookmarkStart w:id="48"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Scope.</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capability frameworks; publisher and journal policies; AI tool taxonomy; privacy and governance frameworks; reproducibility-crisis intersection; adversarial-review patterns.</w:t>
      </w:r>
    </w:p>
    <w:p>
      <w:pPr>
        <w:pStyle w:val="BodyText"/>
        <w:rPr/>
      </w:pPr>
      <w:r>
        <w:rPr>
          <w:b/>
          <w:bCs/>
        </w:rPr>
        <w:t>AI assistance disclosure.</w:t>
      </w:r>
      <w:r>
        <w:rPr/>
        <w:t xml:space="preserve"> This report was drafted with assistance from large language models for evidence synthesis, structural review, and copy editing. The lead author retains responsibility for every factual claim, institutional classification, numerical finding, and framework decision, and verified each load-bearing claim against the primary sources before publication.</w:t>
      </w:r>
    </w:p>
    <w:p>
      <w:pPr>
        <w:pStyle w:val="BodyText"/>
        <w:rPr/>
      </w:pPr>
      <w:r>
        <w:rPr>
          <w:b/>
          <w:bCs/>
        </w:rPr>
        <w:t>Conflict-of-interest disclosure.</w:t>
      </w:r>
      <w:r>
        <w:rPr/>
        <w:t xml:space="preserve"> The author has no paid relationships with any of the institutions in the report’s institutional sample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8"/>
    </w:p>
    <w:p>
      <w:pPr>
        <w:pStyle w:val="Heading2"/>
        <w:rPr/>
      </w:pPr>
      <w:bookmarkStart w:id="49"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9"/>
    </w:p>
    <w:p>
      <w:pPr>
        <w:pStyle w:val="Heading2"/>
        <w:rPr/>
      </w:pPr>
      <w:bookmarkStart w:id="50"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50"/>
    </w:p>
    <w:p>
      <w:pPr>
        <w:pStyle w:val="Heading2"/>
        <w:rPr/>
      </w:pPr>
      <w:bookmarkStart w:id="51"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1"/>
    </w:p>
    <w:p>
      <w:pPr>
        <w:pStyle w:val="Heading2"/>
        <w:keepNext w:val="true"/>
        <w:keepLines/>
        <w:spacing w:lineRule="auto" w:line="288" w:before="360" w:after="120"/>
        <w:rPr/>
      </w:pPr>
      <w:bookmarkStart w:id="52" w:name="sources-and-footnotes"/>
      <w:r>
        <w:rPr/>
        <w:t>Sources and footnotes</w:t>
      </w:r>
      <w:bookmarkEnd w:id="4"/>
      <w:bookmarkEnd w:id="52"/>
    </w:p>
    <w:sectPr>
      <w:headerReference w:type="even" r:id="rId7"/>
      <w:headerReference w:type="default" r:id="rId8"/>
      <w:headerReference w:type="first" r:id="rId9"/>
      <w:footerReference w:type="even" r:id="rId10"/>
      <w:footerReference w:type="default" r:id="rId11"/>
      <w:footerReference w:type="first" r:id="rId12"/>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(v1.2.0)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2026-05-19T03:42:50Z</dcterms:created>
  <dc:creator/>
  <dc:description/>
  <dc:language>en-AU</dc:language>
  <cp:lastModifiedBy/>
  <dcterms:modified xsi:type="dcterms:W3CDTF">2026-05-19T03:42:50Z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