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xyj5z1fb6lg6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Человек и мышь: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Ближайший таксон: Млекопитающие (Mammalia)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Человек и бабочка: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Ближайший таксон: Bilateria (Двустороннесимметричные)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Человек и дрожжи: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Ближайший таксон: Eukaryota (Эукариоты)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Человек и капуста: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Ближайший таксон: Eukaryota (Эукариоты)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Самый ближайшая от человека: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дизентерийная амеба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Самый удалённый от человека: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Эвглена зеленая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8lsksi8iqwc" w:id="1"/>
      <w:bookmarkEnd w:id="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TP53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d6qlagdj7y4o" w:id="2"/>
      <w:bookmarkEnd w:id="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Nucleotide collection (nt)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Highly similar sequences (megablast)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первом поиске 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exclude</w:t>
      </w:r>
      <w:r w:rsidDel="00000000" w:rsidR="00000000" w:rsidRPr="00000000">
        <w:rPr>
          <w:rtl w:val="0"/>
        </w:rPr>
        <w:t xml:space="preserve"> Mammalia (taxid:40674) нашел 10, но 3 из них были слишком большие. другие в 100 были синтетические. При попытке увеличения поиска выдавалась ошибка(как я понял превышение времени на запрос) Поэтому ещё 3 взял из другое поиска без exclude Mammalia (taxid:40674) Они в отдельной таблице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auicwg5nmo47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4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6.3544982409117"/>
        <w:gridCol w:w="2884.4831630088793"/>
        <w:gridCol w:w="4024.674149773832"/>
        <w:tblGridChange w:id="0">
          <w:tblGrid>
            <w:gridCol w:w="2116.3544982409117"/>
            <w:gridCol w:w="2884.4831630088793"/>
            <w:gridCol w:w="4024.67414977383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Gene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Scientific Name (Latin)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Common Name (Russian)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nef, gag, pol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HIV-1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ВИЧ-1 (изолят из Бельгии)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nef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HIV-1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ВИЧ-1 (изолят из Ботсваны)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provirus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HIV-1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ВИЧ-1 (изолят из Канады)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provirus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HIV-1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ВИЧ-1 (изолят из Канады)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gag, pol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HIV-1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ВИЧ-1 (изолят из Швейцарии)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Naegleria fowleri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Неглерия Фаулери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Neospora caninum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Неоспора канинум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Paracidovorax avenae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Парацидоворакс авене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Staphylococcus aureus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Стафилококк ауреус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pol pseudogene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Homo sapiens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Человек (эндогенный ретровирус)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owlw93pcuyo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5zjuxeirb3dd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6.344446305914"/>
        <w:gridCol w:w="2956.495225330877"/>
        <w:gridCol w:w="4012.6721393868324"/>
        <w:tblGridChange w:id="0">
          <w:tblGrid>
            <w:gridCol w:w="2056.344446305914"/>
            <w:gridCol w:w="2956.495225330877"/>
            <w:gridCol w:w="4012.672139386832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Gene Symbol</w:t>
            </w:r>
          </w:p>
        </w:tc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Scientific Name (Latin)</w:t>
            </w:r>
          </w:p>
        </w:tc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Common Name (Russian)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TP53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Callithrix jacchus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Белоухая мармозетка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LOC108312243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Cebus imitator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Панамская белолицая капуцинка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TP53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5zjuxeirb3dd" w:id="5"/>
            <w:bookmarkEnd w:id="5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Macaca mulatta</w:t>
            </w:r>
          </w:p>
        </w:tc>
        <w:tc>
          <w:tcPr>
            <w:tcBorders>
              <w:top w:color="000000" w:space="0" w:sz="0" w:val="nil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color w:val="0d0d0d"/>
                <w:sz w:val="19"/>
                <w:szCs w:val="19"/>
              </w:rPr>
            </w:pPr>
            <w:bookmarkStart w:colFirst="0" w:colLast="0" w:name="_k2vj4o506vsk" w:id="6"/>
            <w:bookmarkEnd w:id="6"/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Резус-макака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5zjuxeirb3d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tz3kmif4rmx7" w:id="7"/>
      <w:bookmarkEnd w:id="7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Последовательности отличаются длинной(из-за 1 поиска). Но в участках где данные присутствуют можно заметить  высокое совпадение нуклеотидов в одной и той же позиции у всех или большинства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q3mg85as7pyg" w:id="8"/>
      <w:bookmarkEnd w:id="8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HIV-1, который принадлежит к вирусам, Paracidovorax avenae — относится к бактериям. Homo sapiens — представитель царства Animalia. Тогда ближайший общий таксономический уровень — это живые организмы (Life)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