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A2DDA" w14:textId="034980BD" w:rsidR="00661045" w:rsidRDefault="00454425" w:rsidP="002C3348">
      <w:pPr>
        <w:pStyle w:val="Articletitle"/>
        <w:spacing w:line="240" w:lineRule="auto"/>
      </w:pPr>
      <w:r>
        <w:t>The Value of location: What Matters Most for Older Adults Considering Relocation in Sweden?</w:t>
      </w:r>
    </w:p>
    <w:p w14:paraId="76EDD15E" w14:textId="56670066" w:rsidR="00442B9C" w:rsidRDefault="00454425" w:rsidP="002C3348">
      <w:pPr>
        <w:pStyle w:val="Authornames"/>
        <w:spacing w:line="240" w:lineRule="auto"/>
      </w:pPr>
      <w:r>
        <w:t xml:space="preserve">Nick </w:t>
      </w:r>
      <w:proofErr w:type="gramStart"/>
      <w:r>
        <w:t>Christie</w:t>
      </w:r>
      <w:r w:rsidR="005D2725">
        <w:rPr>
          <w:vertAlign w:val="superscript"/>
        </w:rPr>
        <w:t>a</w:t>
      </w:r>
      <w:r w:rsidR="004F428E">
        <w:t xml:space="preserve"> </w:t>
      </w:r>
      <w:r w:rsidR="005D2725">
        <w:t>,</w:t>
      </w:r>
      <w:proofErr w:type="gramEnd"/>
      <w:r w:rsidR="005D2725">
        <w:t xml:space="preserve"> Björn Slaug, Magnus Zingmark, Jonas Björk, </w:t>
      </w:r>
      <w:r w:rsidR="004F428E">
        <w:t xml:space="preserve">and </w:t>
      </w:r>
      <w:r w:rsidR="005D2725">
        <w:t>Susanne Iwarsson</w:t>
      </w:r>
      <w:r w:rsidR="004F428E" w:rsidRPr="00394920">
        <w:rPr>
          <w:vertAlign w:val="superscript"/>
        </w:rPr>
        <w:t>b</w:t>
      </w:r>
    </w:p>
    <w:p w14:paraId="1C8606CD" w14:textId="77777777" w:rsidR="00997B0F" w:rsidRDefault="00B64FA3" w:rsidP="002C3348">
      <w:pPr>
        <w:pStyle w:val="Affiliation"/>
        <w:spacing w:line="240" w:lineRule="auto"/>
      </w:pPr>
      <w:r w:rsidRPr="00394920">
        <w:rPr>
          <w:vertAlign w:val="superscript"/>
        </w:rPr>
        <w:t>a</w:t>
      </w:r>
      <w:r>
        <w:t>Department, University, City, Country;</w:t>
      </w:r>
      <w:r w:rsidRPr="003152C8">
        <w:t xml:space="preserve"> </w:t>
      </w:r>
      <w:r w:rsidRPr="00394920">
        <w:rPr>
          <w:vertAlign w:val="superscript"/>
        </w:rPr>
        <w:t>b</w:t>
      </w:r>
      <w:r>
        <w:t>Department, University, City, Country</w:t>
      </w:r>
    </w:p>
    <w:p w14:paraId="5CBF9F7E" w14:textId="5620AD9E" w:rsidR="000A4428" w:rsidRDefault="005D2725" w:rsidP="002C3348">
      <w:pPr>
        <w:pStyle w:val="Correspondencedetails"/>
        <w:spacing w:line="240" w:lineRule="auto"/>
      </w:pPr>
      <w:r>
        <w:t xml:space="preserve">For </w:t>
      </w:r>
      <w:proofErr w:type="gramStart"/>
      <w:r>
        <w:t>correspondence</w:t>
      </w:r>
      <w:proofErr w:type="gramEnd"/>
      <w:r>
        <w:t xml:space="preserve"> please contact Nick Christie, </w:t>
      </w:r>
      <w:hyperlink r:id="rId8" w:history="1">
        <w:r w:rsidRPr="003A676E">
          <w:rPr>
            <w:rStyle w:val="Hyperlink"/>
          </w:rPr>
          <w:t>nick.christie@med.lu.se</w:t>
        </w:r>
      </w:hyperlink>
    </w:p>
    <w:p w14:paraId="510BE6BB" w14:textId="562F2BC7" w:rsidR="005D2725" w:rsidRDefault="005D2725" w:rsidP="002C3348">
      <w:pPr>
        <w:pStyle w:val="Correspondencedetails"/>
        <w:spacing w:line="240" w:lineRule="auto"/>
      </w:pPr>
      <w:r>
        <w:t xml:space="preserve">Nick Christie is a </w:t>
      </w:r>
    </w:p>
    <w:p w14:paraId="28699EDC" w14:textId="7660572A" w:rsidR="005D2725" w:rsidRDefault="005D2725" w:rsidP="002C3348">
      <w:pPr>
        <w:pStyle w:val="Correspondencedetails"/>
        <w:spacing w:line="240" w:lineRule="auto"/>
      </w:pPr>
      <w:r>
        <w:t>Björn Slaug is</w:t>
      </w:r>
    </w:p>
    <w:p w14:paraId="45453B1A" w14:textId="6868D2C1" w:rsidR="005D2725" w:rsidRDefault="005D2725" w:rsidP="002C3348">
      <w:pPr>
        <w:pStyle w:val="Correspondencedetails"/>
        <w:spacing w:line="240" w:lineRule="auto"/>
      </w:pPr>
      <w:r>
        <w:t xml:space="preserve">Magnus Zingmark is </w:t>
      </w:r>
    </w:p>
    <w:p w14:paraId="3D87750A" w14:textId="2332660B" w:rsidR="005D2725" w:rsidRDefault="005D2725" w:rsidP="002C3348">
      <w:pPr>
        <w:pStyle w:val="Correspondencedetails"/>
        <w:spacing w:line="240" w:lineRule="auto"/>
      </w:pPr>
      <w:r>
        <w:t xml:space="preserve">Jonas Björk is </w:t>
      </w:r>
    </w:p>
    <w:p w14:paraId="4C14B80F" w14:textId="0FFE5066" w:rsidR="005D2725" w:rsidRDefault="005D2725" w:rsidP="002C3348">
      <w:pPr>
        <w:pStyle w:val="Correspondencedetails"/>
        <w:spacing w:line="240" w:lineRule="auto"/>
      </w:pPr>
      <w:r>
        <w:t>Susanne Iwarsson is</w:t>
      </w:r>
    </w:p>
    <w:p w14:paraId="3E568761" w14:textId="77777777" w:rsidR="00C14585" w:rsidRDefault="00C14585" w:rsidP="002C3348">
      <w:pPr>
        <w:pStyle w:val="Notesoncontributors"/>
        <w:spacing w:line="240" w:lineRule="auto"/>
      </w:pPr>
      <w:r>
        <w:t>Provide short biographical notes on all contributors here if the journal requires them.</w:t>
      </w:r>
    </w:p>
    <w:p w14:paraId="18946F94" w14:textId="6C672909" w:rsidR="00C246C5" w:rsidRDefault="00C14585" w:rsidP="002C3348">
      <w:pPr>
        <w:pStyle w:val="Articletitle"/>
        <w:spacing w:line="240" w:lineRule="auto"/>
      </w:pPr>
      <w:r>
        <w:br w:type="page"/>
      </w:r>
      <w:r w:rsidR="00454425">
        <w:lastRenderedPageBreak/>
        <w:t>The Value of location: What Matters Most for Older Adults Considering Relocation in Sweden?</w:t>
      </w:r>
    </w:p>
    <w:p w14:paraId="7157023F" w14:textId="69E0B782" w:rsidR="00454425" w:rsidRPr="00454425" w:rsidRDefault="00454425" w:rsidP="002C3348">
      <w:pPr>
        <w:pStyle w:val="Keywords"/>
        <w:spacing w:line="240" w:lineRule="auto"/>
        <w:rPr>
          <w:lang w:val="en-US"/>
        </w:rPr>
      </w:pPr>
      <w:r w:rsidRPr="00454425">
        <w:rPr>
          <w:lang w:val="en-US"/>
        </w:rPr>
        <w:t xml:space="preserve">We examined heterogeneity in housing preferences among older adults in </w:t>
      </w:r>
      <w:r w:rsidR="00154663">
        <w:rPr>
          <w:lang w:val="en-US"/>
        </w:rPr>
        <w:t>S</w:t>
      </w:r>
      <w:r w:rsidRPr="00454425">
        <w:rPr>
          <w:lang w:val="en-US"/>
        </w:rPr>
        <w:t xml:space="preserve">weden using discrete choice experiment data (n = 957; mean age = 72; 55.3% women). Respondents assessed trade-offs between key residential attributes, including proximity to shops and services, green spaces, access to public transportation, dedicated parking, and planned monthly expenses. We estimate mixed logit models to recover marginal </w:t>
      </w:r>
      <w:proofErr w:type="gramStart"/>
      <w:r w:rsidRPr="00454425">
        <w:rPr>
          <w:lang w:val="en-US"/>
        </w:rPr>
        <w:t>willingness</w:t>
      </w:r>
      <w:proofErr w:type="gramEnd"/>
      <w:r w:rsidRPr="00454425">
        <w:rPr>
          <w:lang w:val="en-US"/>
        </w:rPr>
        <w:t xml:space="preserve"> to pay estimates for each attribute, including interactions with age, gender, and income to capture systematic variation in preferences. The results show that individuals in the oldest age groups expressed significantly higher willingness to pay for several attributes, with values around 1.5 times greater than those of younger respondents. We identified meaningful differences by gender and tenure status, reflecting underlying patterns of social inequality in later life. These findings contribute policy-relevant evidence to support the development of age-inclusive housing strategies that address both diverse preferences and structural disparities in residential choice.</w:t>
      </w:r>
    </w:p>
    <w:p w14:paraId="5A100464" w14:textId="0EC20BD4" w:rsidR="0020415E" w:rsidRPr="0020415E" w:rsidRDefault="00997B0F" w:rsidP="002C3348">
      <w:pPr>
        <w:pStyle w:val="Keywords"/>
        <w:spacing w:line="240" w:lineRule="auto"/>
      </w:pPr>
      <w:r>
        <w:t xml:space="preserve">Keywords: </w:t>
      </w:r>
      <w:r w:rsidR="00454425">
        <w:t>stated choice</w:t>
      </w:r>
      <w:r>
        <w:t xml:space="preserve">; </w:t>
      </w:r>
      <w:r w:rsidR="00454425">
        <w:t>discrete choice</w:t>
      </w:r>
      <w:r>
        <w:t xml:space="preserve">; </w:t>
      </w:r>
      <w:r w:rsidR="00454425">
        <w:t>ageing in place; housing; housing preferences</w:t>
      </w:r>
    </w:p>
    <w:p w14:paraId="1ADD0C69" w14:textId="06C7ADAE" w:rsidR="00997B0F" w:rsidRDefault="00454425" w:rsidP="002C3348">
      <w:pPr>
        <w:pStyle w:val="Heading1"/>
        <w:spacing w:line="240" w:lineRule="auto"/>
      </w:pPr>
      <w:r>
        <w:t>Introduction</w:t>
      </w:r>
    </w:p>
    <w:p w14:paraId="0D358BF5" w14:textId="7E42319C" w:rsidR="00454425" w:rsidRPr="00454425" w:rsidRDefault="00454425" w:rsidP="002C3348">
      <w:pPr>
        <w:pStyle w:val="Paragraph"/>
        <w:spacing w:line="240" w:lineRule="auto"/>
        <w:rPr>
          <w:lang w:val="en-US"/>
        </w:rPr>
      </w:pPr>
      <w:r w:rsidRPr="00454425">
        <w:rPr>
          <w:lang w:val="en-US"/>
        </w:rPr>
        <w:t xml:space="preserve">Population ageing is reshaping housing markets and social </w:t>
      </w:r>
      <w:proofErr w:type="gramStart"/>
      <w:r w:rsidRPr="00454425">
        <w:rPr>
          <w:lang w:val="en-US"/>
        </w:rPr>
        <w:t>policy</w:t>
      </w:r>
      <w:proofErr w:type="gramEnd"/>
      <w:r w:rsidRPr="00454425">
        <w:rPr>
          <w:lang w:val="en-US"/>
        </w:rPr>
        <w:t xml:space="preserve"> across the globe. Older adults now comprise an increasing share of the population in most developed </w:t>
      </w:r>
      <w:proofErr w:type="gramStart"/>
      <w:r w:rsidRPr="00454425">
        <w:rPr>
          <w:lang w:val="en-US"/>
        </w:rPr>
        <w:t>countries,</w:t>
      </w:r>
      <w:r w:rsidR="00B31850">
        <w:rPr>
          <w:lang w:val="en-US"/>
        </w:rPr>
        <w:t>(</w:t>
      </w:r>
      <w:proofErr w:type="gramEnd"/>
      <w:r w:rsidR="00B31850">
        <w:rPr>
          <w:lang w:val="en-US"/>
        </w:rPr>
        <w:t>SOURCE)</w:t>
      </w:r>
      <w:r w:rsidRPr="00454425">
        <w:rPr>
          <w:lang w:val="en-US"/>
        </w:rPr>
        <w:t xml:space="preserve"> raising urgent questions about how to adapt existing housing stock and urban environments to meet evolving needs. Research consistently shows that most older adults prefer to age in place, remaining in familiar surroundings rather than relocating to institutional care or new environments (Abramsson &amp; Andersson, 2015). Yet as mobility, health, and social circumstances change, relocation decisions become inevitable for a growing number of older individuals. Understanding which residential and locational attributes influence these choices is critical for planning age-friendly housing and communities.</w:t>
      </w:r>
    </w:p>
    <w:p w14:paraId="34CB99E4" w14:textId="57198D7C" w:rsidR="00454425" w:rsidRPr="00454425" w:rsidRDefault="00454425" w:rsidP="002C3348">
      <w:pPr>
        <w:pStyle w:val="Paragraph"/>
        <w:spacing w:line="240" w:lineRule="auto"/>
        <w:ind w:firstLine="720"/>
        <w:rPr>
          <w:lang w:val="en-US"/>
        </w:rPr>
      </w:pPr>
      <w:r w:rsidRPr="00454425">
        <w:rPr>
          <w:lang w:val="en-US"/>
        </w:rPr>
        <w:t xml:space="preserve">As the older population expands, municipalities face mounting challenges in providing suitable housing options for those considering relocation. </w:t>
      </w:r>
      <w:r w:rsidR="00B31850">
        <w:rPr>
          <w:lang w:val="en-US"/>
        </w:rPr>
        <w:t xml:space="preserve">(SOURCES) </w:t>
      </w:r>
      <w:r w:rsidRPr="00454425">
        <w:rPr>
          <w:lang w:val="en-US"/>
        </w:rPr>
        <w:t>Evidence on how older adults value key residential characteristics</w:t>
      </w:r>
      <w:r w:rsidR="00280BC4">
        <w:rPr>
          <w:lang w:val="en-US"/>
        </w:rPr>
        <w:t xml:space="preserve"> </w:t>
      </w:r>
      <w:r w:rsidRPr="00454425">
        <w:rPr>
          <w:lang w:val="en-US"/>
        </w:rPr>
        <w:t>remains limited, particularly from the perspective of individuals actively engaged in the relocation process. This knowledge gap restricts the ability of planners and housing providers to design neighbourhoods and dwellings that align with older residents' preferences and constraints.</w:t>
      </w:r>
    </w:p>
    <w:p w14:paraId="01DB9FE4" w14:textId="02628C0E" w:rsidR="00454425" w:rsidRPr="00454425" w:rsidRDefault="00454425" w:rsidP="002C3348">
      <w:pPr>
        <w:pStyle w:val="Paragraph"/>
        <w:spacing w:line="240" w:lineRule="auto"/>
        <w:ind w:firstLine="720"/>
        <w:rPr>
          <w:lang w:val="en-US"/>
        </w:rPr>
      </w:pPr>
      <w:r w:rsidRPr="00454425">
        <w:rPr>
          <w:lang w:val="en-US"/>
        </w:rPr>
        <w:t xml:space="preserve">Most studies of older adults' housing preferences have relied on revealed-preference approaches or small, context-specific samples, which offer incomplete accounts of how individuals weigh competing housing attributes. Stated-preference methods, particularly discrete choice experiments (DCEs), present a promising alternative: recent work by Ossokina and Arentze (2022) and Caplan et al. (2021) demonstrates their capacity to quantify trade-offs between housing and locational features in the Netherlands and United States, respectively. However, applications in Scandinavian contexts remain limited, as do studies that include both homeowners and renters within </w:t>
      </w:r>
      <w:r w:rsidR="00280BC4">
        <w:rPr>
          <w:lang w:val="en-US"/>
        </w:rPr>
        <w:t>broader</w:t>
      </w:r>
      <w:r w:rsidRPr="00454425">
        <w:rPr>
          <w:lang w:val="en-US"/>
        </w:rPr>
        <w:t xml:space="preserve"> age groups. Equally underexplored is the question of preference </w:t>
      </w:r>
      <w:r w:rsidRPr="00454425">
        <w:rPr>
          <w:lang w:val="en-US"/>
        </w:rPr>
        <w:lastRenderedPageBreak/>
        <w:t>heterogeneity</w:t>
      </w:r>
      <w:r w:rsidR="00280BC4">
        <w:rPr>
          <w:lang w:val="en-US"/>
        </w:rPr>
        <w:t xml:space="preserve">, </w:t>
      </w:r>
      <w:r w:rsidRPr="00454425">
        <w:rPr>
          <w:lang w:val="en-US"/>
        </w:rPr>
        <w:t xml:space="preserve">specifically, how valuations of housing attributes vary systematically with age, </w:t>
      </w:r>
      <w:r w:rsidR="00280BC4">
        <w:rPr>
          <w:lang w:val="en-US"/>
        </w:rPr>
        <w:t>gender</w:t>
      </w:r>
      <w:r w:rsidRPr="00454425">
        <w:rPr>
          <w:lang w:val="en-US"/>
        </w:rPr>
        <w:t>, or household structure.</w:t>
      </w:r>
    </w:p>
    <w:p w14:paraId="0DE4612A" w14:textId="6ABB457B" w:rsidR="00EF0F45" w:rsidRPr="00B05EF7" w:rsidRDefault="00454425" w:rsidP="002C3348">
      <w:pPr>
        <w:pStyle w:val="Paragraph"/>
        <w:spacing w:line="240" w:lineRule="auto"/>
        <w:ind w:firstLine="720"/>
        <w:rPr>
          <w:lang w:val="en-US"/>
        </w:rPr>
      </w:pPr>
      <w:r w:rsidRPr="00454425">
        <w:rPr>
          <w:lang w:val="en-US"/>
        </w:rPr>
        <w:t xml:space="preserve">This paper addresses these gaps by examining heterogeneity in housing preferences among older individuals in Sweden using data from a large-scale discrete choice experiment (DCE) embedded in the Prospective RELOC-AGE project. We estimate mixed logit models to derive marginal willingness-to-pay (MWTP) values for key locational and amenity attributes, and we explore systematic differences by age, </w:t>
      </w:r>
      <w:r w:rsidR="00280BC4">
        <w:rPr>
          <w:lang w:val="en-US"/>
        </w:rPr>
        <w:t>gender</w:t>
      </w:r>
      <w:r w:rsidRPr="00454425">
        <w:rPr>
          <w:lang w:val="en-US"/>
        </w:rPr>
        <w:t>, and tenure. The study contributes to the literature on ageing and housing choice by providing novel evidence on how older adults evaluate potential relocation alternatives within a policy environment emphasizing ageing in place and social inclusion.</w:t>
      </w:r>
      <w:r w:rsidR="00095E61">
        <w:tab/>
      </w:r>
    </w:p>
    <w:p w14:paraId="1101F6B5" w14:textId="77777777" w:rsidR="00454425" w:rsidRPr="00454425" w:rsidRDefault="00454425" w:rsidP="002C3348">
      <w:pPr>
        <w:pStyle w:val="Heading1"/>
        <w:spacing w:line="240" w:lineRule="auto"/>
        <w:rPr>
          <w:lang w:val="en-US"/>
        </w:rPr>
      </w:pPr>
      <w:r w:rsidRPr="00454425">
        <w:rPr>
          <w:lang w:val="en-US"/>
        </w:rPr>
        <w:t>Literature Review</w:t>
      </w:r>
    </w:p>
    <w:p w14:paraId="0D705297" w14:textId="38731FBC" w:rsidR="00FF6CE8" w:rsidRDefault="00454425" w:rsidP="002C3348">
      <w:pPr>
        <w:pStyle w:val="Heading2"/>
        <w:spacing w:line="240" w:lineRule="auto"/>
      </w:pPr>
      <w:r>
        <w:t>Housing and Ageing</w:t>
      </w:r>
    </w:p>
    <w:p w14:paraId="30A9010A" w14:textId="1F56877E" w:rsidR="00454425" w:rsidRPr="00454425" w:rsidRDefault="00454425" w:rsidP="002C3348">
      <w:pPr>
        <w:pStyle w:val="Paragraph"/>
        <w:spacing w:line="240" w:lineRule="auto"/>
        <w:rPr>
          <w:lang w:val="en-US"/>
        </w:rPr>
      </w:pPr>
      <w:r w:rsidRPr="00454425">
        <w:rPr>
          <w:lang w:val="en-US"/>
        </w:rPr>
        <w:t xml:space="preserve">Population ageing is increasingly shaping the demand for housing, both in terms of quantity and quality. Older adults spend a greater share of their time at home and rely on their residential environment for daily functioning, social contact, and </w:t>
      </w:r>
      <w:proofErr w:type="gramStart"/>
      <w:r w:rsidRPr="00454425">
        <w:rPr>
          <w:lang w:val="en-US"/>
        </w:rPr>
        <w:t>wellbeing</w:t>
      </w:r>
      <w:r w:rsidR="00B31850">
        <w:rPr>
          <w:lang w:val="en-US"/>
        </w:rPr>
        <w:t>(</w:t>
      </w:r>
      <w:proofErr w:type="gramEnd"/>
      <w:r w:rsidR="00B31850">
        <w:rPr>
          <w:lang w:val="en-US"/>
        </w:rPr>
        <w:t>SOURCE)</w:t>
      </w:r>
      <w:r w:rsidRPr="00454425">
        <w:rPr>
          <w:lang w:val="en-US"/>
        </w:rPr>
        <w:t xml:space="preserve">. The concept of “ageing in place” has become central to housing policy </w:t>
      </w:r>
      <w:r w:rsidR="00280BC4">
        <w:rPr>
          <w:lang w:val="en-US"/>
        </w:rPr>
        <w:t>in many places across the world</w:t>
      </w:r>
      <w:r w:rsidRPr="00454425">
        <w:rPr>
          <w:lang w:val="en-US"/>
        </w:rPr>
        <w:t xml:space="preserve">, emphasizing the </w:t>
      </w:r>
      <w:r w:rsidR="00280BC4">
        <w:rPr>
          <w:lang w:val="en-US"/>
        </w:rPr>
        <w:t>desire</w:t>
      </w:r>
      <w:r w:rsidRPr="00454425">
        <w:rPr>
          <w:lang w:val="en-US"/>
        </w:rPr>
        <w:t xml:space="preserve"> of older adults to remain in familiar surroundings for as long as possible. </w:t>
      </w:r>
      <w:r w:rsidR="00B31850">
        <w:rPr>
          <w:lang w:val="en-US"/>
        </w:rPr>
        <w:t>(SOURCE)</w:t>
      </w:r>
      <w:r w:rsidRPr="00454425">
        <w:rPr>
          <w:lang w:val="en-US"/>
        </w:rPr>
        <w:t xml:space="preserve">However, </w:t>
      </w:r>
      <w:r w:rsidR="002C3348">
        <w:rPr>
          <w:lang w:val="en-US"/>
        </w:rPr>
        <w:t xml:space="preserve">a key pillar of </w:t>
      </w:r>
      <w:r w:rsidRPr="00454425">
        <w:rPr>
          <w:lang w:val="en-US"/>
        </w:rPr>
        <w:t>ageing in place depends on the suitability of existing housing and the availability of accessible alternatives when relocation becomes necessary.</w:t>
      </w:r>
    </w:p>
    <w:p w14:paraId="5E99B113" w14:textId="72BA49E4" w:rsidR="00454425" w:rsidRPr="00454425" w:rsidRDefault="00454425" w:rsidP="002C3348">
      <w:pPr>
        <w:pStyle w:val="Paragraph"/>
        <w:spacing w:line="240" w:lineRule="auto"/>
        <w:ind w:firstLine="720"/>
        <w:rPr>
          <w:lang w:val="en-US"/>
        </w:rPr>
      </w:pPr>
      <w:r w:rsidRPr="00454425">
        <w:rPr>
          <w:lang w:val="en-US"/>
        </w:rPr>
        <w:t xml:space="preserve">Previous studies highlight that relocation decisions among older adults are influenced by a combination of physical, social, and economic </w:t>
      </w:r>
      <w:proofErr w:type="gramStart"/>
      <w:r w:rsidRPr="00454425">
        <w:rPr>
          <w:lang w:val="en-US"/>
        </w:rPr>
        <w:t>factors</w:t>
      </w:r>
      <w:r w:rsidR="00B31850">
        <w:rPr>
          <w:lang w:val="en-US"/>
        </w:rPr>
        <w:t>(</w:t>
      </w:r>
      <w:proofErr w:type="gramEnd"/>
      <w:r w:rsidR="00B31850">
        <w:rPr>
          <w:lang w:val="en-US"/>
        </w:rPr>
        <w:t>SOURCES)</w:t>
      </w:r>
      <w:r w:rsidRPr="00454425">
        <w:rPr>
          <w:lang w:val="en-US"/>
        </w:rPr>
        <w:t>. Physical accessibility, proximity to services, safety, and neighbourhood characteristics are repeatedly identified as key determinants of housing satisfaction and relocation intentions</w:t>
      </w:r>
      <w:r w:rsidR="002C3348">
        <w:rPr>
          <w:lang w:val="en-US"/>
        </w:rPr>
        <w:t xml:space="preserve"> </w:t>
      </w:r>
      <w:r w:rsidRPr="00454425">
        <w:rPr>
          <w:lang w:val="en-US"/>
        </w:rPr>
        <w:t xml:space="preserve"> </w:t>
      </w:r>
      <w:r w:rsidR="002C3348">
        <w:rPr>
          <w:lang w:val="en-US"/>
        </w:rPr>
        <w:fldChar w:fldCharType="begin"/>
      </w:r>
      <w:r w:rsidR="002C3348">
        <w:rPr>
          <w:lang w:val="en-US"/>
        </w:rPr>
        <w:instrText xml:space="preserve"> ADDIN ZOTERO_ITEM CSL_CITATION {"citationID":"OrBl8Nrk","properties":{"formattedCitation":"(Abramsson &amp; Andersson, 2015)","plainCitation":"(Abramsson &amp; Andersson, 2015)","noteIndex":0},"citationItems":[{"id":2355,"uris":["http://zotero.org/users/3783483/items/IGYP2T9W"],"itemData":{"id":2355,"type":"article-journal","abstract":"The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2C3348">
        <w:rPr>
          <w:lang w:val="en-US"/>
        </w:rPr>
        <w:fldChar w:fldCharType="separate"/>
      </w:r>
      <w:r w:rsidR="002C3348" w:rsidRPr="002C3348">
        <w:t>(Abramsson &amp; Andersson, 2015)</w:t>
      </w:r>
      <w:r w:rsidR="002C3348">
        <w:rPr>
          <w:lang w:val="en-US"/>
        </w:rPr>
        <w:fldChar w:fldCharType="end"/>
      </w:r>
      <w:r w:rsidRPr="00454425">
        <w:rPr>
          <w:lang w:val="en-US"/>
        </w:rPr>
        <w:t xml:space="preserve">. </w:t>
      </w:r>
      <w:r w:rsidRPr="00B31850">
        <w:rPr>
          <w:highlight w:val="yellow"/>
          <w:lang w:val="en-US"/>
        </w:rPr>
        <w:t>At the same time, the symbolic and emotional meaning of home—particularly attachment to place and community—plays a critical role in shaping preferences (Rowles and Bernard 2013).</w:t>
      </w:r>
    </w:p>
    <w:p w14:paraId="492B1AF1" w14:textId="3E3704F9" w:rsidR="00454425" w:rsidRDefault="00454425" w:rsidP="002C3348">
      <w:pPr>
        <w:pStyle w:val="Paragraph"/>
        <w:spacing w:line="240" w:lineRule="auto"/>
        <w:ind w:firstLine="720"/>
        <w:rPr>
          <w:lang w:val="en-US"/>
        </w:rPr>
      </w:pPr>
      <w:r w:rsidRPr="00454425">
        <w:rPr>
          <w:lang w:val="en-US"/>
        </w:rPr>
        <w:t>Despite growing recognition of these issues, empirical evidence on how older adults value specific residential attributes remains limited. Much of the literature has focused on life-course transitions, housing tenure, and affordability (</w:t>
      </w:r>
      <w:r w:rsidR="00B31850">
        <w:rPr>
          <w:lang w:val="en-US"/>
        </w:rPr>
        <w:t>SOURCES</w:t>
      </w:r>
      <w:r w:rsidRPr="00454425">
        <w:rPr>
          <w:lang w:val="en-US"/>
        </w:rPr>
        <w:t xml:space="preserve">), but relatively few studies quantify trade-offs among housing and locational characteristics. </w:t>
      </w:r>
      <w:r w:rsidRPr="00B31850">
        <w:rPr>
          <w:highlight w:val="yellow"/>
          <w:lang w:val="en-US"/>
        </w:rPr>
        <w:t>This lack of quantitative evidence constrains the ability of planners and policymakers to anticipate future housing needs in ageing societies.</w:t>
      </w:r>
    </w:p>
    <w:p w14:paraId="3ACAAB0F" w14:textId="3AA173E4" w:rsidR="00154663" w:rsidRDefault="00B12A0D" w:rsidP="002C3348">
      <w:pPr>
        <w:pStyle w:val="Heading2"/>
        <w:spacing w:line="240" w:lineRule="auto"/>
        <w:rPr>
          <w:lang w:val="en-US"/>
        </w:rPr>
      </w:pPr>
      <w:r>
        <w:rPr>
          <w:lang w:val="en-US"/>
        </w:rPr>
        <w:t>Stated Choice Models</w:t>
      </w:r>
    </w:p>
    <w:p w14:paraId="22980811" w14:textId="3346CADD" w:rsidR="005D2725" w:rsidRPr="005D2725" w:rsidRDefault="005D2725" w:rsidP="002C3348">
      <w:pPr>
        <w:pStyle w:val="Paragraph"/>
        <w:spacing w:line="240" w:lineRule="auto"/>
        <w:rPr>
          <w:lang w:val="en-US"/>
        </w:rPr>
      </w:pPr>
      <w:r w:rsidRPr="005D2725">
        <w:rPr>
          <w:lang w:val="en-US"/>
        </w:rPr>
        <w:t xml:space="preserve">Stated choice models have emerged as powerful tools for examining preferences for housing and </w:t>
      </w:r>
      <w:r w:rsidR="002C3348" w:rsidRPr="005D2725">
        <w:rPr>
          <w:lang w:val="en-US"/>
        </w:rPr>
        <w:t>neighborhood</w:t>
      </w:r>
      <w:r w:rsidRPr="005D2725">
        <w:rPr>
          <w:lang w:val="en-US"/>
        </w:rPr>
        <w:t xml:space="preserve"> attributes, particularly when market data are insufficient or unavailable. These methods ask respondents to make choices among hypothetical alternatives, allowing researchers to systematically vary attributes and isolate their effects on decision-making. Compared with revealed-preference approaches, stated choice methods offer greater control over attribute variation and can capture preferences for policy-relevant or non-market goods that may not be readily observable in actual </w:t>
      </w:r>
      <w:r w:rsidRPr="005D2725">
        <w:rPr>
          <w:lang w:val="en-US"/>
        </w:rPr>
        <w:lastRenderedPageBreak/>
        <w:t>housing transactions.</w:t>
      </w:r>
    </w:p>
    <w:p w14:paraId="3D7A439A" w14:textId="3ADADFAE" w:rsidR="005D2725" w:rsidRPr="005D2725" w:rsidRDefault="005D2725" w:rsidP="002C3348">
      <w:pPr>
        <w:pStyle w:val="Paragraph"/>
        <w:spacing w:line="240" w:lineRule="auto"/>
        <w:rPr>
          <w:lang w:val="en-US"/>
        </w:rPr>
      </w:pPr>
      <w:r w:rsidRPr="005D2725">
        <w:rPr>
          <w:lang w:val="en-US"/>
        </w:rPr>
        <w:t xml:space="preserve">Discrete choice experiments (DCEs) represent a specific and widely used form of stated choice methodology. In </w:t>
      </w:r>
      <w:proofErr w:type="gramStart"/>
      <w:r w:rsidRPr="005D2725">
        <w:rPr>
          <w:lang w:val="en-US"/>
        </w:rPr>
        <w:t>a DCE</w:t>
      </w:r>
      <w:proofErr w:type="gramEnd"/>
      <w:r w:rsidRPr="005D2725">
        <w:rPr>
          <w:lang w:val="en-US"/>
        </w:rPr>
        <w:t>, respondents are presented with choice sets containing two or more alternatives that vary systematically across predefined attributes, and they select their preferred option in each set. The approach is rooted in random utility theory</w:t>
      </w:r>
      <w:r w:rsidR="00E16352">
        <w:rPr>
          <w:lang w:val="en-US"/>
        </w:rPr>
        <w:t xml:space="preserve">. </w:t>
      </w:r>
      <w:r w:rsidRPr="005D2725">
        <w:rPr>
          <w:lang w:val="en-US"/>
        </w:rPr>
        <w:t>(McFadden, 1974; Louviere et al., 2000), which assumes that individuals choose the alternative that maximizes their utility based on observable attributes and unobserved factors. By observing patterns of choice across multiple scenarios, researchers can infer the relative importance of different attributes and estimate willingness-to-pay (WTP) values when a cost attribute is included. This capacity to quantify trade-offs makes DCEs particularly valuable in housing research, where individuals must balance multiple—often competing—considerations such as price, location, accessibility, and amenities.</w:t>
      </w:r>
    </w:p>
    <w:p w14:paraId="1680331B" w14:textId="77777777" w:rsidR="005D2725" w:rsidRPr="005D2725" w:rsidRDefault="005D2725" w:rsidP="002C3348">
      <w:pPr>
        <w:pStyle w:val="Paragraph"/>
        <w:spacing w:line="240" w:lineRule="auto"/>
        <w:rPr>
          <w:lang w:val="en-US"/>
        </w:rPr>
      </w:pPr>
      <w:r w:rsidRPr="005D2725">
        <w:rPr>
          <w:lang w:val="en-US"/>
        </w:rPr>
        <w:t>Applications of DCEs to housing have expanded considerably in recent decades. Early studies focused primarily on environmental amenities and locational factors, such as proximity to green spaces, transit, and urban services (Earnhart, 2002; Cho et al., 2005; Liao et al., 2015). More recent work has integrated socio-demographic and behavioural factors to explore heterogeneity in preferences across population subgroups. For example, Caplan et al. (2021) examined residential preferences along Utah's Wasatch Front and found substantial variation in willingness to pay for amenities such as green space and access to transit. Ossokina and Arentze (2022) demonstrated that housing decisions among older homeowners are reference-dependent, showing how individuals in the Netherlands value safety, accessibility, and social cohesion relative to their current housing situation. Similarly, Lee et al. (2025) analysed willingness to pay for circular and affordable housing among younger adults in South Korea, while Ardeshiri et al. (2024) used a dual DCE to distinguish between preferences for owner-occupied and investment properties in Sydney.</w:t>
      </w:r>
    </w:p>
    <w:p w14:paraId="4F354336" w14:textId="77777777" w:rsidR="005D2725" w:rsidRPr="005D2725" w:rsidRDefault="005D2725" w:rsidP="002C3348">
      <w:pPr>
        <w:pStyle w:val="Paragraph"/>
        <w:spacing w:line="240" w:lineRule="auto"/>
        <w:ind w:firstLine="720"/>
        <w:rPr>
          <w:lang w:val="en-US"/>
        </w:rPr>
      </w:pPr>
      <w:r w:rsidRPr="005D2725">
        <w:rPr>
          <w:lang w:val="en-US"/>
        </w:rPr>
        <w:t>Housing preferences are rarely uniform across individuals. Economic capacity, household composition, tenure status, and health conditions can all shape how people evaluate residential alternatives. Studies have shown that income influences willingness to pay for proximity and comfort amenities, while tenure reflects differences in security, attachment, and investment orientation (Opoku and Abdul-Muhmin, 2010; Wang and Li, 2004). Ageing itself introduces new dimensions of heterogeneity, as physical ability, mobility, and social networks evolve over time (Iwarsson et al., 2013). To capture this systematic variation, recent DCE studies have incorporated interaction terms and advanced econometric specifications. Both Caplan et al. (2021) and Ardeshiri et al. (2024) included demographic and lifestyle interactions to identify heterogeneous effects using mixed logit or latent class frameworks. These studies demonstrate that preferences for attributes such as proximity to amenities, green space, and transport depend strongly on income, age, and household characteristics. Such methods are particularly suitable for studying diverse populations like older adults, whose housing preferences may differ systematically by age, health status, income, or tenure arrangement.</w:t>
      </w:r>
    </w:p>
    <w:p w14:paraId="5423ECAC" w14:textId="40B113FA" w:rsidR="005D2725" w:rsidRPr="005D2725" w:rsidRDefault="005D2725" w:rsidP="002C3348">
      <w:pPr>
        <w:pStyle w:val="Paragraph"/>
        <w:spacing w:line="240" w:lineRule="auto"/>
        <w:ind w:firstLine="720"/>
        <w:rPr>
          <w:lang w:val="en-US"/>
        </w:rPr>
      </w:pPr>
      <w:r w:rsidRPr="005D2725">
        <w:rPr>
          <w:lang w:val="en-US"/>
        </w:rPr>
        <w:t xml:space="preserve">However, the evidence base for older populations remains thin, and most findings are context-specific, reflecting local housing systems and welfare regimes. Few studies have explicitly focused on older populations or systematically examined heterogeneity within this demographic. Most DCEs on housing preferences have been </w:t>
      </w:r>
      <w:r w:rsidRPr="005D2725">
        <w:rPr>
          <w:lang w:val="en-US"/>
        </w:rPr>
        <w:lastRenderedPageBreak/>
        <w:t>conducted among general adult samples, leaving considerable uncertainty about how preferences change with age, retirement, or tenure transitions. Moreover, applications in Scandinavian contexts remain rare, as do studies that include both homeowners and renters within older age groups. This gap is particularly consequential given the rapid ageing of populations across developed countries and the distinct housing systems and welfare regimes that characterize different national contexts.</w:t>
      </w:r>
    </w:p>
    <w:p w14:paraId="535075C9" w14:textId="77777777" w:rsidR="005D2725" w:rsidRPr="005D2725" w:rsidRDefault="005D2725" w:rsidP="002C3348">
      <w:pPr>
        <w:pStyle w:val="Newparagraph"/>
        <w:spacing w:line="240" w:lineRule="auto"/>
        <w:rPr>
          <w:lang w:val="en-US"/>
        </w:rPr>
      </w:pPr>
      <w:bookmarkStart w:id="0" w:name="_Hlk212627481"/>
      <w:r w:rsidRPr="005D2725">
        <w:rPr>
          <w:lang w:val="en-US"/>
        </w:rPr>
        <w:t xml:space="preserve">This study contributes to closing this gap by employing a discrete choice experiment embedded within a large, national sample of older adults in Sweden. By combining a robust experimental design with mixed logit modelling, we identify key determinants of housing preferences and quantify their associated willingness-to-pay values across diverse subgroups. Specifically, we examine how preferences for proximity to green areas, shops, public transport, and parking amenities vary systematically by age, income, and tenure status among individuals actively considering relocation. In doing so, the study adds new empirical evidence to the literature on ageing and housing, demonstrating how demographic and economic differences translate into distinct patterns of residential choice within an ageing population. The findings offer policy-relevant insights </w:t>
      </w:r>
      <w:proofErr w:type="gramStart"/>
      <w:r w:rsidRPr="005D2725">
        <w:rPr>
          <w:lang w:val="en-US"/>
        </w:rPr>
        <w:t>for</w:t>
      </w:r>
      <w:proofErr w:type="gramEnd"/>
      <w:r w:rsidRPr="005D2725">
        <w:rPr>
          <w:lang w:val="en-US"/>
        </w:rPr>
        <w:t xml:space="preserve"> developing age-friendly housing strategies that accommodate heterogeneous preferences and address structural disparities in housing access among older adults.</w:t>
      </w:r>
    </w:p>
    <w:p w14:paraId="3525AE95" w14:textId="77777777" w:rsidR="00454425" w:rsidRDefault="00454425" w:rsidP="002C3348">
      <w:pPr>
        <w:pStyle w:val="Newparagraph"/>
        <w:spacing w:line="240" w:lineRule="auto"/>
        <w:rPr>
          <w:lang w:val="en-US"/>
        </w:rPr>
      </w:pPr>
    </w:p>
    <w:p w14:paraId="7583C7EB" w14:textId="0D7A1AD3" w:rsidR="00511E65" w:rsidRDefault="00511E65" w:rsidP="002C3348">
      <w:pPr>
        <w:pStyle w:val="Heading1"/>
        <w:spacing w:line="240" w:lineRule="auto"/>
        <w:rPr>
          <w:lang w:val="en-US"/>
        </w:rPr>
      </w:pPr>
      <w:r>
        <w:rPr>
          <w:lang w:val="en-US"/>
        </w:rPr>
        <w:t>Materials and Methods</w:t>
      </w:r>
    </w:p>
    <w:p w14:paraId="7915A8BE" w14:textId="529474FB" w:rsidR="009578AB" w:rsidRPr="009578AB" w:rsidRDefault="009578AB" w:rsidP="002C3348">
      <w:pPr>
        <w:pStyle w:val="Heading2"/>
        <w:spacing w:line="240" w:lineRule="auto"/>
        <w:rPr>
          <w:lang w:val="en-US"/>
        </w:rPr>
      </w:pPr>
      <w:r>
        <w:rPr>
          <w:lang w:val="en-US"/>
        </w:rPr>
        <w:t>Participants</w:t>
      </w:r>
    </w:p>
    <w:p w14:paraId="63027E35" w14:textId="77777777" w:rsidR="009578AB" w:rsidRPr="009578AB" w:rsidRDefault="009578AB" w:rsidP="002C3348">
      <w:pPr>
        <w:pStyle w:val="Paragraph"/>
        <w:spacing w:line="240" w:lineRule="auto"/>
        <w:rPr>
          <w:lang w:val="en-US"/>
        </w:rPr>
      </w:pPr>
      <w:r w:rsidRPr="009578AB">
        <w:rPr>
          <w:lang w:val="en-US"/>
        </w:rPr>
        <w:t>This paper utilizes survey and experiment data derived from the Prospective RELOC-AGE project, a longitudinal two-tiered mixed-method cohort investigation conducted in Sweden. The study was registered under the identifier NCT04765696 on ClinicalTrials.gov (U.S. National Library of Medicine, 2021).</w:t>
      </w:r>
      <w:hyperlink w:anchor="user-content-fn-1" w:history="1">
        <w:r w:rsidRPr="009578AB">
          <w:rPr>
            <w:lang w:val="en-US"/>
          </w:rPr>
          <w:t>1</w:t>
        </w:r>
      </w:hyperlink>
      <w:r w:rsidRPr="009578AB">
        <w:rPr>
          <w:lang w:val="en-US"/>
        </w:rPr>
        <w:t xml:space="preserve"> Data collection for this study was conducted in conjunction with the second follow-up survey administered in May 2024. A geographically diverse sample of individuals aged 55 and above was recruited across Sweden (see Figure 1).</w:t>
      </w:r>
    </w:p>
    <w:p w14:paraId="71B0B595" w14:textId="77777777" w:rsidR="009578AB" w:rsidRPr="009578AB" w:rsidRDefault="009578AB" w:rsidP="002C3348">
      <w:pPr>
        <w:pStyle w:val="Paragraph"/>
        <w:spacing w:line="240" w:lineRule="auto"/>
        <w:ind w:firstLine="720"/>
        <w:rPr>
          <w:lang w:val="en-US"/>
        </w:rPr>
      </w:pPr>
      <w:r w:rsidRPr="009578AB">
        <w:rPr>
          <w:lang w:val="en-US"/>
        </w:rPr>
        <w:t>The primary objective of the Prospective RELOC-AGE study was to explore the long-term dynamics associated with housing choices, relocation, and active and healthy ageing, focusing on individuals across the ageing process. Eligible participants were individuals aged 55 or older, residing in Sweden, and actively registered for relocation with one of three housing companies: two local public housing providers and a national provider of tenant-owned dwellings.</w:t>
      </w:r>
    </w:p>
    <w:p w14:paraId="6E984217" w14:textId="6008B0AB" w:rsidR="009578AB" w:rsidRPr="009578AB" w:rsidRDefault="009578AB" w:rsidP="002C3348">
      <w:pPr>
        <w:pStyle w:val="Heading2"/>
        <w:spacing w:line="240" w:lineRule="auto"/>
        <w:rPr>
          <w:lang w:val="en-US"/>
        </w:rPr>
      </w:pPr>
      <w:r w:rsidRPr="009578AB">
        <w:rPr>
          <w:lang w:val="en-US"/>
        </w:rPr>
        <w:t>Ethics</w:t>
      </w:r>
    </w:p>
    <w:p w14:paraId="7CF243AF" w14:textId="77777777" w:rsidR="009578AB" w:rsidRPr="009578AB" w:rsidRDefault="009578AB" w:rsidP="002C3348">
      <w:pPr>
        <w:pStyle w:val="Paragraph"/>
        <w:spacing w:line="240" w:lineRule="auto"/>
        <w:rPr>
          <w:lang w:val="en-US"/>
        </w:rPr>
      </w:pPr>
      <w:r w:rsidRPr="009578AB">
        <w:rPr>
          <w:lang w:val="en-US"/>
        </w:rPr>
        <w:t>The Prospective RELOC-AGE study was approved by the Swedish Ethical Review Authority (Dnr 2020–03457),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t>
      </w:r>
    </w:p>
    <w:p w14:paraId="751B89E1" w14:textId="486E89F4" w:rsidR="009578AB" w:rsidRPr="009578AB" w:rsidRDefault="009578AB" w:rsidP="002C3348">
      <w:pPr>
        <w:pStyle w:val="Heading2"/>
        <w:spacing w:line="240" w:lineRule="auto"/>
        <w:rPr>
          <w:lang w:val="en-US"/>
        </w:rPr>
      </w:pPr>
      <w:r w:rsidRPr="009578AB">
        <w:rPr>
          <w:lang w:val="en-US"/>
        </w:rPr>
        <w:lastRenderedPageBreak/>
        <w:t>Discrete choice experiment design</w:t>
      </w:r>
    </w:p>
    <w:p w14:paraId="3C857FF0" w14:textId="77777777" w:rsidR="009578AB" w:rsidRPr="009578AB" w:rsidRDefault="009578AB" w:rsidP="002C3348">
      <w:pPr>
        <w:pStyle w:val="Paragraph"/>
        <w:spacing w:line="240" w:lineRule="auto"/>
        <w:rPr>
          <w:lang w:val="en-US"/>
        </w:rPr>
      </w:pPr>
      <w:r w:rsidRPr="009578AB">
        <w:rPr>
          <w:lang w:val="en-US"/>
        </w:rPr>
        <w:t>Stated choice experiments encompass a range of techniques in which respondents indicate their preferences by explicitly stating their choices. In contrast to revealed choice experiments, where preferences are inferred from past behaviour, stated choice methods allow for the evaluation of decisions in a controlled environment. This controlled setting enables researchers to systematically manipulate attributes and isolate the impact of specific factors on decision-making. A discrete choice experiment (DCE) is a type of stated choice model that presents individuals with hypothetical scenarios, allowing researchers to quantify how much value respondents place on different attributes of a product, service, or housing option.</w:t>
      </w:r>
    </w:p>
    <w:p w14:paraId="6889F61F" w14:textId="77777777" w:rsidR="009578AB" w:rsidRPr="009578AB" w:rsidRDefault="009578AB" w:rsidP="002C3348">
      <w:pPr>
        <w:pStyle w:val="Paragraph"/>
        <w:spacing w:line="240" w:lineRule="auto"/>
        <w:ind w:firstLine="720"/>
        <w:rPr>
          <w:lang w:val="en-US"/>
        </w:rPr>
      </w:pPr>
      <w:r w:rsidRPr="009578AB">
        <w:rPr>
          <w:lang w:val="en-US"/>
        </w:rPr>
        <w:t>DCEs have been used in a variety of housing and ageing studies. Ossokina et al. (2020) estimate a stated choice experiment to study the residential preferences of elderly homeowners in the Netherlands, reporting that residential attributes connecting to safety and social cohesion play an important role for the elderly. Ossokina and Arentze (2022) examine reference-dependent housing choice behaviour among older adults, finding that proximity to public transport and shops significantly influences residential decisions.</w:t>
      </w:r>
    </w:p>
    <w:p w14:paraId="0FB3FE99" w14:textId="77777777" w:rsidR="009578AB" w:rsidRPr="009578AB" w:rsidRDefault="009578AB" w:rsidP="002C3348">
      <w:pPr>
        <w:pStyle w:val="Paragraph"/>
        <w:spacing w:line="240" w:lineRule="auto"/>
        <w:ind w:firstLine="720"/>
        <w:rPr>
          <w:lang w:val="en-US"/>
        </w:rPr>
      </w:pPr>
      <w:r w:rsidRPr="009578AB">
        <w:rPr>
          <w:lang w:val="en-US"/>
        </w:rPr>
        <w:t>Respondents were asked to choose the most desirable housing option from a set of alternatives containing varying levels of attributes. Each respondent was presented with nine choice scenarios, where each choice set contained random attribute levels. To reduce the dimensionality of a full factorial design, a D-optimal subset was generated that reduces dimensionality while maintaining statistical power.</w:t>
      </w:r>
    </w:p>
    <w:p w14:paraId="073AE650" w14:textId="7975471F" w:rsidR="009578AB" w:rsidRPr="009578AB" w:rsidRDefault="009578AB" w:rsidP="002C3348">
      <w:pPr>
        <w:pStyle w:val="Heading2"/>
        <w:spacing w:line="240" w:lineRule="auto"/>
        <w:rPr>
          <w:lang w:val="en-US"/>
        </w:rPr>
      </w:pPr>
      <w:r w:rsidRPr="009578AB">
        <w:rPr>
          <w:lang w:val="en-US"/>
        </w:rPr>
        <w:t>Attribute selection and levels</w:t>
      </w:r>
    </w:p>
    <w:p w14:paraId="79A23D69" w14:textId="5568515A" w:rsidR="009578AB" w:rsidRPr="009578AB" w:rsidRDefault="009578AB" w:rsidP="002C3348">
      <w:pPr>
        <w:pStyle w:val="Paragraph"/>
        <w:spacing w:line="240" w:lineRule="auto"/>
        <w:rPr>
          <w:lang w:val="en-US"/>
        </w:rPr>
      </w:pPr>
      <w:r w:rsidRPr="009578AB">
        <w:rPr>
          <w:lang w:val="en-US"/>
        </w:rPr>
        <w:t xml:space="preserve">The choice of attributes and associated levels in our study was guided by a combination of factors identified from the Prospective RELOC-AGE follow-up study and attributes </w:t>
      </w:r>
      <w:r w:rsidR="00B31850">
        <w:rPr>
          <w:lang w:val="en-US"/>
        </w:rPr>
        <w:t>identified</w:t>
      </w:r>
      <w:r w:rsidRPr="009578AB">
        <w:rPr>
          <w:lang w:val="en-US"/>
        </w:rPr>
        <w:t xml:space="preserve"> in the housing literature. The selected attributes reflect key elements of housing and </w:t>
      </w:r>
      <w:r w:rsidR="00B31850" w:rsidRPr="009578AB">
        <w:rPr>
          <w:lang w:val="en-US"/>
        </w:rPr>
        <w:t>neighborhood</w:t>
      </w:r>
      <w:r w:rsidRPr="009578AB">
        <w:rPr>
          <w:lang w:val="en-US"/>
        </w:rPr>
        <w:t xml:space="preserve"> quality that are particularly relevant for older adults' quality of life and residential satisfaction.</w:t>
      </w:r>
    </w:p>
    <w:p w14:paraId="460CAEB8" w14:textId="71481DBB" w:rsidR="009578AB" w:rsidRPr="009578AB" w:rsidRDefault="009578AB" w:rsidP="00B31850">
      <w:pPr>
        <w:pStyle w:val="Paragraph"/>
        <w:spacing w:line="240" w:lineRule="auto"/>
        <w:ind w:firstLine="720"/>
        <w:rPr>
          <w:lang w:val="en-US"/>
        </w:rPr>
      </w:pPr>
      <w:r w:rsidRPr="009578AB">
        <w:rPr>
          <w:lang w:val="en-US"/>
        </w:rPr>
        <w:t>Green space proximity has been examined in numerous contexts including improved cardiometabolic and general health (Paquet et al. 2013, Maas et al. 2006), lower stress (Nielsen and Hansen 2007), and improved mental health (Cohen-Cline et al. 2015, Sturm and Cohen 2014). The attribute greenspace is defined as the distance in kilometres to green areas including parks, forests, hiking areas, and open spaces.</w:t>
      </w:r>
      <w:r w:rsidR="00B31850">
        <w:rPr>
          <w:lang w:val="en-US"/>
        </w:rPr>
        <w:t xml:space="preserve">  </w:t>
      </w:r>
      <w:r w:rsidRPr="009578AB">
        <w:rPr>
          <w:lang w:val="en-US"/>
        </w:rPr>
        <w:t xml:space="preserve">Proximity to shops and services represents not only distance to frequent amenities which may become more burdensome to traverse with </w:t>
      </w:r>
      <w:proofErr w:type="gramStart"/>
      <w:r w:rsidRPr="009578AB">
        <w:rPr>
          <w:lang w:val="en-US"/>
        </w:rPr>
        <w:t>age, but</w:t>
      </w:r>
      <w:proofErr w:type="gramEnd"/>
      <w:r w:rsidRPr="009578AB">
        <w:rPr>
          <w:lang w:val="en-US"/>
        </w:rPr>
        <w:t xml:space="preserve"> also constitutes an integral social experience to participate in the social life of communities (Lucas et al. 2016). The attribute shops </w:t>
      </w:r>
      <w:proofErr w:type="gramStart"/>
      <w:r w:rsidRPr="009578AB">
        <w:rPr>
          <w:lang w:val="en-US"/>
        </w:rPr>
        <w:t>represents</w:t>
      </w:r>
      <w:proofErr w:type="gramEnd"/>
      <w:r w:rsidRPr="009578AB">
        <w:rPr>
          <w:lang w:val="en-US"/>
        </w:rPr>
        <w:t xml:space="preserve"> the distance to shopping amenities such as grocery stores, malls, boutiques, and shopping centres.</w:t>
      </w:r>
      <w:r w:rsidR="00B31850">
        <w:rPr>
          <w:lang w:val="en-US"/>
        </w:rPr>
        <w:t xml:space="preserve">  </w:t>
      </w:r>
      <w:r w:rsidRPr="009578AB">
        <w:rPr>
          <w:lang w:val="en-US"/>
        </w:rPr>
        <w:t>Access to public transportation has been shown to affect accessibility levels of populations, with significant differences identified in senior cohorts (Ricciardi et al. 2015, Hildebrand 2003, Alsnih and Hensher 2003). The attribute transport is the distance to transportation, such as a bus stop, metro station, or train station.</w:t>
      </w:r>
      <w:r w:rsidR="00B31850">
        <w:rPr>
          <w:lang w:val="en-US"/>
        </w:rPr>
        <w:t xml:space="preserve">  </w:t>
      </w:r>
      <w:r w:rsidRPr="009578AB">
        <w:rPr>
          <w:lang w:val="en-US"/>
        </w:rPr>
        <w:t xml:space="preserve">Parking availability may also affect acceptability, particularly for our sample where over 90% of respondents indicated access to an automobile. The attribute parking includes three levels: no reserved parking, a reserved parking space, or a reserved garage </w:t>
      </w:r>
      <w:proofErr w:type="gramStart"/>
      <w:r w:rsidRPr="009578AB">
        <w:rPr>
          <w:lang w:val="en-US"/>
        </w:rPr>
        <w:t>place</w:t>
      </w:r>
      <w:proofErr w:type="gramEnd"/>
      <w:r w:rsidRPr="009578AB">
        <w:rPr>
          <w:lang w:val="en-US"/>
        </w:rPr>
        <w:t>.</w:t>
      </w:r>
    </w:p>
    <w:p w14:paraId="6F97AE5E" w14:textId="77777777" w:rsidR="009578AB" w:rsidRPr="009578AB" w:rsidRDefault="009578AB" w:rsidP="002C3348">
      <w:pPr>
        <w:pStyle w:val="Paragraph"/>
        <w:spacing w:line="240" w:lineRule="auto"/>
        <w:ind w:firstLine="720"/>
        <w:rPr>
          <w:lang w:val="en-US"/>
        </w:rPr>
      </w:pPr>
      <w:r w:rsidRPr="009578AB">
        <w:rPr>
          <w:lang w:val="en-US"/>
        </w:rPr>
        <w:lastRenderedPageBreak/>
        <w:t>Housing cost represents the percentage change from respondent's planned housing cost in 10% intervals. The attribute price ranged from 20% less than planned cost to 20% more than planned cost.</w:t>
      </w:r>
    </w:p>
    <w:p w14:paraId="29095113" w14:textId="77777777" w:rsidR="009578AB" w:rsidRPr="009578AB" w:rsidRDefault="009578AB" w:rsidP="002C3348">
      <w:pPr>
        <w:pStyle w:val="Paragraph"/>
        <w:spacing w:line="240" w:lineRule="auto"/>
        <w:ind w:firstLine="720"/>
        <w:rPr>
          <w:lang w:val="en-US"/>
        </w:rPr>
      </w:pPr>
      <w:r w:rsidRPr="009578AB">
        <w:rPr>
          <w:lang w:val="en-US"/>
        </w:rPr>
        <w:t>We selected levels that allow for interpretability and viability of our willingness to pay estimates while holding certain attributes constant to make meaningful comparisons (Hensher et al. 2015). Table 1 shows the attributes and their corresponding levels used in the experiment.</w:t>
      </w:r>
    </w:p>
    <w:p w14:paraId="33A95989" w14:textId="77777777" w:rsidR="00EA0C07" w:rsidRDefault="00EA0C07" w:rsidP="002C3348">
      <w:pPr>
        <w:pStyle w:val="Paragraph"/>
        <w:spacing w:line="240" w:lineRule="auto"/>
        <w:ind w:firstLine="720"/>
        <w:rPr>
          <w:noProof/>
          <w:lang w:val="en-US"/>
        </w:rPr>
      </w:pPr>
    </w:p>
    <w:p w14:paraId="42666598" w14:textId="4E8BDEE8" w:rsidR="00EA0C07" w:rsidRDefault="00EA0C07" w:rsidP="00EA0C07">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p>
    <w:p w14:paraId="334D75D9" w14:textId="1C70EFB9" w:rsidR="00E4272E" w:rsidRDefault="00E4272E" w:rsidP="002C3348">
      <w:pPr>
        <w:pStyle w:val="Paragraph"/>
        <w:spacing w:line="240" w:lineRule="auto"/>
        <w:ind w:firstLine="720"/>
        <w:rPr>
          <w:lang w:val="en-US"/>
        </w:rPr>
      </w:pPr>
      <w:r w:rsidRPr="00E4272E">
        <w:rPr>
          <w:noProof/>
          <w:lang w:val="en-US"/>
        </w:rPr>
        <w:drawing>
          <wp:inline distT="0" distB="0" distL="0" distR="0" wp14:anchorId="0572517B" wp14:editId="45CE7525">
            <wp:extent cx="5322498" cy="2739833"/>
            <wp:effectExtent l="0" t="0" r="0" b="3810"/>
            <wp:docPr id="57223490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4900" name="Picture 1" descr="A screenshot of a table&#10;&#10;AI-generated content may be incorrect."/>
                    <pic:cNvPicPr/>
                  </pic:nvPicPr>
                  <pic:blipFill rotWithShape="1">
                    <a:blip r:embed="rId9"/>
                    <a:srcRect t="9412" r="1378"/>
                    <a:stretch>
                      <a:fillRect/>
                    </a:stretch>
                  </pic:blipFill>
                  <pic:spPr bwMode="auto">
                    <a:xfrm>
                      <a:off x="0" y="0"/>
                      <a:ext cx="5322498" cy="2739833"/>
                    </a:xfrm>
                    <a:prstGeom prst="rect">
                      <a:avLst/>
                    </a:prstGeom>
                    <a:ln>
                      <a:noFill/>
                    </a:ln>
                    <a:extLst>
                      <a:ext uri="{53640926-AAD7-44D8-BBD7-CCE9431645EC}">
                        <a14:shadowObscured xmlns:a14="http://schemas.microsoft.com/office/drawing/2010/main"/>
                      </a:ext>
                    </a:extLst>
                  </pic:spPr>
                </pic:pic>
              </a:graphicData>
            </a:graphic>
          </wp:inline>
        </w:drawing>
      </w:r>
    </w:p>
    <w:p w14:paraId="47FFC064" w14:textId="4752171C" w:rsidR="009578AB" w:rsidRDefault="009578AB" w:rsidP="002C3348">
      <w:pPr>
        <w:pStyle w:val="Paragraph"/>
        <w:spacing w:line="240" w:lineRule="auto"/>
        <w:ind w:firstLine="720"/>
        <w:rPr>
          <w:lang w:val="en-US"/>
        </w:rPr>
      </w:pPr>
      <w:r w:rsidRPr="009578AB">
        <w:rPr>
          <w:lang w:val="en-US"/>
        </w:rPr>
        <w:t>Before commencing the experiment, respondents were given a definition of each attribute, as well as an example to clarify any ambiguity in interpretation of the attributes. Respondents were also instructed to base each choice on the assumption that the alternative housing options were identical in every way aside from the attribute levels. Figure 2 depicts a typical choice set presented to the respondents.</w:t>
      </w:r>
    </w:p>
    <w:p w14:paraId="6BF78214" w14:textId="77777777" w:rsidR="00E4272E" w:rsidRDefault="00E4272E" w:rsidP="00E4272E">
      <w:pPr>
        <w:pStyle w:val="Newparagraph"/>
        <w:rPr>
          <w:lang w:val="en-US"/>
        </w:rPr>
      </w:pPr>
    </w:p>
    <w:p w14:paraId="440DF433" w14:textId="77777777" w:rsidR="00EA0C07" w:rsidRDefault="00E4272E" w:rsidP="00EA0C07">
      <w:pPr>
        <w:pStyle w:val="Newparagraph"/>
        <w:keepNext/>
      </w:pPr>
      <w:r>
        <w:rPr>
          <w:noProof/>
          <w:lang w:val="en-US"/>
        </w:rPr>
        <w:drawing>
          <wp:inline distT="0" distB="0" distL="0" distR="0" wp14:anchorId="630790E3" wp14:editId="676931C4">
            <wp:extent cx="5399405" cy="1839595"/>
            <wp:effectExtent l="0" t="0" r="0" b="8255"/>
            <wp:docPr id="332338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9405" cy="1839595"/>
                    </a:xfrm>
                    <a:prstGeom prst="rect">
                      <a:avLst/>
                    </a:prstGeom>
                    <a:noFill/>
                    <a:ln>
                      <a:noFill/>
                    </a:ln>
                  </pic:spPr>
                </pic:pic>
              </a:graphicData>
            </a:graphic>
          </wp:inline>
        </w:drawing>
      </w:r>
    </w:p>
    <w:p w14:paraId="4CBE91DC" w14:textId="18067DF5" w:rsidR="00E4272E" w:rsidRPr="009578AB" w:rsidRDefault="00EA0C07" w:rsidP="00EA0C07">
      <w:pPr>
        <w:pStyle w:val="Caption"/>
        <w:jc w:val="center"/>
        <w:rPr>
          <w:lang w:val="en-US"/>
        </w:rPr>
      </w:pPr>
      <w:r>
        <w:t xml:space="preserve">Figure </w:t>
      </w:r>
      <w:r>
        <w:fldChar w:fldCharType="begin"/>
      </w:r>
      <w:r>
        <w:instrText xml:space="preserve"> SEQ Figure \* ARABIC </w:instrText>
      </w:r>
      <w:r>
        <w:fldChar w:fldCharType="separate"/>
      </w:r>
      <w:r>
        <w:rPr>
          <w:noProof/>
        </w:rPr>
        <w:t>1</w:t>
      </w:r>
      <w:r>
        <w:fldChar w:fldCharType="end"/>
      </w:r>
    </w:p>
    <w:p w14:paraId="2F117AD4" w14:textId="5DCEB289" w:rsidR="009578AB" w:rsidRPr="009578AB" w:rsidRDefault="009578AB" w:rsidP="002C3348">
      <w:pPr>
        <w:pStyle w:val="Paragraph"/>
        <w:spacing w:line="240" w:lineRule="auto"/>
        <w:ind w:firstLine="720"/>
        <w:rPr>
          <w:lang w:val="en-US"/>
        </w:rPr>
      </w:pPr>
      <w:r w:rsidRPr="009578AB">
        <w:rPr>
          <w:lang w:val="en-US"/>
        </w:rPr>
        <w:t xml:space="preserve">The number of choice sets was limited to 9 </w:t>
      </w:r>
      <w:proofErr w:type="gramStart"/>
      <w:r w:rsidRPr="009578AB">
        <w:rPr>
          <w:lang w:val="en-US"/>
        </w:rPr>
        <w:t>in order to</w:t>
      </w:r>
      <w:proofErr w:type="gramEnd"/>
      <w:r w:rsidRPr="009578AB">
        <w:rPr>
          <w:lang w:val="en-US"/>
        </w:rPr>
        <w:t xml:space="preserve"> minimize the cognitive burden of the DCE while maximizing the statistical power of our tests (Mangham et al. </w:t>
      </w:r>
      <w:r w:rsidRPr="009578AB">
        <w:rPr>
          <w:lang w:val="en-US"/>
        </w:rPr>
        <w:lastRenderedPageBreak/>
        <w:t>2009, DeShazo and Fermo 2002).</w:t>
      </w:r>
      <w:r w:rsidR="00B31850" w:rsidRPr="009578AB">
        <w:rPr>
          <w:lang w:val="en-US"/>
        </w:rPr>
        <w:t xml:space="preserve"> </w:t>
      </w:r>
    </w:p>
    <w:p w14:paraId="4CA1E22B" w14:textId="77777777" w:rsidR="009578AB" w:rsidRPr="009578AB" w:rsidRDefault="009578AB" w:rsidP="002C3348">
      <w:pPr>
        <w:pStyle w:val="Paragraph"/>
        <w:spacing w:line="240" w:lineRule="auto"/>
        <w:ind w:firstLine="720"/>
        <w:rPr>
          <w:lang w:val="en-US"/>
        </w:rPr>
      </w:pPr>
      <w:r w:rsidRPr="009578AB">
        <w:rPr>
          <w:lang w:val="en-US"/>
        </w:rPr>
        <w:t>2.4. Pilot testing and instrument development</w:t>
      </w:r>
    </w:p>
    <w:p w14:paraId="796E6C93" w14:textId="77777777" w:rsidR="009578AB" w:rsidRPr="009578AB" w:rsidRDefault="009578AB" w:rsidP="002C3348">
      <w:pPr>
        <w:pStyle w:val="Paragraph"/>
        <w:spacing w:line="240" w:lineRule="auto"/>
        <w:ind w:firstLine="720"/>
        <w:rPr>
          <w:lang w:val="en-US"/>
        </w:rPr>
      </w:pPr>
      <w:r w:rsidRPr="009578AB">
        <w:rPr>
          <w:lang w:val="en-US"/>
        </w:rPr>
        <w:t>Prior to administering the DCE, we conducted an internal review and two pilot studies (n = 20; n = 56). The internal review involved researchers and staff within the University's network. The second pilot was administered to participants in Lund University's Intressentpoolen, a network of individuals collaborating with academia and society in the areas of ageing and health.</w:t>
      </w:r>
      <w:hyperlink w:anchor="user-content-fn-3" w:history="1">
        <w:r w:rsidRPr="009578AB">
          <w:rPr>
            <w:lang w:val="en-US"/>
          </w:rPr>
          <w:t>3</w:t>
        </w:r>
      </w:hyperlink>
    </w:p>
    <w:p w14:paraId="1C484541" w14:textId="77777777" w:rsidR="009578AB" w:rsidRPr="009578AB" w:rsidRDefault="009578AB" w:rsidP="002C3348">
      <w:pPr>
        <w:pStyle w:val="Paragraph"/>
        <w:spacing w:line="240" w:lineRule="auto"/>
        <w:ind w:firstLine="720"/>
        <w:rPr>
          <w:lang w:val="en-US"/>
        </w:rPr>
      </w:pPr>
      <w:r w:rsidRPr="009578AB">
        <w:rPr>
          <w:lang w:val="en-US"/>
        </w:rPr>
        <w:t>In both studies, respondents completed the experiment and a structured feedback form assessing the relevance of attributes, clarity of wording and levels, and overall task comprehension and burden. Feedback informed several revisions: clarifying attribute descriptions and levels; removing redundant instructional text; fine-tuning attribute ranges; and reducing the number of choice sets from 11 to 9 to manage respondent burden. Pilot data were also used to confirm that the planned sample size would provide adequate statistical power with stable parameter estimates.</w:t>
      </w:r>
    </w:p>
    <w:p w14:paraId="1B95A036" w14:textId="1E29C9E6" w:rsidR="009578AB" w:rsidRPr="009578AB" w:rsidRDefault="009578AB" w:rsidP="002C3348">
      <w:pPr>
        <w:pStyle w:val="Heading2"/>
        <w:spacing w:line="240" w:lineRule="auto"/>
        <w:rPr>
          <w:lang w:val="en-US"/>
        </w:rPr>
      </w:pPr>
      <w:r w:rsidRPr="009578AB">
        <w:rPr>
          <w:lang w:val="en-US"/>
        </w:rPr>
        <w:t>Data collection</w:t>
      </w:r>
    </w:p>
    <w:p w14:paraId="56300A0A" w14:textId="28D8C715" w:rsidR="009578AB" w:rsidRPr="009578AB" w:rsidRDefault="009578AB" w:rsidP="002C3348">
      <w:pPr>
        <w:pStyle w:val="Paragraph"/>
        <w:spacing w:line="240" w:lineRule="auto"/>
        <w:rPr>
          <w:lang w:val="en-US"/>
        </w:rPr>
      </w:pPr>
      <w:r w:rsidRPr="009578AB">
        <w:rPr>
          <w:lang w:val="en-US"/>
        </w:rPr>
        <w:t>The choice experiment was administered in conjunction with the follow-up Prospective RELOC-AGE survey in May 2024, where 1,247 respondents agreed to participate in the survey via a web-based platform.</w:t>
      </w:r>
      <w:r w:rsidR="00DA0669">
        <w:rPr>
          <w:lang w:val="en-US"/>
        </w:rPr>
        <w:t xml:space="preserve">  After the main survey was completed, respondents were asked </w:t>
      </w:r>
      <w:proofErr w:type="gramStart"/>
      <w:r w:rsidR="00DA0669">
        <w:rPr>
          <w:lang w:val="en-US"/>
        </w:rPr>
        <w:t>to partake</w:t>
      </w:r>
      <w:proofErr w:type="gramEnd"/>
      <w:r w:rsidR="00DA0669">
        <w:rPr>
          <w:lang w:val="en-US"/>
        </w:rPr>
        <w:t xml:space="preserve"> in the optional DCE.  </w:t>
      </w:r>
      <w:r w:rsidRPr="009578AB">
        <w:rPr>
          <w:lang w:val="en-US"/>
        </w:rPr>
        <w:t>Following the initial survey administration, two reminder emails were sent out to encourage participation in the DCE. The first in September 2024, to the entire respondent group, and another reminder in October 2024, targeting only those who had not taken the experiment portion of the survey. This resulted in an 80% increase from initial turnout. The final sample size of 957 individuals was finalized, representing a 73% response rate</w:t>
      </w:r>
      <w:r w:rsidR="00DA0669">
        <w:rPr>
          <w:lang w:val="en-US"/>
        </w:rPr>
        <w:t>.</w:t>
      </w:r>
    </w:p>
    <w:p w14:paraId="15759BF7" w14:textId="3D30D219" w:rsidR="00A06334" w:rsidRDefault="00A06334" w:rsidP="002C3348">
      <w:pPr>
        <w:pStyle w:val="Heading1"/>
        <w:spacing w:line="240" w:lineRule="auto"/>
        <w:rPr>
          <w:lang w:val="en-US"/>
        </w:rPr>
      </w:pPr>
      <w:r>
        <w:rPr>
          <w:lang w:val="en-US"/>
        </w:rPr>
        <w:t>Econometric model</w:t>
      </w:r>
    </w:p>
    <w:p w14:paraId="17D8D8F7" w14:textId="151450BC" w:rsidR="00F67B41" w:rsidRDefault="00F67B41" w:rsidP="00F67B41">
      <w:pPr>
        <w:pStyle w:val="Paragraph"/>
        <w:spacing w:line="240" w:lineRule="auto"/>
        <w:ind w:firstLine="720"/>
        <w:rPr>
          <w:lang w:val="en-US"/>
        </w:rPr>
      </w:pPr>
      <w:r w:rsidRPr="00F67B41">
        <w:rPr>
          <w:lang w:val="en-US"/>
        </w:rPr>
        <w:t>Utilizing the discrete choice data, respondent’s choices may be modelled within a random utility theory framework, which assumes individuals choose options which maximize their utility based upon available options</w:t>
      </w:r>
      <w:r>
        <w:rPr>
          <w:lang w:val="en-US"/>
        </w:rPr>
        <w:t xml:space="preserve"> </w:t>
      </w:r>
      <w:r>
        <w:rPr>
          <w:lang w:val="en-US"/>
        </w:rPr>
        <w:fldChar w:fldCharType="begin"/>
      </w:r>
      <w:r>
        <w:rPr>
          <w:lang w:val="en-US"/>
        </w:rPr>
        <w:instrText xml:space="preserve"> ADDIN ZOTERO_ITEM CSL_CITATION {"citationID":"vEoNP2OE","properties":{"formattedCitation":"(Lancsar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Pr>
          <w:lang w:val="en-US"/>
        </w:rPr>
        <w:fldChar w:fldCharType="separate"/>
      </w:r>
      <w:r w:rsidRPr="00F67B41">
        <w:rPr>
          <w:lang w:val="en-US"/>
        </w:rPr>
        <w:t>(Lancsar &amp; Louviere, 2008)</w:t>
      </w:r>
      <w:r>
        <w:rPr>
          <w:lang w:val="en-US"/>
        </w:rPr>
        <w:fldChar w:fldCharType="end"/>
      </w:r>
      <w:r>
        <w:rPr>
          <w:lang w:val="en-US"/>
        </w:rPr>
        <w:t xml:space="preserve">. </w:t>
      </w:r>
      <w:r w:rsidRPr="00F67B41">
        <w:rPr>
          <w:lang w:val="en-US"/>
        </w:rPr>
        <w:t>An underlying utility model can then be estimated where the utility that individual i derives from alternative j in a choice set t is given by:</w:t>
      </w:r>
    </w:p>
    <w:p w14:paraId="229F034F" w14:textId="77777777" w:rsidR="00F67B41" w:rsidRDefault="00F67B41" w:rsidP="00F67B41">
      <w:pPr>
        <w:pStyle w:val="Newparagraph"/>
        <w:rPr>
          <w:lang w:val="en-US"/>
        </w:rPr>
      </w:pPr>
    </w:p>
    <w:p w14:paraId="6A6177CF" w14:textId="3BCC30EF" w:rsidR="00F67B41" w:rsidRPr="00F67B41" w:rsidRDefault="00000000" w:rsidP="00F67B41">
      <w:pPr>
        <w:pStyle w:val="Newparagraph"/>
        <w:rPr>
          <w:lang w:val="en-US"/>
        </w:rPr>
      </w:pPr>
      <m:oMathPara>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m:t>
          </m:r>
        </m:oMath>
      </m:oMathPara>
    </w:p>
    <w:p w14:paraId="58E4D4F2" w14:textId="629837AC" w:rsidR="00F67B41" w:rsidRDefault="00F67B41" w:rsidP="00F67B41">
      <w:pPr>
        <w:pStyle w:val="Paragraph"/>
        <w:spacing w:line="24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oMath>
      <w:r>
        <w:rPr>
          <w:lang w:val="en-US"/>
        </w:rPr>
        <w:t xml:space="preserve"> </w:t>
      </w:r>
      <w:r w:rsidRPr="00F67B41">
        <w:rPr>
          <w:lang w:val="en-US"/>
        </w:rPr>
        <w:t xml:space="preserve">is the systematic component of utility, modelled as a function of the attributes of the alternative, and </w:t>
      </w: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m:t>
        </m:r>
      </m:oMath>
      <w:r w:rsidRPr="00F67B41">
        <w:rPr>
          <w:lang w:val="en-US"/>
        </w:rPr>
        <w:t>is an unobserved random error term. The systematic utility is specified as:</w:t>
      </w:r>
    </w:p>
    <w:p w14:paraId="4A13C5A1" w14:textId="77777777" w:rsidR="006B744D" w:rsidRPr="006B744D" w:rsidRDefault="006B744D" w:rsidP="006B744D">
      <w:pPr>
        <w:pStyle w:val="Newparagraph"/>
        <w:rPr>
          <w:lang w:val="en-US"/>
        </w:rPr>
      </w:pPr>
    </w:p>
    <w:p w14:paraId="34FD5E05" w14:textId="049C9F26" w:rsidR="00F67B41" w:rsidRPr="00F67B41" w:rsidRDefault="00000000" w:rsidP="00F67B41">
      <w:pPr>
        <w:pStyle w:val="Newparagraph"/>
        <w:rPr>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β1</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β2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 + βk</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oMath>
      </m:oMathPara>
    </w:p>
    <w:p w14:paraId="31ED5336" w14:textId="7DA047B0" w:rsidR="00F67B41" w:rsidRPr="00F67B41" w:rsidRDefault="00F67B41" w:rsidP="00F67B41">
      <w:pPr>
        <w:pStyle w:val="Paragraph"/>
        <w:spacing w:line="240" w:lineRule="auto"/>
        <w:rPr>
          <w:lang w:val="en-US"/>
        </w:rPr>
      </w:pPr>
      <w:r w:rsidRPr="00F67B41">
        <w:rPr>
          <w:lang w:val="en-US"/>
        </w:rPr>
        <w:lastRenderedPageBreak/>
        <w:t xml:space="preserve">where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 xml:space="preserve"> </m:t>
        </m:r>
      </m:oMath>
      <w:r w:rsidRPr="00F67B41">
        <w:rPr>
          <w:lang w:val="en-US"/>
        </w:rPr>
        <w:t xml:space="preserve">represents the level of attribute </w:t>
      </w:r>
      <w:r w:rsidRPr="00F67B41">
        <w:rPr>
          <w:i/>
          <w:iCs/>
          <w:lang w:val="en-US"/>
        </w:rPr>
        <w:t>k</w:t>
      </w:r>
      <w:r w:rsidRPr="00F67B41">
        <w:rPr>
          <w:lang w:val="en-US"/>
        </w:rPr>
        <w:t xml:space="preserve"> for alternative </w:t>
      </w:r>
      <w:r w:rsidRPr="00F67B41">
        <w:rPr>
          <w:i/>
          <w:iCs/>
          <w:lang w:val="en-US"/>
        </w:rPr>
        <w:t>j</w:t>
      </w:r>
      <w:r w:rsidRPr="00F67B41">
        <w:rPr>
          <w:lang w:val="en-US"/>
        </w:rPr>
        <w:t xml:space="preserve"> in task </w:t>
      </w:r>
      <w:r w:rsidRPr="00F67B41">
        <w:rPr>
          <w:i/>
          <w:iCs/>
          <w:lang w:val="en-US"/>
        </w:rPr>
        <w:t>t</w:t>
      </w:r>
      <w:r w:rsidRPr="00F67B41">
        <w:rPr>
          <w:lang w:val="en-US"/>
        </w:rPr>
        <w:t xml:space="preserve">, and </w:t>
      </w:r>
      <m:oMath>
        <m:r>
          <w:rPr>
            <w:rFonts w:ascii="Cambria Math" w:hAnsi="Cambria Math"/>
            <w:lang w:val="en-US"/>
          </w:rPr>
          <m:t>βk</m:t>
        </m:r>
      </m:oMath>
      <w:r w:rsidRPr="00F67B41">
        <w:rPr>
          <w:lang w:val="en-US"/>
        </w:rPr>
        <w:t xml:space="preserve"> are the corresponding utility coefficients to be estimated. Here,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 xml:space="preserve"> </m:t>
        </m:r>
      </m:oMath>
      <w:r w:rsidRPr="00F67B41">
        <w:rPr>
          <w:lang w:val="en-US"/>
        </w:rPr>
        <w:t>represent the respective attributes found in Table 1.</w:t>
      </w:r>
    </w:p>
    <w:p w14:paraId="789E1CF3" w14:textId="73919A9C" w:rsidR="00F67B41" w:rsidRDefault="00F67B41" w:rsidP="00F67B41">
      <w:pPr>
        <w:pStyle w:val="Paragraph"/>
        <w:spacing w:line="240" w:lineRule="auto"/>
        <w:ind w:firstLine="720"/>
        <w:rPr>
          <w:lang w:val="en-US"/>
        </w:rPr>
      </w:pPr>
      <w:r w:rsidRPr="00F67B41">
        <w:rPr>
          <w:lang w:val="en-US"/>
        </w:rPr>
        <w:t>While multinomial logit (MNL) models, which assume homogeneous preferences across respondents and independently and identically distributed (i.i.d.) error terms, are commonly estimated in choice modelling, they are problematic when the objective is to uncover heterogeneity in preferences, as in our study. Recent research addresses this limitation by allowing utility coefficients to vary across individuals or groups</w:t>
      </w:r>
      <w:r>
        <w:rPr>
          <w:lang w:val="en-US"/>
        </w:rPr>
        <w:t xml:space="preserve"> </w:t>
      </w:r>
      <w:r>
        <w:rPr>
          <w:lang w:val="en-US"/>
        </w:rPr>
        <w:fldChar w:fldCharType="begin"/>
      </w:r>
      <w:r w:rsidR="006B744D">
        <w:rPr>
          <w:lang w:val="en-US"/>
        </w:rPr>
        <w:instrText xml:space="preserve"> ADDIN ZOTERO_ITEM CSL_CITATION {"citationID":"wuWU5ytg","properties":{"unsorted":true,"formattedCitation":"(Caplan et al., 2021; Zhao et al., 2023; Ardeshiri et al., 2024; Aitken et al., 2024; Lee et al., 2025)","plainCitation":"(Caplan et al., 2021; Zhao et al., 2023; Ardeshiri et al., 2024; Aitken et al., 2024; Lee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B."},{"family":"Toll","given":"Kristopher"}],"issued":{"date-parts":[["2021",3]]},"citation-key":"caplanMeasuringHeterogeneousPreferences2021"}},{"id":2960,"uris":["http://zotero.org/users/3783483/items/3EY766UI"],"itemData":{"id":2960,"type":"article-journal","abstract":"Urban transportation systems involve thousands of individuals making choices between routes with multiple modes and transfers. For transportation system simulations to produce realistic results, modelers need to incorporate these users and their choices. Choice-based conjoint surveys provide an attractive solution for obtaining flexible utility models that can be used to predict choices for a wide variety of trips. In this study, we demonstrate an example using conjoint survey data of commuter mode choice in the Washington, D.C. metro area (N = 1651). We sample commuters who primarily drive and those that take transit. We examine preferences for different types of multimodal trips, including those with intramodal and intermodel transfers. We find that trips involving a bus transfer are the least preferred while both drivers and transit users both value metro similarly to driving. We also find that walking during transit trips is an important barrier, with the travel time penalty for walking being 60% higher than that of time in a vehicle. Our findings highlight the significance of accounting for differences in modal transfer types in transportation system simulations. Reducing arrival time uncertainty was not a significant factor in commuter mode choice, and commuters' value of time was similar across all vehicle types, suggesting that increasing the relative speed of transit modes may only have a marginal effect on commuter substitution away from personal vehicles.","container-title":"Systems Engineering","DOI":"10.1002/sys.21670","ISSN":"1520-6858","issue":"4","language":"en","note":"_eprint: https://onlinelibrary.wiley.com/doi/pdf/10.1002/sys.21670","page":"438-448","source":"Wiley Online Library","title":"Using conjoint analysis to incorporate heterogeneous preferences into multimodal transit trip simulations","volume":"26","author":[{"family":"Zhao","given":"Lujin"},{"family":"Szajnfarber","given":"Zoe"},{"family":"Broniatowski","given":"David"},{"family":"Helveston","given":"John Paul"}],"issued":{"date-parts":[["2023"]]},"citation-key":"zhaoUsingConjointAnalysis2023"}},{"id":4846,"uris":["http://zotero.org/users/3783483/items/TUE4V77N"],"itemData":{"id":4846,"type":"article-journal","abstract":"Exploring the housing preferences between owner-occupied and investment properties sheds light on housing market dynamics and consumer behaviors. Through discrete choice experiments we identify three segments: CBD, suburban, and exurban dwellers, and segment their preferences according to when purchasing a property to live in versus purchasing one as a small-scale investment. Our findings indicate that suburban dwellers are willing to pay \\2.924 million and \\2.246 million more, respectively, to live in a house rather than in an apartment or a townhouse. However, they would pay around \\682,000 more to invest in a house compared to a townhouse. CBD dwellers are willing to pay \\643 per month extra for a newer property and suburban investors would pay around \\540,000 extra for a property near the coast. CBD investors prioritize capital growth, while suburban and exurban investors are more concerned with rental return. All segments prefer Anglo-Australian neighborhoods, with suburban dwellers willing to pay \\1,430 more per month for them.","container-title":"Housing Studies","DOI":"10.1080/02673037.2024.2428749","ISSN":"0267-3037","issue":"0","note":"publisher: Routledge\n_eprint: https://doi.org/10.1080/02673037.2024.2428749","page":"1-23","source":"Taylor and Francis+NEJM","title":"Housing preferences for owner-occupied versus investment properties in Sydney, Australia","volume":"0","author":[{"family":"Ardeshiri","given":"Ali"},{"family":"Washington","given":"Lynette"},{"family":"Vij","given":"Akshay"},{"family":"Leishman","given":"Chris"},{"family":"Beer","given":"Andrew"}],"issued":{"date-parts":[["2024"]]},"citation-key":"ardeshiriHousingPreferencesOwneroccupied2024"}},{"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6B744D" w:rsidRPr="00127537">
        <w:rPr>
          <w:lang w:val="sv-SE"/>
        </w:rPr>
        <w:instrText>n of a certain proportion of reused materials, provision of green facilities, availability of fu</w:instrText>
      </w:r>
      <w:r w:rsidR="006B744D" w:rsidRPr="006B744D">
        <w:rPr>
          <w:lang w:val="sv-SE"/>
        </w:rPr>
        <w:instrText xml:space="preserve">rniture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Pr>
          <w:lang w:val="en-US"/>
        </w:rPr>
        <w:fldChar w:fldCharType="separate"/>
      </w:r>
      <w:r w:rsidR="006B744D" w:rsidRPr="006B744D">
        <w:rPr>
          <w:lang w:val="sv-SE"/>
        </w:rPr>
        <w:t>(Caplan et al., 2021; Zhao et al., 2023; Ardeshiri et al., 2024; Aitken et al., 2024; Lee et al., 2025)</w:t>
      </w:r>
      <w:r>
        <w:rPr>
          <w:lang w:val="en-US"/>
        </w:rPr>
        <w:fldChar w:fldCharType="end"/>
      </w:r>
      <w:r w:rsidRPr="006B744D">
        <w:rPr>
          <w:lang w:val="sv-SE"/>
        </w:rPr>
        <w:t xml:space="preserve">. </w:t>
      </w:r>
      <w:r w:rsidRPr="00F67B41">
        <w:rPr>
          <w:lang w:val="en-US"/>
        </w:rPr>
        <w:t>We follow this line of research and estimate mixed logit (ML) models, in which the utility coefficients βi are allowed to vary randomly across individuals to account for unobserved heterogeneity in preferences</w:t>
      </w:r>
      <w:r w:rsidR="006B744D">
        <w:rPr>
          <w:lang w:val="en-US"/>
        </w:rPr>
        <w:t xml:space="preserve"> </w:t>
      </w:r>
      <w:r w:rsidR="006B744D">
        <w:rPr>
          <w:lang w:val="en-US"/>
        </w:rPr>
        <w:fldChar w:fldCharType="begin"/>
      </w:r>
      <w:r w:rsidR="006B744D">
        <w:rPr>
          <w:lang w:val="en-US"/>
        </w:rPr>
        <w:instrText xml:space="preserve"> ADDIN ZOTERO_ITEM CSL_CITATION {"citationID":"DYMaaq1v","properties":{"formattedCitation":"(McFadden &amp; Train, 2000)","plainCitation":"(McFadden &amp; Train, 2000)","noteIndex":0},"citationItems":[{"id":4831,"uris":["http://zotero.org/users/3783483/items/QQEG63CA"],"itemData":{"id":4831,"type":"article-journal","abstract":"This paper considers mixed, or random coefficients, multinomial logit (MMNL) models for discrete response, and establishes the following results. Under mild regularity conditions, any discrete choice model derived from random utility maximization has choice probabilities that can be approximated as closely as one pleases by a MMNL model. Practical estimation of a parametric mixing family can be carried out by Maximum Simulated Likelihood Estimation or Method of Simulated Moments, and easily computed instruments are provided that make the latter procedure fairly efficient. The adequacy of a mixing specification can be tested simply as an omitted variable test with appropriately defined artificial variables. An application to a problem of demand for alternative vehicles shows that MMNL provides a flexible and computationally practical approach to discrete response analysis. Copyright © 2000 John Wiley &amp; Sons, Ltd.","container-title":"Journal of Applied Econometrics","DOI":"10.1002/1099-1255(200009/10)15:5&lt;447::AID-JAE570&gt;3.0.CO;2-1","ISSN":"1099-1255","issue":"5","language":"en","note":"_eprint: https://onlinelibrary.wiley.com/doi/pdf/10.1002/1099-1255%28200009/10%2915%3A5%3C447%3A%3AAID-JAE570%3E3.0.CO%3B2-1","page":"447-470","source":"Wiley Online Library","title":"Mixed MNL models for discrete response","volume":"15","author":[{"family":"McFadden","given":"Daniel"},{"family":"Train","given":"Kenneth"}],"issued":{"date-parts":[["2000"]]},"citation-key":"mcfaddenMixedMNLModels2000"}}],"schema":"https://github.com/citation-style-language/schema/raw/master/csl-citation.json"} </w:instrText>
      </w:r>
      <w:r w:rsidR="006B744D">
        <w:rPr>
          <w:lang w:val="en-US"/>
        </w:rPr>
        <w:fldChar w:fldCharType="separate"/>
      </w:r>
      <w:r w:rsidR="006B744D" w:rsidRPr="006B744D">
        <w:t>(McFadden &amp; Train, 2000)</w:t>
      </w:r>
      <w:r w:rsidR="006B744D">
        <w:rPr>
          <w:lang w:val="en-US"/>
        </w:rPr>
        <w:fldChar w:fldCharType="end"/>
      </w:r>
      <w:r w:rsidRPr="00F67B41">
        <w:rPr>
          <w:lang w:val="en-US"/>
        </w:rPr>
        <w:t>:</w:t>
      </w:r>
    </w:p>
    <w:p w14:paraId="3A26E705" w14:textId="77777777" w:rsidR="006B744D" w:rsidRPr="006B744D" w:rsidRDefault="006B744D" w:rsidP="006B744D">
      <w:pPr>
        <w:pStyle w:val="Newparagraph"/>
        <w:rPr>
          <w:lang w:val="en-US"/>
        </w:rPr>
      </w:pPr>
    </w:p>
    <w:p w14:paraId="7DEE9E4E" w14:textId="463C1F14" w:rsidR="00C41C62" w:rsidRPr="00C41C62" w:rsidRDefault="00000000" w:rsidP="00C41C62">
      <w:pPr>
        <w:pStyle w:val="Newparagraph"/>
        <w:rPr>
          <w:lang w:val="en-US"/>
        </w:rPr>
      </w:pPr>
      <m:oMathPara>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r>
            <w:rPr>
              <w:rFonts w:ascii="Cambria Math" w:hAnsi="Cambria Math"/>
              <w:lang w:val="en-US"/>
            </w:rPr>
            <m:t xml:space="preserve">= β+ </m:t>
          </m:r>
          <m:sSub>
            <m:sSubPr>
              <m:ctrlPr>
                <w:rPr>
                  <w:rFonts w:ascii="Cambria Math" w:hAnsi="Cambria Math"/>
                  <w:i/>
                  <w:lang w:val="en-US"/>
                </w:rPr>
              </m:ctrlPr>
            </m:sSubPr>
            <m:e>
              <m:r>
                <m:rPr>
                  <m:sty m:val="p"/>
                </m:rPr>
                <w:rPr>
                  <w:rFonts w:ascii="Cambria Math" w:hAnsi="Cambria Math"/>
                  <w:lang w:val="en-US"/>
                </w:rPr>
                <m:t>Σ</m:t>
              </m:r>
            </m:e>
            <m:sub>
              <m:r>
                <m:rPr>
                  <m:sty m:val="p"/>
                </m:rPr>
                <w:rPr>
                  <w:rFonts w:ascii="Cambria Math" w:hAnsi="Cambria Math"/>
                  <w:lang w:val="en-US"/>
                </w:rPr>
                <m:t>η</m:t>
              </m:r>
              <m:r>
                <m:rPr>
                  <m:sty m:val="p"/>
                </m:rPr>
                <w:rPr>
                  <w:rFonts w:ascii="Cambria Math"/>
                  <w:lang w:val="en-US"/>
                </w:rPr>
                <m:t>i</m:t>
              </m:r>
            </m:sub>
          </m:sSub>
        </m:oMath>
      </m:oMathPara>
    </w:p>
    <w:p w14:paraId="22CFF354" w14:textId="2B259243" w:rsidR="00F67B41" w:rsidRDefault="00F67B41" w:rsidP="006B744D">
      <w:pPr>
        <w:pStyle w:val="Paragraph"/>
        <w:spacing w:line="240" w:lineRule="auto"/>
        <w:rPr>
          <w:lang w:val="en-US"/>
        </w:rPr>
      </w:pPr>
      <w:r w:rsidRPr="00F67B41">
        <w:rPr>
          <w:lang w:val="en-US"/>
        </w:rPr>
        <w:t xml:space="preserve">where ηi </w:t>
      </w:r>
      <w:r w:rsidRPr="00F67B41">
        <w:rPr>
          <w:rFonts w:ascii="Cambria Math" w:hAnsi="Cambria Math" w:cs="Cambria Math"/>
          <w:lang w:val="en-US"/>
        </w:rPr>
        <w:t>∼</w:t>
      </w:r>
      <w:r w:rsidRPr="00F67B41">
        <w:rPr>
          <w:lang w:val="en-US"/>
        </w:rPr>
        <w:t xml:space="preserve"> </w:t>
      </w:r>
      <w:r w:rsidR="006B744D">
        <w:rPr>
          <w:lang w:val="en-US"/>
        </w:rPr>
        <w:t>N</w:t>
      </w:r>
      <w:r w:rsidRPr="00F67B41">
        <w:rPr>
          <w:lang w:val="en-US"/>
        </w:rPr>
        <w:t>(</w:t>
      </w:r>
      <w:proofErr w:type="gramStart"/>
      <w:r w:rsidRPr="00F67B41">
        <w:rPr>
          <w:lang w:val="en-US"/>
        </w:rPr>
        <w:t>0,I</w:t>
      </w:r>
      <w:proofErr w:type="gramEnd"/>
      <w:r w:rsidRPr="00F67B41">
        <w:rPr>
          <w:lang w:val="en-US"/>
        </w:rPr>
        <w:t xml:space="preserve">) and Σ is the covariance matrix of the random parameters. The mixed logit model captures heterogeneity by integrating over the distribution of random coefficients using simulated maximum likelihood. Because this integral has </w:t>
      </w:r>
      <w:proofErr w:type="gramStart"/>
      <w:r w:rsidRPr="00F67B41">
        <w:rPr>
          <w:lang w:val="en-US"/>
        </w:rPr>
        <w:t>no</w:t>
      </w:r>
      <w:proofErr w:type="gramEnd"/>
      <w:r w:rsidRPr="00F67B41">
        <w:rPr>
          <w:lang w:val="en-US"/>
        </w:rPr>
        <w:t xml:space="preserve"> closed-form solution, we approximate it using simulation:</w:t>
      </w:r>
    </w:p>
    <w:p w14:paraId="22AE355F" w14:textId="77777777" w:rsidR="00C41C62" w:rsidRDefault="00C41C62" w:rsidP="00C41C62">
      <w:pPr>
        <w:pStyle w:val="Newparagraph"/>
        <w:rPr>
          <w:lang w:val="en-US"/>
        </w:rPr>
      </w:pPr>
    </w:p>
    <w:p w14:paraId="509D780F" w14:textId="52BC2250" w:rsidR="00C41C62" w:rsidRPr="00C41C62" w:rsidRDefault="00B37EF7" w:rsidP="00351932">
      <w:pPr>
        <w:pStyle w:val="Newparagraph"/>
        <w:ind w:hanging="270"/>
        <w:jc w:val="center"/>
        <w:rPr>
          <w:lang w:val="en-US"/>
        </w:rPr>
      </w:pPr>
      <w:r w:rsidRPr="00B37EF7">
        <w:rPr>
          <w:noProof/>
          <w:lang w:val="en-US"/>
        </w:rPr>
        <w:drawing>
          <wp:inline distT="0" distB="0" distL="0" distR="0" wp14:anchorId="167D4AE8" wp14:editId="6405054E">
            <wp:extent cx="2934109" cy="647790"/>
            <wp:effectExtent l="0" t="0" r="0" b="0"/>
            <wp:docPr id="1884092570" name="Picture 1" descr="A black and white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92570" name="Picture 1" descr="A black and white math equations&#10;&#10;AI-generated content may be incorrect."/>
                    <pic:cNvPicPr/>
                  </pic:nvPicPr>
                  <pic:blipFill>
                    <a:blip r:embed="rId11"/>
                    <a:stretch>
                      <a:fillRect/>
                    </a:stretch>
                  </pic:blipFill>
                  <pic:spPr>
                    <a:xfrm>
                      <a:off x="0" y="0"/>
                      <a:ext cx="2934109" cy="647790"/>
                    </a:xfrm>
                    <a:prstGeom prst="rect">
                      <a:avLst/>
                    </a:prstGeom>
                  </pic:spPr>
                </pic:pic>
              </a:graphicData>
            </a:graphic>
          </wp:inline>
        </w:drawing>
      </w:r>
    </w:p>
    <w:p w14:paraId="609CA723" w14:textId="77777777" w:rsidR="00F67B41" w:rsidRPr="00F67B41" w:rsidRDefault="00F67B41" w:rsidP="00E33FD4">
      <w:pPr>
        <w:pStyle w:val="Paragraph"/>
        <w:spacing w:line="240" w:lineRule="auto"/>
        <w:rPr>
          <w:lang w:val="en-US"/>
        </w:rPr>
      </w:pPr>
      <w:r w:rsidRPr="00F67B41">
        <w:rPr>
          <w:lang w:val="en-US"/>
        </w:rPr>
        <w:t>where each simulated draw βri = β + Σηir, and R denotes the number of Sobol draws used to approximate the integral over the distribution of random parameters (Train 2003). In our specification, all non-monetary attributes are treated as random and normally distributed, while the price coefficient is fixed to preserve consistency in the computation of willingness-to-pay (WTP) measures. We also allow for full covariance among the random parameters to capture potential correlations in preferences.</w:t>
      </w:r>
    </w:p>
    <w:p w14:paraId="74C4D41C" w14:textId="77777777" w:rsidR="00F67B41" w:rsidRDefault="00F67B41" w:rsidP="00351932">
      <w:pPr>
        <w:pStyle w:val="Paragraph"/>
        <w:spacing w:line="240" w:lineRule="auto"/>
        <w:rPr>
          <w:lang w:val="en-US"/>
        </w:rPr>
      </w:pPr>
      <w:r w:rsidRPr="00F67B41">
        <w:rPr>
          <w:lang w:val="en-US"/>
        </w:rPr>
        <w:t>We then use our price coefficient to compute monetary trade-offs for non-cost attributes. First, we estimate marginal rate of substitution (MRS) for each attribute, where the MRS for attribute k is calculated as:</w:t>
      </w:r>
    </w:p>
    <w:p w14:paraId="10CC8F26" w14:textId="77777777" w:rsidR="00351932" w:rsidRDefault="00351932" w:rsidP="00351932">
      <w:pPr>
        <w:pStyle w:val="Newparagraph"/>
        <w:rPr>
          <w:lang w:val="en-US"/>
        </w:rPr>
      </w:pPr>
    </w:p>
    <w:p w14:paraId="13AB8B8E" w14:textId="18EB4E43" w:rsidR="00351932" w:rsidRPr="00351932" w:rsidRDefault="00351932" w:rsidP="00351932">
      <w:pPr>
        <w:pStyle w:val="Newparagraph"/>
        <w:ind w:hanging="270"/>
        <w:jc w:val="center"/>
        <w:rPr>
          <w:lang w:val="en-US"/>
        </w:rPr>
      </w:pPr>
      <w:r w:rsidRPr="00351932">
        <w:rPr>
          <w:noProof/>
          <w:lang w:val="en-US"/>
        </w:rPr>
        <w:drawing>
          <wp:inline distT="0" distB="0" distL="0" distR="0" wp14:anchorId="162618C4" wp14:editId="2271B5C2">
            <wp:extent cx="1571844" cy="647790"/>
            <wp:effectExtent l="0" t="0" r="9525" b="0"/>
            <wp:docPr id="1042529541" name="Picture 1" descr="A mathematical equation with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29541" name="Picture 1" descr="A mathematical equation with a mathematical equation&#10;&#10;AI-generated content may be incorrect."/>
                    <pic:cNvPicPr/>
                  </pic:nvPicPr>
                  <pic:blipFill>
                    <a:blip r:embed="rId12"/>
                    <a:stretch>
                      <a:fillRect/>
                    </a:stretch>
                  </pic:blipFill>
                  <pic:spPr>
                    <a:xfrm>
                      <a:off x="0" y="0"/>
                      <a:ext cx="1571844" cy="647790"/>
                    </a:xfrm>
                    <a:prstGeom prst="rect">
                      <a:avLst/>
                    </a:prstGeom>
                  </pic:spPr>
                </pic:pic>
              </a:graphicData>
            </a:graphic>
          </wp:inline>
        </w:drawing>
      </w:r>
    </w:p>
    <w:p w14:paraId="05BA1A0F" w14:textId="77777777" w:rsidR="00F67B41" w:rsidRPr="00F67B41" w:rsidRDefault="00F67B41" w:rsidP="00351932">
      <w:pPr>
        <w:pStyle w:val="Paragraph"/>
        <w:spacing w:line="240" w:lineRule="auto"/>
        <w:rPr>
          <w:lang w:val="en-US"/>
        </w:rPr>
      </w:pPr>
      <w:proofErr w:type="gramStart"/>
      <w:r w:rsidRPr="00F67B41">
        <w:rPr>
          <w:lang w:val="en-US"/>
        </w:rPr>
        <w:t>where</w:t>
      </w:r>
      <w:proofErr w:type="gramEnd"/>
      <w:r w:rsidRPr="00F67B41">
        <w:rPr>
          <w:lang w:val="en-US"/>
        </w:rPr>
        <w:t xml:space="preserve"> βˆcost is the estimated coefficient on the cost attribute. Because the cost attribute is specified as a percentage change from the respondent’s expected housing cost in 10 percent intervals, we convert marginal rates of substitution (MRS) into marginal </w:t>
      </w:r>
      <w:r w:rsidRPr="00F67B41">
        <w:rPr>
          <w:lang w:val="en-US"/>
        </w:rPr>
        <w:lastRenderedPageBreak/>
        <w:t>willingness to pay (MWTP) in monetary terms by scaling with 10 percent of the mean reported monthly housing cost:</w:t>
      </w:r>
    </w:p>
    <w:p w14:paraId="3CC4CCA5" w14:textId="70941171" w:rsidR="00351932" w:rsidRDefault="00F67B41" w:rsidP="00351932">
      <w:pPr>
        <w:pStyle w:val="Paragraph"/>
        <w:spacing w:line="240" w:lineRule="auto"/>
        <w:ind w:firstLine="720"/>
        <w:rPr>
          <w:sz w:val="34"/>
          <w:vertAlign w:val="superscript"/>
        </w:rPr>
      </w:pPr>
      <w:r w:rsidRPr="00F67B41">
        <w:rPr>
          <w:lang w:val="en-US"/>
        </w:rPr>
        <w:tab/>
      </w:r>
      <m:oMath>
        <m:r>
          <m:rPr>
            <m:sty m:val="p"/>
          </m:rPr>
          <w:rPr>
            <w:rFonts w:ascii="Cambria Math" w:hAnsi="Cambria Math"/>
          </w:rPr>
          <m:t>MWTP</m:t>
        </m:r>
        <m:r>
          <w:rPr>
            <w:rFonts w:ascii="Cambria Math" w:eastAsia="Cambria" w:hAnsi="Cambria Math" w:cs="Cambria"/>
            <w:vertAlign w:val="subscript"/>
          </w:rPr>
          <m:t xml:space="preserve">k </m:t>
        </m:r>
        <m:r>
          <m:rPr>
            <m:sty m:val="p"/>
          </m:rPr>
          <w:rPr>
            <w:rFonts w:ascii="Cambria Math" w:hAnsi="Cambria Math"/>
          </w:rPr>
          <m:t>= MRS</m:t>
        </m:r>
        <m:r>
          <w:rPr>
            <w:rFonts w:ascii="Cambria Math" w:eastAsia="Cambria" w:hAnsi="Cambria Math" w:cs="Cambria"/>
            <w:vertAlign w:val="subscript"/>
          </w:rPr>
          <m:t xml:space="preserve">k </m:t>
        </m:r>
        <m:r>
          <m:rPr>
            <m:sty m:val="p"/>
          </m:rPr>
          <w:rPr>
            <w:rFonts w:ascii="Cambria Math" w:eastAsia="Cambria" w:hAnsi="Cambria Math" w:cs="Cambria"/>
          </w:rPr>
          <m:t xml:space="preserve">× </m:t>
        </m:r>
        <m:r>
          <m:rPr>
            <m:sty m:val="p"/>
          </m:rPr>
          <w:rPr>
            <w:rFonts w:ascii="Cambria Math" w:hAnsi="Cambria Math"/>
          </w:rPr>
          <m:t>0</m:t>
        </m:r>
        <m:r>
          <w:rPr>
            <w:rFonts w:ascii="Cambria Math" w:eastAsia="Cambria" w:hAnsi="Cambria Math" w:cs="Cambria"/>
          </w:rPr>
          <m:t>.</m:t>
        </m:r>
        <m:r>
          <m:rPr>
            <m:sty m:val="p"/>
          </m:rPr>
          <w:rPr>
            <w:rFonts w:ascii="Cambria Math" w:hAnsi="Cambria Math"/>
          </w:rPr>
          <m:t xml:space="preserve">10 </m:t>
        </m:r>
        <m:r>
          <m:rPr>
            <m:sty m:val="p"/>
          </m:rPr>
          <w:rPr>
            <w:rFonts w:ascii="Cambria Math" w:eastAsia="Cambria" w:hAnsi="Cambria Math" w:cs="Cambria"/>
          </w:rPr>
          <m:t xml:space="preserve">× </m:t>
        </m:r>
        <m:r>
          <w:rPr>
            <w:rFonts w:ascii="Cambria Math" w:eastAsia="Cambria" w:hAnsi="Cambria Math" w:cs="Cambria"/>
          </w:rPr>
          <m:t>PC</m:t>
        </m:r>
      </m:oMath>
    </w:p>
    <w:p w14:paraId="733959FD" w14:textId="3E15967F" w:rsidR="00F67B41" w:rsidRDefault="00F67B41" w:rsidP="00351932">
      <w:pPr>
        <w:pStyle w:val="Paragraph"/>
        <w:spacing w:line="240" w:lineRule="auto"/>
        <w:rPr>
          <w:lang w:val="en-US"/>
        </w:rPr>
      </w:pPr>
      <w:r w:rsidRPr="00F67B41">
        <w:rPr>
          <w:lang w:val="en-US"/>
        </w:rPr>
        <w:t>where PC</w:t>
      </w:r>
      <w:r w:rsidR="00351932">
        <w:rPr>
          <w:lang w:val="en-US"/>
        </w:rPr>
        <w:t xml:space="preserve"> </w:t>
      </w:r>
      <w:r w:rsidRPr="00F67B41">
        <w:rPr>
          <w:lang w:val="en-US"/>
        </w:rPr>
        <w:t xml:space="preserve">denotes the </w:t>
      </w:r>
      <w:proofErr w:type="gramStart"/>
      <w:r w:rsidRPr="00F67B41">
        <w:rPr>
          <w:lang w:val="en-US"/>
        </w:rPr>
        <w:t>mean</w:t>
      </w:r>
      <w:proofErr w:type="gramEnd"/>
      <w:r w:rsidRPr="00F67B41">
        <w:rPr>
          <w:lang w:val="en-US"/>
        </w:rPr>
        <w:t xml:space="preserve"> of </w:t>
      </w:r>
      <w:proofErr w:type="gramStart"/>
      <w:r w:rsidRPr="00F67B41">
        <w:rPr>
          <w:lang w:val="en-US"/>
        </w:rPr>
        <w:t>respondents’</w:t>
      </w:r>
      <w:proofErr w:type="gramEnd"/>
      <w:r w:rsidRPr="00F67B41">
        <w:rPr>
          <w:lang w:val="en-US"/>
        </w:rPr>
        <w:t xml:space="preserve"> stated planned monthly housing cost. These MWTP estimates represent the amount, in SEK per month, that respondents are willing to pay for improvements in each housing attribute, relative to their baseline housing cost expectations.</w:t>
      </w:r>
    </w:p>
    <w:p w14:paraId="7A3E3A9D" w14:textId="23D4B010" w:rsidR="00F67B41" w:rsidRDefault="00351932" w:rsidP="00351932">
      <w:pPr>
        <w:pStyle w:val="Paragraph"/>
        <w:spacing w:line="240" w:lineRule="auto"/>
        <w:rPr>
          <w:lang w:val="en-US"/>
        </w:rPr>
      </w:pPr>
      <w:r>
        <w:rPr>
          <w:lang w:val="en-US"/>
        </w:rPr>
        <w:t>M</w:t>
      </w:r>
      <w:r w:rsidR="00F67B41" w:rsidRPr="00F67B41">
        <w:rPr>
          <w:lang w:val="en-US"/>
        </w:rPr>
        <w:t>odels are estimated in R using the logitr package</w:t>
      </w:r>
      <w:r>
        <w:rPr>
          <w:lang w:val="en-US"/>
        </w:rPr>
        <w:t xml:space="preserve"> </w:t>
      </w:r>
      <w:r>
        <w:rPr>
          <w:lang w:val="en-US"/>
        </w:rPr>
        <w:fldChar w:fldCharType="begin"/>
      </w:r>
      <w:r>
        <w:rPr>
          <w:lang w:val="en-US"/>
        </w:rPr>
        <w:instrText xml:space="preserve"> ADDIN ZOTERO_ITEM CSL_CITATION {"citationID":"A2ZBd7cB","properties":{"formattedCitation":"(Helveston, 2023)","plainCitation":"(Helveston, 2023)","noteIndex":0},"citationItems":[{"id":4835,"uris":["http://zotero.org/users/3783483/items/4DUCRMBF"],"itemData":{"id":4835,"type":"article-journal","abstract":"This paper introduces the logitr R package for fast maximum likelihood estimation of multinomial logit and mixed logit models with unobserved heterogeneity across individuals, which is modeled by allowing parameters to vary randomly over individuals according to a chosen distribution. The package is faster than other similar packages such as mlogit, gmnl, mixl, and apollo, and it supports utility models specified with “preference space” or “willingness-to-pay (WTP) space” parameterizations, allowing for the direct estimation of marginal WTP. The typical procedure of computing WTP post-estimation using a preference space model can lead to unreasonable distributions of WTP across the population in mixed logit models. The paper provides a discussion of some of the implications of each utility parameterization for WTP estimates. It also highlights some of the design features that enable logitr’s performant estimation speed and includes a benchmarking exercise with similar packages. Finally, the paper highlights additional features that are designed specifically for WTP space models, including a consistent user interface for specifying models in either space and a parallelized multi-start optimization loop, which is particularly useful for searching the solution space for different local minima when estimating models with non-convex log-likelihood functions.","container-title":"Journal of Statistical Software","DOI":"10.18637/jss.v105.i10","ISSN":"1548-7660","issue":"10","journalAbbreviation":"J. Stat. Soft.","language":"en","source":"DOI.org (Crossref)","title":"&lt;b&gt;logitr&lt;/b&gt; : Fast Estimation of Multinomial and Mixed Logit Models with Preference Space and Willingness-to-Pay Space Utility Parameterizations","title-short":"&lt;b&gt;logitr&lt;/b&gt;","URL":"https://www.jstatsoft.org/v105/i10/","volume":"105","author":[{"family":"Helveston","given":"John Paul"}],"accessed":{"date-parts":[["2025",10,1]]},"issued":{"date-parts":[["2023"]]},"citation-key":"helvestonLogitrFastEstimation2023"}}],"schema":"https://github.com/citation-style-language/schema/raw/master/csl-citation.json"} </w:instrText>
      </w:r>
      <w:r>
        <w:rPr>
          <w:lang w:val="en-US"/>
        </w:rPr>
        <w:fldChar w:fldCharType="separate"/>
      </w:r>
      <w:r w:rsidRPr="00351932">
        <w:t>(Helveston, 2023)</w:t>
      </w:r>
      <w:r>
        <w:rPr>
          <w:lang w:val="en-US"/>
        </w:rPr>
        <w:fldChar w:fldCharType="end"/>
      </w:r>
      <w:r w:rsidR="00F67B41" w:rsidRPr="00F67B41">
        <w:rPr>
          <w:lang w:val="en-US"/>
        </w:rPr>
        <w:t xml:space="preserve"> which provides flexible estimation routines for both MNL and ML models using simulated maximum likelihood. For the ML models, we use 100 Sobol draws and multiple random starting values to ensure convergence to the global maximum</w:t>
      </w:r>
      <w:r>
        <w:rPr>
          <w:lang w:val="en-US"/>
        </w:rPr>
        <w:t xml:space="preserve"> </w:t>
      </w:r>
      <w:r>
        <w:rPr>
          <w:lang w:val="en-US"/>
        </w:rPr>
        <w:fldChar w:fldCharType="begin"/>
      </w:r>
      <w:r>
        <w:rPr>
          <w:lang w:val="en-US"/>
        </w:rPr>
        <w:instrText xml:space="preserve"> ADDIN ZOTERO_ITEM CSL_CITATION {"citationID":"HkU2pxzs","properties":{"formattedCitation":"(Train, 2003)","plainCitation":"(Train, 2003)","noteIndex":0},"citationItems":[{"id":4839,"uris":["http://zotero.org/users/3783483/items/RLN4F734"],"itemData":{"id":4839,"type":"book","abstract":"Describes the new generation of discrete choice methods, focusing on the many advances that are made possible by simulation. Researchers use these statistical methods to examine the choices that consumers, households, firms, and other agents make. The procedures are applicable in many fields, including energy, transportation, environment, health, and labor","event-place":"New York","ISBN":"978-0-521-81696-0","language":"en","number-of-pages":"334","publisher":"Cambridge University Press","publisher-place":"New York","source":"K10plus ISBN","title":"Discrete choice methods with simulation","editor":[{"family":"Train","given":"Kenneth"}],"issued":{"date-parts":[["2003"]]},"citation-key":"trainDiscreteChoiceMethods2003"}}],"schema":"https://github.com/citation-style-language/schema/raw/master/csl-citation.json"} </w:instrText>
      </w:r>
      <w:r>
        <w:rPr>
          <w:lang w:val="en-US"/>
        </w:rPr>
        <w:fldChar w:fldCharType="separate"/>
      </w:r>
      <w:r w:rsidRPr="00351932">
        <w:t>(Train, 2003)</w:t>
      </w:r>
      <w:r>
        <w:rPr>
          <w:lang w:val="en-US"/>
        </w:rPr>
        <w:fldChar w:fldCharType="end"/>
      </w:r>
      <w:r w:rsidR="00F67B41" w:rsidRPr="00F67B41">
        <w:rPr>
          <w:lang w:val="en-US"/>
        </w:rPr>
        <w:t>.</w:t>
      </w:r>
    </w:p>
    <w:p w14:paraId="5C40B146" w14:textId="77777777" w:rsidR="00F67B41" w:rsidRDefault="00F67B41" w:rsidP="00F67B41">
      <w:pPr>
        <w:pStyle w:val="Heading1"/>
        <w:spacing w:line="240" w:lineRule="auto"/>
        <w:rPr>
          <w:lang w:val="en-US"/>
        </w:rPr>
      </w:pPr>
      <w:r>
        <w:rPr>
          <w:lang w:val="en-US"/>
        </w:rPr>
        <w:t>Results</w:t>
      </w:r>
    </w:p>
    <w:p w14:paraId="73DAB55C" w14:textId="5B8727BD" w:rsidR="00C276D2" w:rsidRPr="00C276D2" w:rsidRDefault="00C276D2" w:rsidP="00C276D2">
      <w:pPr>
        <w:pStyle w:val="Heading2"/>
        <w:rPr>
          <w:lang w:val="en-US"/>
        </w:rPr>
      </w:pPr>
      <w:r>
        <w:rPr>
          <w:lang w:val="en-US"/>
        </w:rPr>
        <w:t>Descriptive statistics</w:t>
      </w:r>
    </w:p>
    <w:p w14:paraId="38DDBE58" w14:textId="77777777" w:rsidR="00F67B41" w:rsidRDefault="00F67B41" w:rsidP="00F67B41">
      <w:pPr>
        <w:pStyle w:val="Paragraph"/>
        <w:spacing w:line="240" w:lineRule="auto"/>
        <w:rPr>
          <w:lang w:val="en-US"/>
        </w:rPr>
      </w:pPr>
      <w:r w:rsidRPr="009578AB">
        <w:rPr>
          <w:lang w:val="en-US"/>
        </w:rPr>
        <w:t xml:space="preserve">Table 2 provides descriptive statistics for the study sample, disaggregated by housing tenure. Of the 957 respondents, 790 were homeowners and 167 were renters. The sample was slightly majority female (55.3%), with most participants aged between 65–74 years (43.5%) followed by those aged 75+ (36.5%). </w:t>
      </w:r>
      <w:proofErr w:type="gramStart"/>
      <w:r w:rsidRPr="009578AB">
        <w:rPr>
          <w:lang w:val="en-US"/>
        </w:rPr>
        <w:t>The majority of</w:t>
      </w:r>
      <w:proofErr w:type="gramEnd"/>
      <w:r w:rsidRPr="009578AB">
        <w:rPr>
          <w:lang w:val="en-US"/>
        </w:rPr>
        <w:t xml:space="preserve"> respondents were partnered (60.6%), retired (77.1%), and lived in apartment or condominium housing (63.0%). Most had attained at least three years of university education (47.6%</w:t>
      </w:r>
      <w:proofErr w:type="gramStart"/>
      <w:r w:rsidRPr="009578AB">
        <w:rPr>
          <w:lang w:val="en-US"/>
        </w:rPr>
        <w:t>), and</w:t>
      </w:r>
      <w:proofErr w:type="gramEnd"/>
      <w:r w:rsidRPr="009578AB">
        <w:rPr>
          <w:lang w:val="en-US"/>
        </w:rPr>
        <w:t xml:space="preserve"> lived in city or town locations (62.2%). </w:t>
      </w:r>
      <w:proofErr w:type="gramStart"/>
      <w:r>
        <w:rPr>
          <w:lang w:val="en-US"/>
        </w:rPr>
        <w:t>The majority of</w:t>
      </w:r>
      <w:proofErr w:type="gramEnd"/>
      <w:r>
        <w:rPr>
          <w:lang w:val="en-US"/>
        </w:rPr>
        <w:t xml:space="preserve"> respondents described their health as “Good” or better (82%). </w:t>
      </w:r>
      <w:r w:rsidRPr="009578AB">
        <w:rPr>
          <w:lang w:val="en-US"/>
        </w:rPr>
        <w:t>Households predominantly consisted of one or two members (95.2%), with only 3.8% reporting three or more. The mean monthly household income was 46,700 SEK, and the average planned monthly housing cost was 10,500 SEK.</w:t>
      </w:r>
    </w:p>
    <w:p w14:paraId="329E2A67" w14:textId="77777777" w:rsidR="00EA0C07" w:rsidRDefault="00EA0C07" w:rsidP="00181B5C">
      <w:pPr>
        <w:pStyle w:val="Heading1"/>
        <w:spacing w:line="240" w:lineRule="auto"/>
        <w:jc w:val="center"/>
        <w:rPr>
          <w:noProof/>
          <w:lang w:val="en-US"/>
        </w:rPr>
      </w:pPr>
    </w:p>
    <w:p w14:paraId="52BAB3F0" w14:textId="515B2CB4" w:rsidR="00EA0C07" w:rsidRDefault="00EA0C07" w:rsidP="00EA0C07">
      <w:pPr>
        <w:pStyle w:val="Caption"/>
        <w:keepNext/>
        <w:jc w:val="center"/>
      </w:pPr>
      <w:r>
        <w:t xml:space="preserve">Table </w:t>
      </w:r>
      <w:r>
        <w:fldChar w:fldCharType="begin"/>
      </w:r>
      <w:r>
        <w:instrText xml:space="preserve"> SEQ Table \* ARABIC </w:instrText>
      </w:r>
      <w:r>
        <w:fldChar w:fldCharType="separate"/>
      </w:r>
      <w:r>
        <w:rPr>
          <w:noProof/>
        </w:rPr>
        <w:t>2</w:t>
      </w:r>
      <w:r>
        <w:fldChar w:fldCharType="end"/>
      </w:r>
    </w:p>
    <w:p w14:paraId="2DDC0FBC" w14:textId="7B060FEE" w:rsidR="00F67B41" w:rsidRDefault="00F67B41" w:rsidP="00181B5C">
      <w:pPr>
        <w:pStyle w:val="Heading1"/>
        <w:spacing w:line="240" w:lineRule="auto"/>
        <w:jc w:val="center"/>
        <w:rPr>
          <w:noProof/>
          <w:lang w:val="en-US"/>
        </w:rPr>
      </w:pPr>
      <w:r w:rsidRPr="00AD6721">
        <w:rPr>
          <w:noProof/>
          <w:lang w:val="en-US"/>
        </w:rPr>
        <w:drawing>
          <wp:inline distT="0" distB="0" distL="0" distR="0" wp14:anchorId="6023F270" wp14:editId="7FD7207B">
            <wp:extent cx="5148580" cy="7181527"/>
            <wp:effectExtent l="0" t="0" r="0" b="635"/>
            <wp:docPr id="1239225990" name="Picture 1" descr="A paper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25990" name="Picture 1" descr="A paper with numbers and text&#10;&#10;AI-generated content may be incorrect."/>
                    <pic:cNvPicPr/>
                  </pic:nvPicPr>
                  <pic:blipFill rotWithShape="1">
                    <a:blip r:embed="rId13"/>
                    <a:srcRect t="4365"/>
                    <a:stretch>
                      <a:fillRect/>
                    </a:stretch>
                  </pic:blipFill>
                  <pic:spPr bwMode="auto">
                    <a:xfrm>
                      <a:off x="0" y="0"/>
                      <a:ext cx="5161664" cy="7199777"/>
                    </a:xfrm>
                    <a:prstGeom prst="rect">
                      <a:avLst/>
                    </a:prstGeom>
                    <a:ln>
                      <a:noFill/>
                    </a:ln>
                    <a:extLst>
                      <a:ext uri="{53640926-AAD7-44D8-BBD7-CCE9431645EC}">
                        <a14:shadowObscured xmlns:a14="http://schemas.microsoft.com/office/drawing/2010/main"/>
                      </a:ext>
                    </a:extLst>
                  </pic:spPr>
                </pic:pic>
              </a:graphicData>
            </a:graphic>
          </wp:inline>
        </w:drawing>
      </w:r>
    </w:p>
    <w:p w14:paraId="6E5469FF" w14:textId="0AB4EEEB" w:rsidR="00F67B41" w:rsidRDefault="00765149" w:rsidP="00765149">
      <w:pPr>
        <w:pStyle w:val="Heading2"/>
        <w:rPr>
          <w:lang w:val="en-US"/>
        </w:rPr>
      </w:pPr>
      <w:r>
        <w:rPr>
          <w:lang w:val="en-US"/>
        </w:rPr>
        <w:t>Core specification results</w:t>
      </w:r>
    </w:p>
    <w:p w14:paraId="1FD3FAA2" w14:textId="2AA04826" w:rsidR="00181B5C" w:rsidRPr="00181B5C" w:rsidRDefault="00181B5C" w:rsidP="00181B5C">
      <w:pPr>
        <w:pStyle w:val="Paragraph"/>
        <w:spacing w:line="240" w:lineRule="auto"/>
        <w:ind w:firstLine="720"/>
        <w:rPr>
          <w:lang w:val="en-US"/>
        </w:rPr>
      </w:pPr>
      <w:r w:rsidRPr="00181B5C">
        <w:rPr>
          <w:lang w:val="en-US"/>
        </w:rPr>
        <w:t xml:space="preserve">Our discussion begins with </w:t>
      </w:r>
      <w:r>
        <w:rPr>
          <w:lang w:val="en-US"/>
        </w:rPr>
        <w:t xml:space="preserve">model </w:t>
      </w:r>
      <w:r w:rsidRPr="00181B5C">
        <w:rPr>
          <w:lang w:val="en-US"/>
        </w:rPr>
        <w:t xml:space="preserve">results from the </w:t>
      </w:r>
      <w:r>
        <w:rPr>
          <w:lang w:val="en-US"/>
        </w:rPr>
        <w:t>base specifications</w:t>
      </w:r>
      <w:r w:rsidRPr="00181B5C">
        <w:rPr>
          <w:lang w:val="en-US"/>
        </w:rPr>
        <w:t xml:space="preserve">, which exclude interaction terms and serve as a point of comparison for subsequent models that </w:t>
      </w:r>
      <w:r w:rsidRPr="00181B5C">
        <w:rPr>
          <w:lang w:val="en-US"/>
        </w:rPr>
        <w:lastRenderedPageBreak/>
        <w:t xml:space="preserve">account for heterogeneity across household types. Tables </w:t>
      </w:r>
      <w:r>
        <w:rPr>
          <w:lang w:val="en-US"/>
        </w:rPr>
        <w:t>3</w:t>
      </w:r>
      <w:r w:rsidRPr="00181B5C">
        <w:rPr>
          <w:lang w:val="en-US"/>
        </w:rPr>
        <w:t xml:space="preserve"> and </w:t>
      </w:r>
      <w:r>
        <w:rPr>
          <w:lang w:val="en-US"/>
        </w:rPr>
        <w:t>4</w:t>
      </w:r>
      <w:r w:rsidRPr="00181B5C">
        <w:rPr>
          <w:lang w:val="en-US"/>
        </w:rPr>
        <w:t xml:space="preserve"> present the estimation results for respondents who own and rent their housing units, respectively. In both samples, positive (negative) coefficients indicate an increase (decrease) in average utility associated with the attribute level, relative to its reference level. Reference levels are specified as the least desirable alternative to aid in interpretation.</w:t>
      </w:r>
    </w:p>
    <w:p w14:paraId="2242E668" w14:textId="77777777" w:rsidR="00181B5C" w:rsidRPr="00181B5C" w:rsidRDefault="00181B5C" w:rsidP="00181B5C">
      <w:pPr>
        <w:pStyle w:val="Paragraph"/>
        <w:spacing w:line="240" w:lineRule="auto"/>
        <w:ind w:firstLine="720"/>
        <w:rPr>
          <w:lang w:val="en-US"/>
        </w:rPr>
      </w:pPr>
      <w:r w:rsidRPr="00181B5C">
        <w:rPr>
          <w:lang w:val="en-US"/>
        </w:rPr>
        <w:t>Across both tenure groups, all estimated coefficients exhibit the expected signs and a high degree of statistical significance. For most attributes, the mean coefficients are positive, implying that closer proximity to amenities or improved neighborhood features are preferred over their reference levels. The statistically significant standard deviation estimates further confirm the presence of unobserved preference heterogeneity among households, supporting the use of the mixed logit specification.</w:t>
      </w:r>
    </w:p>
    <w:p w14:paraId="11CE1B37" w14:textId="77777777" w:rsidR="00EA0C07" w:rsidRDefault="00EA0C07" w:rsidP="00181B5C">
      <w:pPr>
        <w:pStyle w:val="Paragraph"/>
        <w:jc w:val="center"/>
        <w:rPr>
          <w:noProof/>
          <w:lang w:val="en-US"/>
        </w:rPr>
      </w:pPr>
    </w:p>
    <w:p w14:paraId="38ED67B4" w14:textId="2B6FEB1C" w:rsidR="00EA0C07" w:rsidRDefault="00EA0C07" w:rsidP="00EA0C07">
      <w:pPr>
        <w:pStyle w:val="Caption"/>
        <w:keepNext/>
        <w:jc w:val="center"/>
      </w:pPr>
      <w:r>
        <w:t xml:space="preserve">Table </w:t>
      </w:r>
      <w:r>
        <w:fldChar w:fldCharType="begin"/>
      </w:r>
      <w:r>
        <w:instrText xml:space="preserve"> SEQ Table \* ARABIC </w:instrText>
      </w:r>
      <w:r>
        <w:fldChar w:fldCharType="separate"/>
      </w:r>
      <w:r>
        <w:rPr>
          <w:noProof/>
        </w:rPr>
        <w:t>3</w:t>
      </w:r>
      <w:r>
        <w:fldChar w:fldCharType="end"/>
      </w:r>
    </w:p>
    <w:p w14:paraId="7B8DD72E" w14:textId="6392CCF7" w:rsidR="00181B5C" w:rsidRPr="00181B5C" w:rsidRDefault="00181B5C" w:rsidP="00181B5C">
      <w:pPr>
        <w:pStyle w:val="Paragraph"/>
        <w:jc w:val="center"/>
        <w:rPr>
          <w:lang w:val="en-US"/>
        </w:rPr>
      </w:pPr>
      <w:r w:rsidRPr="00C734B8">
        <w:rPr>
          <w:noProof/>
          <w:lang w:val="en-US"/>
        </w:rPr>
        <w:drawing>
          <wp:inline distT="0" distB="0" distL="0" distR="0" wp14:anchorId="222B9E0B" wp14:editId="3F9F7686">
            <wp:extent cx="4235570" cy="4064743"/>
            <wp:effectExtent l="0" t="0" r="0" b="0"/>
            <wp:docPr id="590446225" name="Picture 1" descr="A table of numbers and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46225" name="Picture 1" descr="A table of numbers and a number of objects&#10;&#10;AI-generated content may be incorrect."/>
                    <pic:cNvPicPr/>
                  </pic:nvPicPr>
                  <pic:blipFill rotWithShape="1">
                    <a:blip r:embed="rId14"/>
                    <a:srcRect t="9766" r="3330"/>
                    <a:stretch>
                      <a:fillRect/>
                    </a:stretch>
                  </pic:blipFill>
                  <pic:spPr bwMode="auto">
                    <a:xfrm>
                      <a:off x="0" y="0"/>
                      <a:ext cx="4240049" cy="4069042"/>
                    </a:xfrm>
                    <a:prstGeom prst="rect">
                      <a:avLst/>
                    </a:prstGeom>
                    <a:ln>
                      <a:noFill/>
                    </a:ln>
                    <a:extLst>
                      <a:ext uri="{53640926-AAD7-44D8-BBD7-CCE9431645EC}">
                        <a14:shadowObscured xmlns:a14="http://schemas.microsoft.com/office/drawing/2010/main"/>
                      </a:ext>
                    </a:extLst>
                  </pic:spPr>
                </pic:pic>
              </a:graphicData>
            </a:graphic>
          </wp:inline>
        </w:drawing>
      </w:r>
    </w:p>
    <w:p w14:paraId="389FDB6E" w14:textId="77777777" w:rsidR="00181B5C" w:rsidRDefault="00181B5C" w:rsidP="00181B5C">
      <w:pPr>
        <w:pStyle w:val="Paragraph"/>
        <w:spacing w:line="240" w:lineRule="auto"/>
        <w:ind w:firstLine="720"/>
        <w:rPr>
          <w:lang w:val="en-US"/>
        </w:rPr>
      </w:pPr>
      <w:r w:rsidRPr="00181B5C">
        <w:rPr>
          <w:lang w:val="en-US"/>
        </w:rPr>
        <w:t xml:space="preserve">The marginal rates of substitution (MRS) are reported in column </w:t>
      </w:r>
      <w:r>
        <w:rPr>
          <w:lang w:val="en-US"/>
        </w:rPr>
        <w:t>four</w:t>
      </w:r>
      <w:r w:rsidRPr="00181B5C">
        <w:rPr>
          <w:lang w:val="en-US"/>
        </w:rPr>
        <w:t xml:space="preserve"> and are computed as the ratio of attribute to price coefficients, following </w:t>
      </w:r>
      <w:proofErr w:type="gramStart"/>
      <w:r w:rsidRPr="00181B5C">
        <w:rPr>
          <w:lang w:val="en-US"/>
        </w:rPr>
        <w:t xml:space="preserve">Equation </w:t>
      </w:r>
      <w:r>
        <w:rPr>
          <w:lang w:val="en-US"/>
        </w:rPr>
        <w:t>?</w:t>
      </w:r>
      <w:proofErr w:type="gramEnd"/>
      <w:r>
        <w:rPr>
          <w:lang w:val="en-US"/>
        </w:rPr>
        <w:t>?.</w:t>
      </w:r>
      <w:r w:rsidRPr="00181B5C">
        <w:rPr>
          <w:lang w:val="en-US"/>
        </w:rPr>
        <w:t xml:space="preserve"> The corresponding marginal willingness to pay (MWTP) values in column six are obtained by scaling the MRS by 10 percent of the average planned housing cost for each tenure group, as described in </w:t>
      </w:r>
      <w:proofErr w:type="gramStart"/>
      <w:r w:rsidRPr="00181B5C">
        <w:rPr>
          <w:lang w:val="en-US"/>
        </w:rPr>
        <w:t xml:space="preserve">Equation </w:t>
      </w:r>
      <w:r>
        <w:rPr>
          <w:lang w:val="en-US"/>
        </w:rPr>
        <w:t>?</w:t>
      </w:r>
      <w:proofErr w:type="gramEnd"/>
      <w:r>
        <w:rPr>
          <w:lang w:val="en-US"/>
        </w:rPr>
        <w:t>?.</w:t>
      </w:r>
    </w:p>
    <w:p w14:paraId="103A8F8F" w14:textId="00257901" w:rsidR="00181B5C" w:rsidRPr="00181B5C" w:rsidRDefault="00181B5C" w:rsidP="00181B5C">
      <w:pPr>
        <w:pStyle w:val="Paragraph"/>
        <w:spacing w:line="240" w:lineRule="auto"/>
        <w:ind w:firstLine="720"/>
        <w:rPr>
          <w:lang w:val="en-US"/>
        </w:rPr>
      </w:pPr>
      <w:r w:rsidRPr="00181B5C">
        <w:rPr>
          <w:lang w:val="en-US"/>
        </w:rPr>
        <w:t xml:space="preserve">As shown in Table </w:t>
      </w:r>
      <w:r>
        <w:rPr>
          <w:lang w:val="en-US"/>
        </w:rPr>
        <w:t>3,</w:t>
      </w:r>
      <w:r w:rsidRPr="00181B5C">
        <w:rPr>
          <w:lang w:val="en-US"/>
        </w:rPr>
        <w:t xml:space="preserve"> homeowners are willing to pay substantial amounts for proximity to key neighborhood amenities. For instance, owners are, on average, willing to pay about 440 SEK per month to avoid living 15 km from the nearest green area and </w:t>
      </w:r>
      <w:r w:rsidRPr="00181B5C">
        <w:rPr>
          <w:lang w:val="en-US"/>
        </w:rPr>
        <w:lastRenderedPageBreak/>
        <w:t>roughly 620 SEK per month to live within 500 m of shops. Access to parking is also highly valued, with MWTP estimates of approximately 615 SEK for a reserved garage and 511 SEK for a reserved parking space. These results suggest that accessibility and convenience are primary drivers of residential utility among homeowners.</w:t>
      </w:r>
    </w:p>
    <w:p w14:paraId="31A22C1A" w14:textId="77777777" w:rsidR="00181B5C" w:rsidRPr="00181B5C" w:rsidRDefault="00181B5C" w:rsidP="00181B5C">
      <w:pPr>
        <w:pStyle w:val="Paragraph"/>
        <w:rPr>
          <w:lang w:val="en-US"/>
        </w:rPr>
      </w:pPr>
    </w:p>
    <w:p w14:paraId="5650F75D" w14:textId="77777777" w:rsidR="00EA0C07" w:rsidRDefault="00EA0C07" w:rsidP="00181B5C">
      <w:pPr>
        <w:pStyle w:val="Paragraph"/>
        <w:jc w:val="center"/>
        <w:rPr>
          <w:noProof/>
          <w:lang w:val="en-US"/>
        </w:rPr>
      </w:pPr>
    </w:p>
    <w:p w14:paraId="003A2DE7" w14:textId="3DCDF5AE" w:rsidR="00EA0C07" w:rsidRDefault="00EA0C07" w:rsidP="00EA0C07">
      <w:pPr>
        <w:pStyle w:val="Caption"/>
        <w:keepNext/>
        <w:jc w:val="center"/>
      </w:pPr>
      <w:r>
        <w:t xml:space="preserve">Table </w:t>
      </w:r>
      <w:r>
        <w:fldChar w:fldCharType="begin"/>
      </w:r>
      <w:r>
        <w:instrText xml:space="preserve"> SEQ Table \* ARABIC </w:instrText>
      </w:r>
      <w:r>
        <w:fldChar w:fldCharType="separate"/>
      </w:r>
      <w:r>
        <w:rPr>
          <w:noProof/>
        </w:rPr>
        <w:t>4</w:t>
      </w:r>
      <w:r>
        <w:fldChar w:fldCharType="end"/>
      </w:r>
    </w:p>
    <w:p w14:paraId="7468C4E7" w14:textId="7B430CDA" w:rsidR="00181B5C" w:rsidRPr="00181B5C" w:rsidRDefault="00181B5C" w:rsidP="00181B5C">
      <w:pPr>
        <w:pStyle w:val="Paragraph"/>
        <w:jc w:val="center"/>
        <w:rPr>
          <w:lang w:val="en-US"/>
        </w:rPr>
      </w:pPr>
      <w:r w:rsidRPr="00687915">
        <w:rPr>
          <w:noProof/>
          <w:lang w:val="en-US"/>
        </w:rPr>
        <w:drawing>
          <wp:inline distT="0" distB="0" distL="0" distR="0" wp14:anchorId="60569C6C" wp14:editId="143974D0">
            <wp:extent cx="4649638" cy="4518672"/>
            <wp:effectExtent l="0" t="0" r="0" b="0"/>
            <wp:docPr id="1233321441" name="Picture 1" descr="A table of informati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21441" name="Picture 1" descr="A table of information with numbers and lines&#10;&#10;AI-generated content may be incorrect."/>
                    <pic:cNvPicPr/>
                  </pic:nvPicPr>
                  <pic:blipFill rotWithShape="1">
                    <a:blip r:embed="rId15"/>
                    <a:srcRect t="7259" r="2752"/>
                    <a:stretch>
                      <a:fillRect/>
                    </a:stretch>
                  </pic:blipFill>
                  <pic:spPr bwMode="auto">
                    <a:xfrm>
                      <a:off x="0" y="0"/>
                      <a:ext cx="4651222" cy="4520212"/>
                    </a:xfrm>
                    <a:prstGeom prst="rect">
                      <a:avLst/>
                    </a:prstGeom>
                    <a:ln>
                      <a:noFill/>
                    </a:ln>
                    <a:extLst>
                      <a:ext uri="{53640926-AAD7-44D8-BBD7-CCE9431645EC}">
                        <a14:shadowObscured xmlns:a14="http://schemas.microsoft.com/office/drawing/2010/main"/>
                      </a:ext>
                    </a:extLst>
                  </pic:spPr>
                </pic:pic>
              </a:graphicData>
            </a:graphic>
          </wp:inline>
        </w:drawing>
      </w:r>
    </w:p>
    <w:p w14:paraId="136F8C0A" w14:textId="77777777" w:rsidR="00181B5C" w:rsidRDefault="00181B5C" w:rsidP="00181B5C">
      <w:pPr>
        <w:pStyle w:val="Paragraph"/>
        <w:spacing w:line="240" w:lineRule="auto"/>
        <w:ind w:firstLine="720"/>
        <w:rPr>
          <w:lang w:val="en-US"/>
        </w:rPr>
      </w:pPr>
      <w:r w:rsidRPr="00181B5C">
        <w:rPr>
          <w:lang w:val="en-US"/>
        </w:rPr>
        <w:t xml:space="preserve">Turning to renters, Table </w:t>
      </w:r>
      <w:r>
        <w:rPr>
          <w:lang w:val="en-US"/>
        </w:rPr>
        <w:t xml:space="preserve">4 </w:t>
      </w:r>
      <w:r w:rsidRPr="00181B5C">
        <w:rPr>
          <w:lang w:val="en-US"/>
        </w:rPr>
        <w:t>reveals similar preference patterns but with generally lower MWTP magnitudes. Renters are willing to pay about 618 SEK per month to reside within 500 m of green space and roughly 637 SEK for proximity to shops within 500 m—values that remain economically meaningful yet modestly below those of owners. Renters also show strong preferences for parking access, although their MWTP for a reserved garage (337 SEK) or space (307 SEK) is roughly half that of homeowners.</w:t>
      </w:r>
    </w:p>
    <w:p w14:paraId="44B9806D" w14:textId="15A56994" w:rsidR="00181B5C" w:rsidRPr="00181B5C" w:rsidRDefault="00181B5C" w:rsidP="00181B5C">
      <w:pPr>
        <w:pStyle w:val="Paragraph"/>
        <w:spacing w:line="240" w:lineRule="auto"/>
        <w:ind w:firstLine="720"/>
        <w:rPr>
          <w:lang w:val="en-US"/>
        </w:rPr>
      </w:pPr>
      <w:r w:rsidRPr="00181B5C">
        <w:rPr>
          <w:lang w:val="en-US"/>
        </w:rPr>
        <w:t xml:space="preserve">Comparing across tenure types, both groups place high value on proximity to green space and retail services, but the intensity of preferences differs. Owners systematically exhibit higher MWTP for most amenities, consistent with longer-term </w:t>
      </w:r>
      <w:r w:rsidRPr="00181B5C">
        <w:rPr>
          <w:lang w:val="en-US"/>
        </w:rPr>
        <w:lastRenderedPageBreak/>
        <w:t>housing commitments and investment motivations. The larger heterogeneity in standard deviation estimates among renters suggests greater variation in preferences within this group, possibly reflecting shorter planning horizons or differing residential constraints.</w:t>
      </w:r>
    </w:p>
    <w:p w14:paraId="1B80A792" w14:textId="77777777" w:rsidR="00181B5C" w:rsidRPr="00181B5C" w:rsidRDefault="00181B5C" w:rsidP="00181B5C">
      <w:pPr>
        <w:pStyle w:val="Paragraph"/>
        <w:spacing w:line="240" w:lineRule="auto"/>
        <w:ind w:firstLine="720"/>
        <w:rPr>
          <w:lang w:val="en-US"/>
        </w:rPr>
      </w:pPr>
    </w:p>
    <w:p w14:paraId="0022E5E9" w14:textId="31A95AF1" w:rsidR="00181B5C" w:rsidRPr="00181B5C" w:rsidRDefault="00181B5C" w:rsidP="00181B5C">
      <w:pPr>
        <w:pStyle w:val="Paragraph"/>
        <w:spacing w:line="240" w:lineRule="auto"/>
        <w:ind w:firstLine="720"/>
        <w:rPr>
          <w:lang w:val="en-US"/>
        </w:rPr>
      </w:pPr>
      <w:r w:rsidRPr="00181B5C">
        <w:rPr>
          <w:lang w:val="en-US"/>
        </w:rPr>
        <w:t>Overall, these baseline results demonstrate robust and theoretically consistent patterns of residential preferences. The strong fit of the mixed logit models, along with significant random parameter estimates, supports their use as the preferred framework for the heterogeneity analyses that follow.</w:t>
      </w:r>
    </w:p>
    <w:p w14:paraId="06630401" w14:textId="413774B2" w:rsidR="00687915" w:rsidRDefault="00127537" w:rsidP="00127537">
      <w:pPr>
        <w:pStyle w:val="Heading2"/>
        <w:rPr>
          <w:lang w:val="en-US"/>
        </w:rPr>
      </w:pPr>
      <w:r>
        <w:rPr>
          <w:lang w:val="en-US"/>
        </w:rPr>
        <w:t>Heterogeneity model results</w:t>
      </w:r>
    </w:p>
    <w:p w14:paraId="06F65A83" w14:textId="77777777" w:rsidR="00CE2518" w:rsidRDefault="00CE2518" w:rsidP="00CE2518">
      <w:pPr>
        <w:pStyle w:val="Heading2"/>
        <w:rPr>
          <w:sz w:val="36"/>
          <w:szCs w:val="36"/>
        </w:rPr>
      </w:pPr>
      <w:r>
        <w:t>Age Heterogeneity</w:t>
      </w:r>
    </w:p>
    <w:p w14:paraId="5882876A" w14:textId="77777777" w:rsidR="00CE2518" w:rsidRPr="00CE2518" w:rsidRDefault="00CE2518" w:rsidP="00CE2518">
      <w:pPr>
        <w:pStyle w:val="Paragraph"/>
        <w:spacing w:line="240" w:lineRule="auto"/>
        <w:ind w:firstLine="720"/>
        <w:rPr>
          <w:lang w:val="en-US"/>
        </w:rPr>
      </w:pPr>
      <w:r w:rsidRPr="00CE2518">
        <w:rPr>
          <w:lang w:val="en-US"/>
        </w:rPr>
        <w:t>To assess whether preferences differ among the oldest respondents, mixed logit models were estimated with interaction terms between all housing attributes and a dummy variable for individuals aged 75 years or older. The main effects capture preferences for respondents under 75, while interaction coefficients indicate whether the marginal utilities differ for the 75+ group. MWTP values are calculated for each group separately as the ratio of the attribute to price coefficient. Statistical significance pertains only to the coefficient estimates, not to the derived MWTPs.</w:t>
      </w:r>
    </w:p>
    <w:p w14:paraId="4E42AF5C" w14:textId="77777777" w:rsidR="00CE2518" w:rsidRPr="00CE2518" w:rsidRDefault="00CE2518" w:rsidP="00CE2518">
      <w:pPr>
        <w:pStyle w:val="Paragraph"/>
        <w:spacing w:line="240" w:lineRule="auto"/>
        <w:ind w:firstLine="720"/>
        <w:rPr>
          <w:lang w:val="en-US"/>
        </w:rPr>
      </w:pPr>
      <w:r w:rsidRPr="00CE2518">
        <w:rPr>
          <w:lang w:val="en-US"/>
        </w:rPr>
        <w:t>Among homeowners under 75, proximity to amenities generates strong and statistically significant utility gains. The baseline MWTPs are 426 SEK/month for green space within 500 m (vs 15 km), 515 SEK for shops within 500 m, and 558 SEK for a reserved garage, following the expected monotonic distance pattern where closer proximity yields higher utility.</w:t>
      </w:r>
    </w:p>
    <w:p w14:paraId="6F4E4D1D" w14:textId="73EF9A39" w:rsidR="00CE2518" w:rsidRPr="00CE2518" w:rsidRDefault="00CE2518" w:rsidP="00CE2518">
      <w:pPr>
        <w:pStyle w:val="Paragraph"/>
        <w:spacing w:line="240" w:lineRule="auto"/>
        <w:ind w:firstLine="720"/>
        <w:rPr>
          <w:lang w:val="en-US"/>
        </w:rPr>
      </w:pPr>
      <w:r w:rsidRPr="00CE2518">
        <w:rPr>
          <w:lang w:val="en-US"/>
        </w:rPr>
        <w:t>For homeowners aged 75 and older, two interaction terms are statistically significant.</w:t>
      </w:r>
      <w:r>
        <w:rPr>
          <w:lang w:val="en-US"/>
        </w:rPr>
        <w:t xml:space="preserve"> </w:t>
      </w:r>
      <w:r w:rsidRPr="00CE2518">
        <w:rPr>
          <w:lang w:val="en-US"/>
        </w:rPr>
        <w:t xml:space="preserve">The coefficient for </w:t>
      </w:r>
      <w:r w:rsidRPr="00CE2518">
        <w:rPr>
          <w:b/>
          <w:bCs/>
          <w:lang w:val="en-US"/>
        </w:rPr>
        <w:t>green space × 75+</w:t>
      </w:r>
      <w:r w:rsidRPr="00CE2518">
        <w:rPr>
          <w:lang w:val="en-US"/>
        </w:rPr>
        <w:t xml:space="preserve"> is negative (−0.68, p &lt; 0.05), indicating that older homeowners derive less marginal utility from nearby green areas than younger respondents. The corresponding MWTP for green space within 500 m is 359 SEK/month, lower than the baseline.</w:t>
      </w:r>
      <w:r w:rsidRPr="00CE2518">
        <w:rPr>
          <w:lang w:val="en-US"/>
        </w:rPr>
        <w:br/>
        <w:t xml:space="preserve">In contrast, the coefficient for </w:t>
      </w:r>
      <w:r w:rsidRPr="00CE2518">
        <w:rPr>
          <w:b/>
          <w:bCs/>
          <w:lang w:val="en-US"/>
        </w:rPr>
        <w:t>transit stop × 75+</w:t>
      </w:r>
      <w:r w:rsidRPr="00CE2518">
        <w:rPr>
          <w:lang w:val="en-US"/>
        </w:rPr>
        <w:t xml:space="preserve"> is positive (0.47, p &lt; 0.05), suggesting that the oldest homeowners place greater value on transit accessibility. Their MWTP for a 600 m transit stop is approximately 465 SEK/month, compared with 421 SEK for younger respondents.</w:t>
      </w:r>
    </w:p>
    <w:p w14:paraId="29F13292" w14:textId="77777777" w:rsidR="00CE2518" w:rsidRPr="00CE2518" w:rsidRDefault="00CE2518" w:rsidP="00CE2518">
      <w:pPr>
        <w:pStyle w:val="Paragraph"/>
        <w:spacing w:line="240" w:lineRule="auto"/>
        <w:ind w:firstLine="720"/>
        <w:rPr>
          <w:lang w:val="en-US"/>
        </w:rPr>
      </w:pPr>
      <w:r w:rsidRPr="00CE2518">
        <w:rPr>
          <w:lang w:val="en-US"/>
        </w:rPr>
        <w:t>Other interaction terms—covering shops, parking, and price—are not statistically significant, though MWTP magnitudes remain positive and directionally consistent with baseline preferences. These results imply that while overall preference patterns are stable across age groups, the relative importance of green space and public transport accessibility shifts modestly among homeowners aged 75+.</w:t>
      </w:r>
    </w:p>
    <w:p w14:paraId="6840109F" w14:textId="77777777" w:rsidR="00CE2518" w:rsidRPr="00CE2518" w:rsidRDefault="00CE2518" w:rsidP="00CE2518">
      <w:pPr>
        <w:pStyle w:val="Paragraph"/>
        <w:spacing w:line="240" w:lineRule="auto"/>
        <w:ind w:firstLine="720"/>
        <w:rPr>
          <w:lang w:val="en-US"/>
        </w:rPr>
      </w:pPr>
      <w:r w:rsidRPr="00CE2518">
        <w:rPr>
          <w:lang w:val="en-US"/>
        </w:rPr>
        <w:t>Among renters under 75, MWTPs mirror those of homeowners in relative terms: 489 SEK for green space within 500 m, 518 SEK for shops within 500 m, and 286–323 SEK for parking amenities.</w:t>
      </w:r>
    </w:p>
    <w:p w14:paraId="7CCA91D4" w14:textId="77777777" w:rsidR="00CE2518" w:rsidRPr="00CE2518" w:rsidRDefault="00CE2518" w:rsidP="00CE2518">
      <w:pPr>
        <w:pStyle w:val="Paragraph"/>
        <w:spacing w:line="240" w:lineRule="auto"/>
        <w:ind w:firstLine="720"/>
        <w:rPr>
          <w:lang w:val="en-US"/>
        </w:rPr>
      </w:pPr>
      <w:r w:rsidRPr="00CE2518">
        <w:rPr>
          <w:lang w:val="en-US"/>
        </w:rPr>
        <w:t xml:space="preserve">For renters aged 75+, the only statistically significant interaction is </w:t>
      </w:r>
      <w:r w:rsidRPr="00CE2518">
        <w:rPr>
          <w:b/>
          <w:bCs/>
          <w:lang w:val="en-US"/>
        </w:rPr>
        <w:t>shops × 75+ (−2.38, p &lt; 0.05)</w:t>
      </w:r>
      <w:r w:rsidRPr="00CE2518">
        <w:rPr>
          <w:lang w:val="en-US"/>
        </w:rPr>
        <w:t xml:space="preserve">. This indicates that the oldest renters place less marginal utility on </w:t>
      </w:r>
      <w:r w:rsidRPr="00CE2518">
        <w:rPr>
          <w:lang w:val="en-US"/>
        </w:rPr>
        <w:lastRenderedPageBreak/>
        <w:t>proximity to shops compared with younger renters, potentially reflecting a shift away from retail accessibility as a decisive housing attribute in advanced age. Other interactions, including those for green space, transit, and parking, are statistically insignificant, although MWTP values remain positive, suggesting continued but more modest preferences for these amenities.</w:t>
      </w:r>
    </w:p>
    <w:p w14:paraId="55B58B44" w14:textId="77777777" w:rsidR="00CE2518" w:rsidRPr="00CE2518" w:rsidRDefault="00CE2518" w:rsidP="00CE2518">
      <w:pPr>
        <w:pStyle w:val="Paragraph"/>
        <w:spacing w:line="240" w:lineRule="auto"/>
        <w:ind w:firstLine="720"/>
        <w:rPr>
          <w:lang w:val="en-US"/>
        </w:rPr>
      </w:pPr>
      <w:r w:rsidRPr="00CE2518">
        <w:rPr>
          <w:lang w:val="en-US"/>
        </w:rPr>
        <w:t>Taken together, the results reveal that age-related preference heterogeneity is limited to specific attributes rather than systematic across all housing features. Among homeowners, older respondents value transit access more but derive less utility from nearby green space. Among renters, proximity to shops is relatively less important for the oldest group. These findings suggest that while basic amenity preferences remain stable across age groups, the functional emphasis of those preferences—mobility versus recreation—shifts subtly with age, consistent with adaptation to changing physical capacity and activity patterns.</w:t>
      </w:r>
    </w:p>
    <w:p w14:paraId="68110C0E" w14:textId="77777777" w:rsidR="00CE2518" w:rsidRPr="00CE2518" w:rsidRDefault="00CE2518" w:rsidP="00CE2518">
      <w:pPr>
        <w:pStyle w:val="Paragraph"/>
        <w:spacing w:line="240" w:lineRule="auto"/>
        <w:ind w:firstLine="720"/>
        <w:rPr>
          <w:lang w:val="en-US"/>
        </w:rPr>
      </w:pPr>
      <w:r w:rsidRPr="00CE2518">
        <w:rPr>
          <w:lang w:val="en-US"/>
        </w:rPr>
        <w:t>Both specifications demonstrate good fit. The homeowner model yields a log-likelihood of −3125.21 (McFadden R² = 0.37), and the renter model −610.58 (R² = 0.40). Likelihood-ratio tests reject the null of no interaction effects (p &lt; 0.001 for both models), confirming that age heterogeneity contributes significantly to explaining observed choice behavior.</w:t>
      </w:r>
    </w:p>
    <w:p w14:paraId="0A5B690A" w14:textId="407BB6F7" w:rsidR="00EA0C07" w:rsidRPr="00CE2518" w:rsidRDefault="00EA0C07" w:rsidP="00EA0C07">
      <w:pPr>
        <w:pStyle w:val="Paragraph"/>
        <w:spacing w:line="240" w:lineRule="auto"/>
        <w:ind w:firstLine="720"/>
        <w:rPr>
          <w:lang w:val="en-US"/>
        </w:rPr>
      </w:pPr>
    </w:p>
    <w:p w14:paraId="6FD94BBE" w14:textId="33B3660C" w:rsidR="00EA0C07" w:rsidRDefault="00EA0C07" w:rsidP="00EA0C07">
      <w:pPr>
        <w:pStyle w:val="Caption"/>
        <w:keepNext/>
        <w:jc w:val="center"/>
      </w:pPr>
      <w:r>
        <w:lastRenderedPageBreak/>
        <w:t xml:space="preserve">Table </w:t>
      </w:r>
      <w:r>
        <w:fldChar w:fldCharType="begin"/>
      </w:r>
      <w:r>
        <w:instrText xml:space="preserve"> SEQ Table \* ARABIC </w:instrText>
      </w:r>
      <w:r>
        <w:fldChar w:fldCharType="separate"/>
      </w:r>
      <w:r>
        <w:rPr>
          <w:noProof/>
        </w:rPr>
        <w:t>5</w:t>
      </w:r>
      <w:r>
        <w:fldChar w:fldCharType="end"/>
      </w:r>
      <w:r w:rsidRPr="0089607B">
        <w:t>- Interaction Regression</w:t>
      </w:r>
      <w:r>
        <w:t xml:space="preserve"> - 75+</w:t>
      </w:r>
    </w:p>
    <w:p w14:paraId="0668B5BB" w14:textId="045EB613" w:rsidR="00127537" w:rsidRDefault="00EA0C07" w:rsidP="00EA0C07">
      <w:pPr>
        <w:pStyle w:val="Paragraph"/>
        <w:spacing w:line="240" w:lineRule="auto"/>
        <w:ind w:firstLine="720"/>
        <w:rPr>
          <w:lang w:val="en-US"/>
        </w:rPr>
      </w:pPr>
      <w:r>
        <w:rPr>
          <w:noProof/>
          <w:lang w:val="en-US"/>
        </w:rPr>
        <mc:AlternateContent>
          <mc:Choice Requires="wpg">
            <w:drawing>
              <wp:anchor distT="0" distB="0" distL="114300" distR="114300" simplePos="0" relativeHeight="251695104" behindDoc="0" locked="0" layoutInCell="1" allowOverlap="1" wp14:anchorId="42B4B539" wp14:editId="12DE2088">
                <wp:simplePos x="0" y="0"/>
                <wp:positionH relativeFrom="column">
                  <wp:posOffset>653091</wp:posOffset>
                </wp:positionH>
                <wp:positionV relativeFrom="paragraph">
                  <wp:posOffset>747874</wp:posOffset>
                </wp:positionV>
                <wp:extent cx="4140865" cy="2680280"/>
                <wp:effectExtent l="95250" t="152400" r="145415" b="158750"/>
                <wp:wrapNone/>
                <wp:docPr id="1740560773" name="Group 48"/>
                <wp:cNvGraphicFramePr/>
                <a:graphic xmlns:a="http://schemas.openxmlformats.org/drawingml/2006/main">
                  <a:graphicData uri="http://schemas.microsoft.com/office/word/2010/wordprocessingGroup">
                    <wpg:wgp>
                      <wpg:cNvGrpSpPr/>
                      <wpg:grpSpPr>
                        <a:xfrm>
                          <a:off x="0" y="0"/>
                          <a:ext cx="4140865" cy="2680280"/>
                          <a:chOff x="0" y="0"/>
                          <a:chExt cx="4140865" cy="2680280"/>
                        </a:xfrm>
                      </wpg:grpSpPr>
                      <w14:contentPart bwMode="auto" r:id="rId16">
                        <w14:nvContentPartPr>
                          <w14:cNvPr id="1158052106" name="Ink 2"/>
                          <w14:cNvContentPartPr/>
                        </w14:nvContentPartPr>
                        <w14:xfrm>
                          <a:off x="107950" y="1955800"/>
                          <a:ext cx="2703600" cy="39960"/>
                        </w14:xfrm>
                      </w14:contentPart>
                      <w14:contentPart bwMode="auto" r:id="rId17">
                        <w14:nvContentPartPr>
                          <w14:cNvPr id="882195109" name="Ink 8"/>
                          <w14:cNvContentPartPr/>
                        </w14:nvContentPartPr>
                        <w14:xfrm>
                          <a:off x="123825" y="0"/>
                          <a:ext cx="2759710" cy="635"/>
                        </w14:xfrm>
                      </w14:contentPart>
                      <w14:contentPart bwMode="auto" r:id="rId18">
                        <w14:nvContentPartPr>
                          <w14:cNvPr id="868780555" name="Ink 10"/>
                          <w14:cNvContentPartPr/>
                        </w14:nvContentPartPr>
                        <w14:xfrm>
                          <a:off x="139700" y="2616200"/>
                          <a:ext cx="2735640" cy="64080"/>
                        </w14:xfrm>
                      </w14:contentPart>
                      <w14:contentPart bwMode="auto" r:id="rId19">
                        <w14:nvContentPartPr>
                          <w14:cNvPr id="483154433" name="Ink 11"/>
                          <w14:cNvContentPartPr/>
                        </w14:nvContentPartPr>
                        <w14:xfrm>
                          <a:off x="119380" y="709295"/>
                          <a:ext cx="2771280" cy="360"/>
                        </w14:xfrm>
                      </w14:contentPart>
                      <w14:contentPart bwMode="auto" r:id="rId20">
                        <w14:nvContentPartPr>
                          <w14:cNvPr id="1112998889" name="Ink 43"/>
                          <w14:cNvContentPartPr/>
                        </w14:nvContentPartPr>
                        <w14:xfrm>
                          <a:off x="3024505" y="2407920"/>
                          <a:ext cx="1116360" cy="27720"/>
                        </w14:xfrm>
                      </w14:contentPart>
                      <w14:contentPart bwMode="auto" r:id="rId21">
                        <w14:nvContentPartPr>
                          <w14:cNvPr id="1556241388" name="Ink 44"/>
                          <w14:cNvContentPartPr/>
                        </w14:nvContentPartPr>
                        <w14:xfrm>
                          <a:off x="93980" y="2407285"/>
                          <a:ext cx="987840" cy="9720"/>
                        </w14:xfrm>
                      </w14:contentPart>
                      <w14:contentPart bwMode="auto" r:id="rId22">
                        <w14:nvContentPartPr>
                          <w14:cNvPr id="37397390" name="Ink 45"/>
                          <w14:cNvContentPartPr/>
                        </w14:nvContentPartPr>
                        <w14:xfrm>
                          <a:off x="0" y="439420"/>
                          <a:ext cx="833400" cy="43920"/>
                        </w14:xfrm>
                      </w14:contentPart>
                      <w14:contentPart bwMode="auto" r:id="rId23">
                        <w14:nvContentPartPr>
                          <w14:cNvPr id="882463966" name="Ink 46"/>
                          <w14:cNvContentPartPr/>
                        </w14:nvContentPartPr>
                        <w14:xfrm>
                          <a:off x="3050540" y="455295"/>
                          <a:ext cx="1080000" cy="36720"/>
                        </w14:xfrm>
                      </w14:contentPart>
                    </wpg:wgp>
                  </a:graphicData>
                </a:graphic>
              </wp:anchor>
            </w:drawing>
          </mc:Choice>
          <mc:Fallback>
            <w:pict>
              <v:group w14:anchorId="31D2DA2A" id="Group 48" o:spid="_x0000_s1026" style="position:absolute;margin-left:51.4pt;margin-top:58.9pt;width:326.05pt;height:211.05pt;z-index:251695104" coordsize="41408,26802" o:gfxdata="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&#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7" type="#_x0000_t75" style="position:absolute;left:539;top:18481;width:28112;height:2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">
                  <v:imagedata r:id="rId24" o:title=""/>
                </v:shape>
                <v:shape id="Ink 8" o:spid="_x0000_s1028" type="#_x0000_t75" style="position:absolute;left:698;top:-1905;width:28673;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">
                  <v:imagedata r:id="rId25" o:title=""/>
                </v:shape>
                <v:shape id="Ink 10" o:spid="_x0000_s1029" type="#_x0000_t75" style="position:absolute;left:860;top:25082;width:28433;height:2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">
                  <v:imagedata r:id="rId26" o:title=""/>
                </v:shape>
                <v:shape id="Ink 11" o:spid="_x0000_s1030" type="#_x0000_t75" style="position:absolute;left:653;top:6012;width:28790;height: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">
                  <v:imagedata r:id="rId27" o:title=""/>
                </v:shape>
                <v:shape id="Ink 43" o:spid="_x0000_s1031" type="#_x0000_t75" style="position:absolute;left:29708;top:22999;width:12240;height: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">
                  <v:imagedata r:id="rId28" o:title=""/>
                </v:shape>
                <v:shape id="Ink 44" o:spid="_x0000_s1032" type="#_x0000_t75" style="position:absolute;left:403;top:22992;width:10955;height:2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">
                  <v:imagedata r:id="rId29" o:title=""/>
                </v:shape>
                <v:shape id="Ink 45" o:spid="_x0000_s1033" type="#_x0000_t75" style="position:absolute;left:-540;top:3317;width:9410;height:2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">
                  <v:imagedata r:id="rId30" o:title=""/>
                </v:shape>
                <v:shape id="Ink 46" o:spid="_x0000_s1034" type="#_x0000_t75" style="position:absolute;left:29969;top:3476;width:11876;height:2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">
                  <v:imagedata r:id="rId31" o:title=""/>
                </v:shape>
              </v:group>
            </w:pict>
          </mc:Fallback>
        </mc:AlternateContent>
      </w:r>
      <w:r w:rsidRPr="00EA0C07">
        <w:rPr>
          <w:highlight w:val="yellow"/>
          <w:lang w:val="en-US"/>
        </w:rPr>
        <w:drawing>
          <wp:inline distT="0" distB="0" distL="0" distR="0" wp14:anchorId="373AF591" wp14:editId="257D08FC">
            <wp:extent cx="4574540" cy="5383552"/>
            <wp:effectExtent l="0" t="0" r="0" b="7620"/>
            <wp:docPr id="59818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85122" name=""/>
                    <pic:cNvPicPr/>
                  </pic:nvPicPr>
                  <pic:blipFill rotWithShape="1">
                    <a:blip r:embed="rId32"/>
                    <a:srcRect t="5310"/>
                    <a:stretch>
                      <a:fillRect/>
                    </a:stretch>
                  </pic:blipFill>
                  <pic:spPr bwMode="auto">
                    <a:xfrm>
                      <a:off x="0" y="0"/>
                      <a:ext cx="4589815" cy="5401528"/>
                    </a:xfrm>
                    <a:prstGeom prst="rect">
                      <a:avLst/>
                    </a:prstGeom>
                    <a:ln>
                      <a:noFill/>
                    </a:ln>
                    <a:extLst>
                      <a:ext uri="{53640926-AAD7-44D8-BBD7-CCE9431645EC}">
                        <a14:shadowObscured xmlns:a14="http://schemas.microsoft.com/office/drawing/2010/main"/>
                      </a:ext>
                    </a:extLst>
                  </pic:spPr>
                </pic:pic>
              </a:graphicData>
            </a:graphic>
          </wp:inline>
        </w:drawing>
      </w:r>
    </w:p>
    <w:p w14:paraId="567B3CE3" w14:textId="77777777" w:rsidR="00EA0C07" w:rsidRDefault="00EA0C07" w:rsidP="00EA0C07">
      <w:pPr>
        <w:pStyle w:val="Newparagraph"/>
        <w:rPr>
          <w:lang w:val="en-US"/>
        </w:rPr>
      </w:pPr>
    </w:p>
    <w:p w14:paraId="42A0FCC7" w14:textId="77777777" w:rsidR="00CE2518" w:rsidRDefault="00CE2518" w:rsidP="00EA0C07">
      <w:pPr>
        <w:pStyle w:val="Heading3"/>
        <w:rPr>
          <w:lang w:val="en-US"/>
        </w:rPr>
      </w:pPr>
    </w:p>
    <w:p w14:paraId="7EE53280" w14:textId="77777777" w:rsidR="00CE2518" w:rsidRDefault="00CE2518" w:rsidP="00EA0C07">
      <w:pPr>
        <w:pStyle w:val="Heading3"/>
        <w:rPr>
          <w:lang w:val="en-US"/>
        </w:rPr>
      </w:pPr>
    </w:p>
    <w:p w14:paraId="631A7CAB" w14:textId="77777777" w:rsidR="00CE2518" w:rsidRDefault="00CE2518" w:rsidP="00EA0C07">
      <w:pPr>
        <w:pStyle w:val="Heading3"/>
        <w:rPr>
          <w:lang w:val="en-US"/>
        </w:rPr>
      </w:pPr>
    </w:p>
    <w:p w14:paraId="1410AB26" w14:textId="77777777" w:rsidR="00CE2518" w:rsidRDefault="00CE2518" w:rsidP="00EA0C07">
      <w:pPr>
        <w:pStyle w:val="Heading3"/>
        <w:rPr>
          <w:lang w:val="en-US"/>
        </w:rPr>
      </w:pPr>
    </w:p>
    <w:p w14:paraId="50672C56" w14:textId="77777777" w:rsidR="00CE2518" w:rsidRDefault="00CE2518" w:rsidP="00EA0C07">
      <w:pPr>
        <w:pStyle w:val="Heading3"/>
        <w:rPr>
          <w:lang w:val="en-US"/>
        </w:rPr>
      </w:pPr>
    </w:p>
    <w:p w14:paraId="6676867B" w14:textId="06A4B787" w:rsidR="00CE2518" w:rsidRDefault="00CE2518">
      <w:pPr>
        <w:spacing w:line="240" w:lineRule="auto"/>
        <w:rPr>
          <w:rFonts w:cs="Arial"/>
          <w:bCs/>
          <w:i/>
          <w:szCs w:val="26"/>
          <w:lang w:val="en-US"/>
        </w:rPr>
      </w:pPr>
      <w:r>
        <w:rPr>
          <w:lang w:val="en-US"/>
        </w:rPr>
        <w:br w:type="page"/>
      </w:r>
    </w:p>
    <w:p w14:paraId="78215C1A" w14:textId="77777777" w:rsidR="00CE2518" w:rsidRDefault="00CE2518" w:rsidP="00EA0C07">
      <w:pPr>
        <w:pStyle w:val="Heading3"/>
        <w:rPr>
          <w:lang w:val="en-US"/>
        </w:rPr>
      </w:pPr>
    </w:p>
    <w:p w14:paraId="090E5A23" w14:textId="77777777" w:rsidR="00CE2518" w:rsidRDefault="00CE2518" w:rsidP="00EA0C07">
      <w:pPr>
        <w:pStyle w:val="Heading3"/>
        <w:rPr>
          <w:lang w:val="en-US"/>
        </w:rPr>
      </w:pPr>
    </w:p>
    <w:p w14:paraId="181E0D1F" w14:textId="6C11FC71" w:rsidR="00EA0C07" w:rsidRDefault="00EA0C07" w:rsidP="00EA0C07">
      <w:pPr>
        <w:pStyle w:val="Heading3"/>
        <w:rPr>
          <w:lang w:val="en-US"/>
        </w:rPr>
      </w:pPr>
      <w:r>
        <w:rPr>
          <w:lang w:val="en-US"/>
        </w:rPr>
        <w:t>Gender</w:t>
      </w:r>
    </w:p>
    <w:p w14:paraId="15230A1C" w14:textId="77777777" w:rsidR="00CE2518" w:rsidRPr="00CE2518" w:rsidRDefault="00CE2518" w:rsidP="00CE2518">
      <w:pPr>
        <w:pStyle w:val="Paragraph"/>
        <w:spacing w:line="240" w:lineRule="auto"/>
        <w:ind w:firstLine="720"/>
        <w:rPr>
          <w:lang w:val="en-US"/>
        </w:rPr>
      </w:pPr>
      <w:r w:rsidRPr="00CE2518">
        <w:rPr>
          <w:lang w:val="en-US"/>
        </w:rPr>
        <w:t>To examine whether housing preferences differ by gender, mixed logit models were estimated with interaction terms between all housing attributes and a male indicator (male = 1). Main effects capture preferences for female respondents, while the interaction coefficients represent deviations for males. MWTPs are computed separately for each gender as the ratio of their respective attribute and price coefficients. Statistical significance pertains exclusively to the coefficient estimates.</w:t>
      </w:r>
    </w:p>
    <w:p w14:paraId="5EE6C014" w14:textId="77777777" w:rsidR="00CE2518" w:rsidRPr="00CE2518" w:rsidRDefault="00CE2518" w:rsidP="00CE2518">
      <w:pPr>
        <w:pStyle w:val="Paragraph"/>
        <w:spacing w:line="240" w:lineRule="auto"/>
        <w:ind w:firstLine="720"/>
        <w:rPr>
          <w:lang w:val="en-US"/>
        </w:rPr>
      </w:pPr>
      <w:r w:rsidRPr="00CE2518">
        <w:rPr>
          <w:lang w:val="en-US"/>
        </w:rPr>
        <w:t>Among female homeowners, the coefficients indicate strong and statistically significant preferences for proximity-based amenities. The corresponding MWTPs are 492 SEK/month for green space within 500 m, 653 SEK for shops within 500 m, and 428–542 SEK for parking amenities.</w:t>
      </w:r>
    </w:p>
    <w:p w14:paraId="5563AEFC" w14:textId="77777777" w:rsidR="00CE2518" w:rsidRPr="00CE2518" w:rsidRDefault="00CE2518" w:rsidP="00CE2518">
      <w:pPr>
        <w:pStyle w:val="Paragraph"/>
        <w:spacing w:line="240" w:lineRule="auto"/>
        <w:ind w:firstLine="720"/>
        <w:rPr>
          <w:lang w:val="en-US"/>
        </w:rPr>
      </w:pPr>
      <w:r w:rsidRPr="00CE2518">
        <w:rPr>
          <w:lang w:val="en-US"/>
        </w:rPr>
        <w:t xml:space="preserve">For male homeowners, most interaction terms are not statistically significant, suggesting broadly similar preference structures across genders. The interaction coefficient for </w:t>
      </w:r>
      <w:r w:rsidRPr="00CE2518">
        <w:rPr>
          <w:b/>
          <w:bCs/>
          <w:lang w:val="en-US"/>
        </w:rPr>
        <w:t>green space (500 m)</w:t>
      </w:r>
      <w:r w:rsidRPr="00CE2518">
        <w:rPr>
          <w:lang w:val="en-US"/>
        </w:rPr>
        <w:t xml:space="preserve"> is negative (−0.53, p &lt; 0.05), indicating that men derive slightly less utility from nearby green areas compared with women. Conversely, the coefficient for </w:t>
      </w:r>
      <w:r w:rsidRPr="00CE2518">
        <w:rPr>
          <w:b/>
          <w:bCs/>
          <w:lang w:val="en-US"/>
        </w:rPr>
        <w:t>shops (500 m)</w:t>
      </w:r>
      <w:r w:rsidRPr="00CE2518">
        <w:rPr>
          <w:lang w:val="en-US"/>
        </w:rPr>
        <w:t xml:space="preserve"> is positive (0.58, p &lt; 0.05), implying stronger utility from retail proximity among male homeowners. These two differences are the only statistically significant gender interactions.</w:t>
      </w:r>
    </w:p>
    <w:p w14:paraId="6C3CCCB7" w14:textId="77777777" w:rsidR="00CE2518" w:rsidRPr="00CE2518" w:rsidRDefault="00CE2518" w:rsidP="00CE2518">
      <w:pPr>
        <w:pStyle w:val="Paragraph"/>
        <w:spacing w:line="240" w:lineRule="auto"/>
        <w:ind w:firstLine="720"/>
        <w:rPr>
          <w:lang w:val="en-US"/>
        </w:rPr>
      </w:pPr>
      <w:r w:rsidRPr="00CE2518">
        <w:rPr>
          <w:lang w:val="en-US"/>
        </w:rPr>
        <w:t>All other interactions, including those for transit, parking, and price, are statistically insignificant. However, MWTP magnitudes remain higher for men in absolute terms for most amenities, particularly parking (approximately 1,186 SEK/month for a reserved garage and 958 SEK for a reserved space), suggesting stronger revealed preferences for vehicle access even though the coefficient differences are not significant.</w:t>
      </w:r>
    </w:p>
    <w:p w14:paraId="0908CC6A" w14:textId="77777777" w:rsidR="00CE2518" w:rsidRPr="00CE2518" w:rsidRDefault="00CE2518" w:rsidP="00CE2518">
      <w:pPr>
        <w:pStyle w:val="Paragraph"/>
        <w:spacing w:line="240" w:lineRule="auto"/>
        <w:ind w:firstLine="720"/>
        <w:rPr>
          <w:lang w:val="en-US"/>
        </w:rPr>
      </w:pPr>
      <w:r w:rsidRPr="00CE2518">
        <w:rPr>
          <w:lang w:val="en-US"/>
        </w:rPr>
        <w:t>Among renters, coefficient estimates reveal no statistically significant gender interactions. The main effects for female renters indicate positive and significant preferences for proximity to green space and shops, with corresponding MWTPs of roughly 434–437 SEK/month. Male renters’ coefficients are directionally similar, though MWTP magnitudes are modestly higher (≈490 SEK for green space and 619 SEK for shops), indicating consistent but not statistically distinct preferences.</w:t>
      </w:r>
    </w:p>
    <w:p w14:paraId="3196B26F" w14:textId="77777777" w:rsidR="00CE2518" w:rsidRPr="00CE2518" w:rsidRDefault="00CE2518" w:rsidP="00CE2518">
      <w:pPr>
        <w:pStyle w:val="Paragraph"/>
        <w:spacing w:line="240" w:lineRule="auto"/>
        <w:ind w:firstLine="720"/>
        <w:rPr>
          <w:lang w:val="en-US"/>
        </w:rPr>
      </w:pPr>
      <w:r w:rsidRPr="00CE2518">
        <w:rPr>
          <w:lang w:val="en-US"/>
        </w:rPr>
        <w:t>The absence of significant interaction effects among renters likely reflects smaller sample size and more constrained choice sets relative to homeowners.</w:t>
      </w:r>
    </w:p>
    <w:p w14:paraId="5337D314" w14:textId="77777777" w:rsidR="00CE2518" w:rsidRPr="00CE2518" w:rsidRDefault="00CE2518" w:rsidP="00CE2518">
      <w:pPr>
        <w:pStyle w:val="Paragraph"/>
        <w:spacing w:line="240" w:lineRule="auto"/>
        <w:ind w:firstLine="720"/>
        <w:rPr>
          <w:lang w:val="en-US"/>
        </w:rPr>
      </w:pPr>
      <w:r w:rsidRPr="00CE2518">
        <w:rPr>
          <w:lang w:val="en-US"/>
        </w:rPr>
        <w:t xml:space="preserve">The results suggest that gender differences in housing preferences are limited in statistical terms, though some systematic patterns are evident. Among homeowners, men show weaker preferences for green space but stronger preferences for shop proximity relative to women. Parking MWTPs are higher for men but not statistically distinct, while transit accessibility appears </w:t>
      </w:r>
      <w:proofErr w:type="gramStart"/>
      <w:r w:rsidRPr="00CE2518">
        <w:rPr>
          <w:lang w:val="en-US"/>
        </w:rPr>
        <w:t>gender-neutral</w:t>
      </w:r>
      <w:proofErr w:type="gramEnd"/>
      <w:r w:rsidRPr="00CE2518">
        <w:rPr>
          <w:lang w:val="en-US"/>
        </w:rPr>
        <w:t>. The consistency of results across tenure groups indicates that gendered patterns in housing choice are modest in magnitude, with significant variation only for specific amenity types.</w:t>
      </w:r>
    </w:p>
    <w:p w14:paraId="21BD08FF" w14:textId="26EE6CA5" w:rsidR="00EA0C07" w:rsidRPr="00CE2518" w:rsidRDefault="00EA0C07" w:rsidP="00EA0C07">
      <w:pPr>
        <w:pStyle w:val="Newparagraph"/>
        <w:jc w:val="center"/>
      </w:pPr>
    </w:p>
    <w:p w14:paraId="2CD4A90D" w14:textId="77777777" w:rsidR="00EA0C07" w:rsidRDefault="00EA0C07" w:rsidP="00EA0C07">
      <w:pPr>
        <w:pStyle w:val="Newparagraph"/>
        <w:jc w:val="center"/>
      </w:pPr>
      <w:r>
        <w:rPr>
          <w:noProof/>
          <w:lang w:val="en-US"/>
        </w:rPr>
        <w:lastRenderedPageBreak/>
        <mc:AlternateContent>
          <mc:Choice Requires="wpg">
            <w:drawing>
              <wp:anchor distT="0" distB="0" distL="114300" distR="114300" simplePos="0" relativeHeight="251678720" behindDoc="0" locked="0" layoutInCell="1" allowOverlap="1" wp14:anchorId="2DFEF6A6" wp14:editId="43C93CE5">
                <wp:simplePos x="0" y="0"/>
                <wp:positionH relativeFrom="column">
                  <wp:posOffset>852541</wp:posOffset>
                </wp:positionH>
                <wp:positionV relativeFrom="paragraph">
                  <wp:posOffset>964098</wp:posOffset>
                </wp:positionV>
                <wp:extent cx="3198925" cy="3190050"/>
                <wp:effectExtent l="95250" t="152400" r="40005" b="48895"/>
                <wp:wrapNone/>
                <wp:docPr id="624046042" name="Group 49"/>
                <wp:cNvGraphicFramePr/>
                <a:graphic xmlns:a="http://schemas.openxmlformats.org/drawingml/2006/main">
                  <a:graphicData uri="http://schemas.microsoft.com/office/word/2010/wordprocessingGroup">
                    <wpg:wgp>
                      <wpg:cNvGrpSpPr/>
                      <wpg:grpSpPr>
                        <a:xfrm>
                          <a:off x="0" y="0"/>
                          <a:ext cx="3198925" cy="3190050"/>
                          <a:chOff x="0" y="-120770"/>
                          <a:chExt cx="3198925" cy="3190050"/>
                        </a:xfrm>
                      </wpg:grpSpPr>
                      <w14:contentPart bwMode="auto" r:id="rId33">
                        <w14:nvContentPartPr>
                          <w14:cNvPr id="643655932" name="Ink 13"/>
                          <w14:cNvContentPartPr/>
                        </w14:nvContentPartPr>
                        <w14:xfrm>
                          <a:off x="55244" y="1726840"/>
                          <a:ext cx="2644560" cy="360"/>
                        </w14:xfrm>
                      </w14:contentPart>
                      <w14:contentPart bwMode="auto" r:id="rId34">
                        <w14:nvContentPartPr>
                          <w14:cNvPr id="1838134143" name="Ink 17"/>
                          <w14:cNvContentPartPr/>
                        </w14:nvContentPartPr>
                        <w14:xfrm>
                          <a:off x="89240" y="-120770"/>
                          <a:ext cx="2775240" cy="39960"/>
                        </w14:xfrm>
                      </w14:contentPart>
                      <w14:contentPart bwMode="auto" r:id="rId35">
                        <w14:nvContentPartPr>
                          <w14:cNvPr id="18729242" name="Ink 19"/>
                          <w14:cNvContentPartPr/>
                        </w14:nvContentPartPr>
                        <w14:xfrm>
                          <a:off x="40005" y="2388870"/>
                          <a:ext cx="2708640" cy="8280"/>
                        </w14:xfrm>
                      </w14:contentPart>
                      <w14:contentPart bwMode="auto" r:id="rId36">
                        <w14:nvContentPartPr>
                          <w14:cNvPr id="1195401968" name="Ink 20"/>
                          <w14:cNvContentPartPr/>
                        </w14:nvContentPartPr>
                        <w14:xfrm>
                          <a:off x="0" y="452755"/>
                          <a:ext cx="2755800" cy="32760"/>
                        </w14:xfrm>
                      </w14:contentPart>
                      <w14:contentPart bwMode="auto" r:id="rId37">
                        <w14:nvContentPartPr>
                          <w14:cNvPr id="691263442" name="Ink 21"/>
                          <w14:cNvContentPartPr/>
                        </w14:nvContentPartPr>
                        <w14:xfrm>
                          <a:off x="15875" y="2587625"/>
                          <a:ext cx="2667600" cy="57600"/>
                        </w14:xfrm>
                      </w14:contentPart>
                      <w14:contentPart bwMode="auto" r:id="rId38">
                        <w14:nvContentPartPr>
                          <w14:cNvPr id="1112472091" name="Ink 22"/>
                          <w14:cNvContentPartPr/>
                        </w14:nvContentPartPr>
                        <w14:xfrm>
                          <a:off x="63500" y="2794635"/>
                          <a:ext cx="2697480" cy="48600"/>
                        </w14:xfrm>
                      </w14:contentPart>
                      <w14:contentPart bwMode="auto" r:id="rId39">
                        <w14:nvContentPartPr>
                          <w14:cNvPr id="259279254" name="Ink 24"/>
                          <w14:cNvContentPartPr/>
                        </w14:nvContentPartPr>
                        <w14:xfrm>
                          <a:off x="55245" y="668020"/>
                          <a:ext cx="2700720" cy="7920"/>
                        </w14:xfrm>
                      </w14:contentPart>
                      <w14:contentPart bwMode="auto" r:id="rId40">
                        <w14:nvContentPartPr>
                          <w14:cNvPr id="1209530103" name="Ink 26"/>
                          <w14:cNvContentPartPr/>
                        </w14:nvContentPartPr>
                        <w14:xfrm>
                          <a:off x="24130" y="859790"/>
                          <a:ext cx="2724480" cy="8280"/>
                        </w14:xfrm>
                      </w14:contentPart>
                      <w14:contentPart bwMode="auto" r:id="rId41">
                        <w14:nvContentPartPr>
                          <w14:cNvPr id="1921877688" name="Ink 29"/>
                          <w14:cNvContentPartPr/>
                        </w14:nvContentPartPr>
                        <w14:xfrm>
                          <a:off x="2864485" y="1224280"/>
                          <a:ext cx="334440" cy="1845000"/>
                        </w14:xfrm>
                      </w14:contentPart>
                    </wpg:wgp>
                  </a:graphicData>
                </a:graphic>
                <wp14:sizeRelV relativeFrom="margin">
                  <wp14:pctHeight>0</wp14:pctHeight>
                </wp14:sizeRelV>
              </wp:anchor>
            </w:drawing>
          </mc:Choice>
          <mc:Fallback>
            <w:pict>
              <v:group w14:anchorId="3CBFC92B" id="Group 49" o:spid="_x0000_s1026" style="position:absolute;margin-left:67.15pt;margin-top:75.9pt;width:251.9pt;height:251.2pt;z-index:251678720;mso-height-relative:margin" coordorigin=",-1207" coordsize="31989,31900" o:gfxdata="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">
                <v:shape id="Ink 13" o:spid="_x0000_s1027" type="#_x0000_t75" style="position:absolute;left:16;top:16192;width:27522;height: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">
                  <v:imagedata r:id="rId42" o:title=""/>
                </v:shape>
                <v:shape id="Ink 17" o:spid="_x0000_s1028" type="#_x0000_t75" style="position:absolute;left:352;top:-2284;width:28829;height:2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">
                  <v:imagedata r:id="rId43" o:title=""/>
                </v:shape>
                <v:shape id="Ink 19" o:spid="_x0000_s1029" type="#_x0000_t75" style="position:absolute;left:-136;top:22808;width:28162;height:2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">
                  <v:imagedata r:id="rId44" o:title=""/>
                </v:shape>
                <v:shape id="Ink 20" o:spid="_x0000_s1030" type="#_x0000_t75" style="position:absolute;left:-536;top:3447;width:28634;height:2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">
                  <v:imagedata r:id="rId45" o:title=""/>
                </v:shape>
                <v:shape id="Ink 21" o:spid="_x0000_s1031" type="#_x0000_t75" style="position:absolute;left:-377;top:24796;width:27751;height:2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">
                  <v:imagedata r:id="rId46" o:title=""/>
                </v:shape>
                <v:shape id="Ink 22" o:spid="_x0000_s1032" type="#_x0000_t75" style="position:absolute;left:98;top:26866;width:28051;height:2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">
                  <v:imagedata r:id="rId47" o:title=""/>
                </v:shape>
                <v:shape id="Ink 24" o:spid="_x0000_s1033" type="#_x0000_t75" style="position:absolute;left:16;top:5603;width:28083;height:2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">
                  <v:imagedata r:id="rId48" o:title=""/>
                </v:shape>
                <v:shape id="Ink 26" o:spid="_x0000_s1034" type="#_x0000_t75" style="position:absolute;left:-298;top:7521;width:28320;height:2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">
                  <v:imagedata r:id="rId49" o:title=""/>
                </v:shape>
                <v:shape id="Ink 29" o:spid="_x0000_s1035" type="#_x0000_t75" style="position:absolute;left:28554;top:12156;width:3521;height:18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">
                  <v:imagedata r:id="rId50" o:title=""/>
                </v:shape>
              </v:group>
            </w:pict>
          </mc:Fallback>
        </mc:AlternateContent>
      </w:r>
    </w:p>
    <w:p w14:paraId="75662CB0" w14:textId="5A90F6B9" w:rsidR="00EA0C07" w:rsidRDefault="00EA0C07" w:rsidP="00EA0C07">
      <w:pPr>
        <w:pStyle w:val="Caption"/>
        <w:keepNext/>
        <w:jc w:val="center"/>
      </w:pPr>
      <w:r>
        <w:t xml:space="preserve">Table </w:t>
      </w:r>
      <w:r>
        <w:fldChar w:fldCharType="begin"/>
      </w:r>
      <w:r>
        <w:instrText xml:space="preserve"> SEQ Table \* ARABIC </w:instrText>
      </w:r>
      <w:r>
        <w:fldChar w:fldCharType="separate"/>
      </w:r>
      <w:r>
        <w:rPr>
          <w:noProof/>
        </w:rPr>
        <w:t>6</w:t>
      </w:r>
      <w:r>
        <w:fldChar w:fldCharType="end"/>
      </w:r>
      <w:r>
        <w:t xml:space="preserve"> - Interaction Regression - Sex</w:t>
      </w:r>
    </w:p>
    <w:p w14:paraId="4B512CE9" w14:textId="2DC655C1" w:rsidR="00EA0C07" w:rsidRDefault="00EA0C07" w:rsidP="00EA0C07">
      <w:pPr>
        <w:pStyle w:val="Newparagraph"/>
        <w:jc w:val="center"/>
        <w:rPr>
          <w:lang w:val="en-US"/>
        </w:rPr>
      </w:pPr>
      <w:r w:rsidRPr="00EA0C07">
        <w:rPr>
          <w:lang w:val="en-US"/>
        </w:rPr>
        <w:drawing>
          <wp:inline distT="0" distB="0" distL="0" distR="0" wp14:anchorId="6815C8D3" wp14:editId="7B771B0B">
            <wp:extent cx="4224655" cy="5267026"/>
            <wp:effectExtent l="0" t="0" r="4445" b="0"/>
            <wp:docPr id="790890057" name="Picture 1" descr="A table of numbers with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90057" name="Picture 1" descr="A table of numbers with a black text&#10;&#10;AI-generated content may be incorrect."/>
                    <pic:cNvPicPr/>
                  </pic:nvPicPr>
                  <pic:blipFill rotWithShape="1">
                    <a:blip r:embed="rId51"/>
                    <a:srcRect l="1" t="5421" r="-6"/>
                    <a:stretch>
                      <a:fillRect/>
                    </a:stretch>
                  </pic:blipFill>
                  <pic:spPr bwMode="auto">
                    <a:xfrm>
                      <a:off x="0" y="0"/>
                      <a:ext cx="4231030" cy="5274974"/>
                    </a:xfrm>
                    <a:prstGeom prst="rect">
                      <a:avLst/>
                    </a:prstGeom>
                    <a:ln>
                      <a:noFill/>
                    </a:ln>
                    <a:extLst>
                      <a:ext uri="{53640926-AAD7-44D8-BBD7-CCE9431645EC}">
                        <a14:shadowObscured xmlns:a14="http://schemas.microsoft.com/office/drawing/2010/main"/>
                      </a:ext>
                    </a:extLst>
                  </pic:spPr>
                </pic:pic>
              </a:graphicData>
            </a:graphic>
          </wp:inline>
        </w:drawing>
      </w:r>
    </w:p>
    <w:p w14:paraId="73BBA90B" w14:textId="77777777" w:rsidR="00EA0C07" w:rsidRDefault="00EA0C07" w:rsidP="00EA0C07">
      <w:pPr>
        <w:pStyle w:val="Newparagraph"/>
        <w:jc w:val="center"/>
        <w:rPr>
          <w:lang w:val="en-US"/>
        </w:rPr>
      </w:pPr>
    </w:p>
    <w:p w14:paraId="31816C53" w14:textId="77777777" w:rsidR="00CE2518" w:rsidRDefault="00CE2518" w:rsidP="00EA0C07">
      <w:pPr>
        <w:pStyle w:val="Newparagraph"/>
        <w:jc w:val="center"/>
        <w:rPr>
          <w:lang w:val="en-US"/>
        </w:rPr>
      </w:pPr>
    </w:p>
    <w:p w14:paraId="332217FD" w14:textId="3DFF2591" w:rsidR="00CE2518" w:rsidRDefault="00CE2518">
      <w:pPr>
        <w:spacing w:line="240" w:lineRule="auto"/>
        <w:rPr>
          <w:lang w:val="en-US"/>
        </w:rPr>
      </w:pPr>
      <w:r>
        <w:rPr>
          <w:lang w:val="en-US"/>
        </w:rPr>
        <w:br w:type="page"/>
      </w:r>
    </w:p>
    <w:p w14:paraId="005111A8" w14:textId="77777777" w:rsidR="00CE2518" w:rsidRDefault="00CE2518" w:rsidP="00EA0C07">
      <w:pPr>
        <w:pStyle w:val="Newparagraph"/>
        <w:jc w:val="center"/>
        <w:rPr>
          <w:lang w:val="en-US"/>
        </w:rPr>
      </w:pPr>
    </w:p>
    <w:p w14:paraId="1C94DBCC" w14:textId="00428BD8" w:rsidR="00EA0C07" w:rsidRDefault="00EA0C07" w:rsidP="00EA0C07">
      <w:pPr>
        <w:pStyle w:val="Heading3"/>
        <w:rPr>
          <w:lang w:val="en-US"/>
        </w:rPr>
      </w:pPr>
      <w:r>
        <w:rPr>
          <w:lang w:val="en-US"/>
        </w:rPr>
        <w:t>Health</w:t>
      </w:r>
    </w:p>
    <w:p w14:paraId="0825789A" w14:textId="77777777" w:rsidR="00CE2518" w:rsidRPr="00CE2518" w:rsidRDefault="00CE2518" w:rsidP="00CE2518">
      <w:pPr>
        <w:pStyle w:val="Paragraph"/>
        <w:spacing w:line="240" w:lineRule="auto"/>
        <w:ind w:firstLine="720"/>
        <w:rPr>
          <w:lang w:val="en-US"/>
        </w:rPr>
      </w:pPr>
      <w:r w:rsidRPr="00CE2518">
        <w:rPr>
          <w:lang w:val="en-US"/>
        </w:rPr>
        <w:t>To capture health-related variation in preferences, mixed logit models were estimated with interaction terms between housing attributes and a dummy equal to 1 for respondents reporting “good” or better health (reference = fair/poor). Main effects therefore represent the less healthy group, while interaction coefficients measure how preferences differ for healthier respondents. MWTPs are computed for each group independently; statistical significance refers solely to the coefficient estimates.</w:t>
      </w:r>
    </w:p>
    <w:p w14:paraId="5EC6171A" w14:textId="77777777" w:rsidR="00CE2518" w:rsidRPr="00CE2518" w:rsidRDefault="00CE2518" w:rsidP="00CE2518">
      <w:pPr>
        <w:pStyle w:val="Paragraph"/>
        <w:spacing w:line="240" w:lineRule="auto"/>
        <w:ind w:firstLine="720"/>
        <w:rPr>
          <w:lang w:val="en-US"/>
        </w:rPr>
      </w:pPr>
      <w:r w:rsidRPr="00CE2518">
        <w:rPr>
          <w:lang w:val="en-US"/>
        </w:rPr>
        <w:t xml:space="preserve">For homeowners, several coefficients differ by health status, though few reach conventional significance thresholds. The interactions for </w:t>
      </w:r>
      <w:r w:rsidRPr="00CE2518">
        <w:rPr>
          <w:b/>
          <w:bCs/>
          <w:lang w:val="en-US"/>
        </w:rPr>
        <w:t>green space proximity</w:t>
      </w:r>
      <w:r w:rsidRPr="00CE2518">
        <w:rPr>
          <w:lang w:val="en-US"/>
        </w:rPr>
        <w:t xml:space="preserve"> are positive but not significant, indicating that healthier respondents tend to value outdoor and recreational access more, though the difference is not statistically confirmed. The </w:t>
      </w:r>
      <w:r w:rsidRPr="00CE2518">
        <w:rPr>
          <w:b/>
          <w:bCs/>
          <w:lang w:val="en-US"/>
        </w:rPr>
        <w:t>parking interactions</w:t>
      </w:r>
      <w:r w:rsidRPr="00CE2518">
        <w:rPr>
          <w:lang w:val="en-US"/>
        </w:rPr>
        <w:t xml:space="preserve"> are negative but insignificant, suggesting that respondents in poorer health may rely more on private vehicle access for mobility.</w:t>
      </w:r>
    </w:p>
    <w:p w14:paraId="707127D8" w14:textId="77777777" w:rsidR="00CE2518" w:rsidRPr="00CE2518" w:rsidRDefault="00CE2518" w:rsidP="00CE2518">
      <w:pPr>
        <w:pStyle w:val="Paragraph"/>
        <w:spacing w:line="240" w:lineRule="auto"/>
        <w:ind w:firstLine="720"/>
        <w:rPr>
          <w:lang w:val="en-US"/>
        </w:rPr>
      </w:pPr>
      <w:r w:rsidRPr="00CE2518">
        <w:rPr>
          <w:lang w:val="en-US"/>
        </w:rPr>
        <w:t>The general pattern of MWTPs supports these interpretations: healthier homeowners exhibit higher MWTPs for outdoor and mobility-related attributes (≈380–420 SEK higher for green space and shops within 500 m), while those in poorer health display somewhat greater MWTP for parking amenities (≈100–150 SEK higher). Although not statistically significant, these directional trends are consistent with theoretical expectations regarding physical capacity and environmental engagement.</w:t>
      </w:r>
    </w:p>
    <w:p w14:paraId="2049F37A" w14:textId="77777777" w:rsidR="00CE2518" w:rsidRPr="00CE2518" w:rsidRDefault="00CE2518" w:rsidP="00CE2518">
      <w:pPr>
        <w:pStyle w:val="Paragraph"/>
        <w:spacing w:line="240" w:lineRule="auto"/>
        <w:ind w:firstLine="720"/>
        <w:rPr>
          <w:lang w:val="en-US"/>
        </w:rPr>
      </w:pPr>
      <w:r w:rsidRPr="00CE2518">
        <w:rPr>
          <w:lang w:val="en-US"/>
        </w:rPr>
        <w:t>Among renters, no interaction coefficients are statistically significant. Nonetheless, MWTPs suggest similar patterns: renters in good health exhibit somewhat higher valuations for green space and public transport, whereas those in poorer health show elevated MWTP for parking convenience. These effects are modest in magnitude and imprecisely estimated, likely due to smaller sample size and limited variation in self-reported health among renters.</w:t>
      </w:r>
    </w:p>
    <w:p w14:paraId="51DCD2F9" w14:textId="77777777" w:rsidR="00CE2518" w:rsidRPr="00CE2518" w:rsidRDefault="00CE2518" w:rsidP="00CE2518">
      <w:pPr>
        <w:pStyle w:val="Paragraph"/>
        <w:spacing w:line="240" w:lineRule="auto"/>
        <w:ind w:firstLine="720"/>
        <w:rPr>
          <w:lang w:val="en-US"/>
        </w:rPr>
      </w:pPr>
      <w:r w:rsidRPr="00CE2518">
        <w:rPr>
          <w:lang w:val="en-US"/>
        </w:rPr>
        <w:t>The health heterogeneity results indicate that preference structures vary with physical condition, though most differences are not statistically significant. Healthier respondents display higher valuations for attributes that support outdoor activity and local engagement, while those in poorer health prioritize accessibility and convenience features. These patterns suggest that health status influences housing attribute trade-offs in predictable ways, even if the estimated differences are not statistically strong.</w:t>
      </w:r>
    </w:p>
    <w:p w14:paraId="02221C6A" w14:textId="77777777" w:rsidR="00CE2518" w:rsidRPr="00CE2518" w:rsidRDefault="00CE2518" w:rsidP="00CE2518">
      <w:pPr>
        <w:pStyle w:val="Newparagraph"/>
      </w:pPr>
    </w:p>
    <w:p w14:paraId="1795B825" w14:textId="6ED80A5D" w:rsidR="00EA0C07" w:rsidRPr="00EA0C07" w:rsidRDefault="00EA0C07" w:rsidP="00EA0C07">
      <w:pPr>
        <w:pStyle w:val="Newparagraph"/>
        <w:jc w:val="center"/>
        <w:rPr>
          <w:lang w:val="en-US"/>
        </w:rPr>
      </w:pPr>
      <w:r>
        <w:rPr>
          <w:noProof/>
          <w:lang w:val="en-US"/>
        </w:rPr>
        <w:lastRenderedPageBreak/>
        <mc:AlternateContent>
          <mc:Choice Requires="wpi">
            <w:drawing>
              <wp:anchor distT="0" distB="0" distL="114300" distR="114300" simplePos="0" relativeHeight="251689984" behindDoc="0" locked="0" layoutInCell="1" allowOverlap="1" wp14:anchorId="71127237" wp14:editId="45A1A33F">
                <wp:simplePos x="0" y="0"/>
                <wp:positionH relativeFrom="column">
                  <wp:posOffset>751733</wp:posOffset>
                </wp:positionH>
                <wp:positionV relativeFrom="paragraph">
                  <wp:posOffset>1054966</wp:posOffset>
                </wp:positionV>
                <wp:extent cx="1082880" cy="38520"/>
                <wp:effectExtent l="95250" t="152400" r="136525" b="152400"/>
                <wp:wrapNone/>
                <wp:docPr id="1803795418" name="Ink 42"/>
                <wp:cNvGraphicFramePr/>
                <a:graphic xmlns:a="http://schemas.openxmlformats.org/drawingml/2006/main">
                  <a:graphicData uri="http://schemas.microsoft.com/office/word/2010/wordprocessingInk">
                    <w14:contentPart bwMode="auto" r:id="rId52">
                      <w14:nvContentPartPr>
                        <w14:cNvContentPartPr/>
                      </w14:nvContentPartPr>
                      <w14:xfrm>
                        <a:off x="0" y="0"/>
                        <a:ext cx="1082880" cy="38520"/>
                      </w14:xfrm>
                    </w14:contentPart>
                  </a:graphicData>
                </a:graphic>
              </wp:anchor>
            </w:drawing>
          </mc:Choice>
          <mc:Fallback>
            <w:pict>
              <v:shape w14:anchorId="7060928F" id="Ink 42" o:spid="_x0000_s1026" type="#_x0000_t75" style="position:absolute;margin-left:54.95pt;margin-top:74.55pt;width:93.75pt;height:20.0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">
                <v:imagedata r:id="rId53" o:title=""/>
              </v:shape>
            </w:pict>
          </mc:Fallback>
        </mc:AlternateContent>
      </w:r>
      <w:r>
        <w:rPr>
          <w:noProof/>
          <w:lang w:val="en-US"/>
        </w:rPr>
        <mc:AlternateContent>
          <mc:Choice Requires="wpi">
            <w:drawing>
              <wp:anchor distT="0" distB="0" distL="114300" distR="114300" simplePos="0" relativeHeight="251688960" behindDoc="0" locked="0" layoutInCell="1" allowOverlap="1" wp14:anchorId="128D7855" wp14:editId="38E1B320">
                <wp:simplePos x="0" y="0"/>
                <wp:positionH relativeFrom="column">
                  <wp:posOffset>735533</wp:posOffset>
                </wp:positionH>
                <wp:positionV relativeFrom="paragraph">
                  <wp:posOffset>871726</wp:posOffset>
                </wp:positionV>
                <wp:extent cx="1209240" cy="360"/>
                <wp:effectExtent l="95250" t="152400" r="105410" b="152400"/>
                <wp:wrapNone/>
                <wp:docPr id="1055288689" name="Ink 41"/>
                <wp:cNvGraphicFramePr/>
                <a:graphic xmlns:a="http://schemas.openxmlformats.org/drawingml/2006/main">
                  <a:graphicData uri="http://schemas.microsoft.com/office/word/2010/wordprocessingInk">
                    <w14:contentPart bwMode="auto" r:id="rId54">
                      <w14:nvContentPartPr>
                        <w14:cNvContentPartPr/>
                      </w14:nvContentPartPr>
                      <w14:xfrm>
                        <a:off x="0" y="0"/>
                        <a:ext cx="1209240" cy="360"/>
                      </w14:xfrm>
                    </w14:contentPart>
                  </a:graphicData>
                </a:graphic>
              </wp:anchor>
            </w:drawing>
          </mc:Choice>
          <mc:Fallback>
            <w:pict>
              <v:shape w14:anchorId="112CED75" id="Ink 41" o:spid="_x0000_s1026" type="#_x0000_t75" style="position:absolute;margin-left:53.7pt;margin-top:60.15pt;width:103.7pt;height:17.0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">
                <v:imagedata r:id="rId55" o:title=""/>
              </v:shape>
            </w:pict>
          </mc:Fallback>
        </mc:AlternateContent>
      </w:r>
      <w:r>
        <w:rPr>
          <w:noProof/>
          <w:lang w:val="en-US"/>
        </w:rPr>
        <mc:AlternateContent>
          <mc:Choice Requires="wpi">
            <w:drawing>
              <wp:anchor distT="0" distB="0" distL="114300" distR="114300" simplePos="0" relativeHeight="251687936" behindDoc="0" locked="0" layoutInCell="1" allowOverlap="1" wp14:anchorId="3F2C1317" wp14:editId="0425CACC">
                <wp:simplePos x="0" y="0"/>
                <wp:positionH relativeFrom="column">
                  <wp:posOffset>823373</wp:posOffset>
                </wp:positionH>
                <wp:positionV relativeFrom="paragraph">
                  <wp:posOffset>3157006</wp:posOffset>
                </wp:positionV>
                <wp:extent cx="1458720" cy="25200"/>
                <wp:effectExtent l="95250" t="152400" r="103505" b="146685"/>
                <wp:wrapNone/>
                <wp:docPr id="447496442" name="Ink 40"/>
                <wp:cNvGraphicFramePr/>
                <a:graphic xmlns:a="http://schemas.openxmlformats.org/drawingml/2006/main">
                  <a:graphicData uri="http://schemas.microsoft.com/office/word/2010/wordprocessingInk">
                    <w14:contentPart bwMode="auto" r:id="rId56">
                      <w14:nvContentPartPr>
                        <w14:cNvContentPartPr/>
                      </w14:nvContentPartPr>
                      <w14:xfrm>
                        <a:off x="0" y="0"/>
                        <a:ext cx="1458720" cy="25200"/>
                      </w14:xfrm>
                    </w14:contentPart>
                  </a:graphicData>
                </a:graphic>
              </wp:anchor>
            </w:drawing>
          </mc:Choice>
          <mc:Fallback>
            <w:pict>
              <v:shape w14:anchorId="236A65D6" id="Ink 40" o:spid="_x0000_s1026" type="#_x0000_t75" style="position:absolute;margin-left:60.6pt;margin-top:240.1pt;width:123.35pt;height:19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">
                <v:imagedata r:id="rId57" o:title=""/>
              </v:shape>
            </w:pict>
          </mc:Fallback>
        </mc:AlternateContent>
      </w:r>
      <w:r>
        <w:rPr>
          <w:noProof/>
          <w:lang w:val="en-US"/>
        </w:rPr>
        <mc:AlternateContent>
          <mc:Choice Requires="wpi">
            <w:drawing>
              <wp:anchor distT="0" distB="0" distL="114300" distR="114300" simplePos="0" relativeHeight="251686912" behindDoc="0" locked="0" layoutInCell="1" allowOverlap="1" wp14:anchorId="67C0D500" wp14:editId="7C41D218">
                <wp:simplePos x="0" y="0"/>
                <wp:positionH relativeFrom="column">
                  <wp:posOffset>791333</wp:posOffset>
                </wp:positionH>
                <wp:positionV relativeFrom="paragraph">
                  <wp:posOffset>2934886</wp:posOffset>
                </wp:positionV>
                <wp:extent cx="1387440" cy="32400"/>
                <wp:effectExtent l="95250" t="152400" r="137160" b="158115"/>
                <wp:wrapNone/>
                <wp:docPr id="1560253534" name="Ink 39"/>
                <wp:cNvGraphicFramePr/>
                <a:graphic xmlns:a="http://schemas.openxmlformats.org/drawingml/2006/main">
                  <a:graphicData uri="http://schemas.microsoft.com/office/word/2010/wordprocessingInk">
                    <w14:contentPart bwMode="auto" r:id="rId58">
                      <w14:nvContentPartPr>
                        <w14:cNvContentPartPr/>
                      </w14:nvContentPartPr>
                      <w14:xfrm>
                        <a:off x="0" y="0"/>
                        <a:ext cx="1387440" cy="32400"/>
                      </w14:xfrm>
                    </w14:contentPart>
                  </a:graphicData>
                </a:graphic>
              </wp:anchor>
            </w:drawing>
          </mc:Choice>
          <mc:Fallback>
            <w:pict>
              <v:shape w14:anchorId="04918961" id="Ink 39" o:spid="_x0000_s1026" type="#_x0000_t75" style="position:absolute;margin-left:58.1pt;margin-top:222.6pt;width:117.75pt;height:19.5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">
                <v:imagedata r:id="rId59" o:title=""/>
              </v:shape>
            </w:pict>
          </mc:Fallback>
        </mc:AlternateContent>
      </w:r>
      <w:r>
        <w:rPr>
          <w:noProof/>
          <w:lang w:val="en-US"/>
        </w:rPr>
        <mc:AlternateContent>
          <mc:Choice Requires="wpi">
            <w:drawing>
              <wp:anchor distT="0" distB="0" distL="114300" distR="114300" simplePos="0" relativeHeight="251685888" behindDoc="0" locked="0" layoutInCell="1" allowOverlap="1" wp14:anchorId="27753EDE" wp14:editId="181F1A54">
                <wp:simplePos x="0" y="0"/>
                <wp:positionH relativeFrom="column">
                  <wp:posOffset>4041053</wp:posOffset>
                </wp:positionH>
                <wp:positionV relativeFrom="paragraph">
                  <wp:posOffset>1078726</wp:posOffset>
                </wp:positionV>
                <wp:extent cx="1184400" cy="41400"/>
                <wp:effectExtent l="95250" t="152400" r="111125" b="149225"/>
                <wp:wrapNone/>
                <wp:docPr id="1941670168" name="Ink 38"/>
                <wp:cNvGraphicFramePr/>
                <a:graphic xmlns:a="http://schemas.openxmlformats.org/drawingml/2006/main">
                  <a:graphicData uri="http://schemas.microsoft.com/office/word/2010/wordprocessingInk">
                    <w14:contentPart bwMode="auto" r:id="rId60">
                      <w14:nvContentPartPr>
                        <w14:cNvContentPartPr/>
                      </w14:nvContentPartPr>
                      <w14:xfrm>
                        <a:off x="0" y="0"/>
                        <a:ext cx="1184400" cy="41400"/>
                      </w14:xfrm>
                    </w14:contentPart>
                  </a:graphicData>
                </a:graphic>
              </wp:anchor>
            </w:drawing>
          </mc:Choice>
          <mc:Fallback>
            <w:pict>
              <v:shape w14:anchorId="70C320B5" id="Ink 38" o:spid="_x0000_s1026" type="#_x0000_t75" style="position:absolute;margin-left:314pt;margin-top:76.45pt;width:101.75pt;height:20.2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">
                <v:imagedata r:id="rId61" o:title=""/>
              </v:shape>
            </w:pict>
          </mc:Fallback>
        </mc:AlternateContent>
      </w:r>
      <w:r>
        <w:rPr>
          <w:noProof/>
          <w:lang w:val="en-US"/>
        </w:rPr>
        <mc:AlternateContent>
          <mc:Choice Requires="wpi">
            <w:drawing>
              <wp:anchor distT="0" distB="0" distL="114300" distR="114300" simplePos="0" relativeHeight="251684864" behindDoc="0" locked="0" layoutInCell="1" allowOverlap="1" wp14:anchorId="62CD7BB4" wp14:editId="534EFBCF">
                <wp:simplePos x="0" y="0"/>
                <wp:positionH relativeFrom="column">
                  <wp:posOffset>4033133</wp:posOffset>
                </wp:positionH>
                <wp:positionV relativeFrom="paragraph">
                  <wp:posOffset>847966</wp:posOffset>
                </wp:positionV>
                <wp:extent cx="1171080" cy="48600"/>
                <wp:effectExtent l="95250" t="152400" r="67310" b="161290"/>
                <wp:wrapNone/>
                <wp:docPr id="143027897" name="Ink 37"/>
                <wp:cNvGraphicFramePr/>
                <a:graphic xmlns:a="http://schemas.openxmlformats.org/drawingml/2006/main">
                  <a:graphicData uri="http://schemas.microsoft.com/office/word/2010/wordprocessingInk">
                    <w14:contentPart bwMode="auto" r:id="rId62">
                      <w14:nvContentPartPr>
                        <w14:cNvContentPartPr/>
                      </w14:nvContentPartPr>
                      <w14:xfrm>
                        <a:off x="0" y="0"/>
                        <a:ext cx="1171080" cy="48600"/>
                      </w14:xfrm>
                    </w14:contentPart>
                  </a:graphicData>
                </a:graphic>
              </wp:anchor>
            </w:drawing>
          </mc:Choice>
          <mc:Fallback>
            <w:pict>
              <v:shape w14:anchorId="4E4C0DA5" id="Ink 37" o:spid="_x0000_s1026" type="#_x0000_t75" style="position:absolute;margin-left:313.3pt;margin-top:58.25pt;width:100.7pt;height:20.8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">
                <v:imagedata r:id="rId63" o:title=""/>
              </v:shape>
            </w:pict>
          </mc:Fallback>
        </mc:AlternateContent>
      </w:r>
      <w:r>
        <w:rPr>
          <w:noProof/>
          <w:lang w:val="en-US"/>
        </w:rPr>
        <mc:AlternateContent>
          <mc:Choice Requires="wpi">
            <w:drawing>
              <wp:anchor distT="0" distB="0" distL="114300" distR="114300" simplePos="0" relativeHeight="251683840" behindDoc="0" locked="0" layoutInCell="1" allowOverlap="1" wp14:anchorId="1A423621" wp14:editId="314F8931">
                <wp:simplePos x="0" y="0"/>
                <wp:positionH relativeFrom="column">
                  <wp:posOffset>4041053</wp:posOffset>
                </wp:positionH>
                <wp:positionV relativeFrom="paragraph">
                  <wp:posOffset>3189766</wp:posOffset>
                </wp:positionV>
                <wp:extent cx="1186560" cy="65160"/>
                <wp:effectExtent l="95250" t="152400" r="90170" b="163830"/>
                <wp:wrapNone/>
                <wp:docPr id="302698671" name="Ink 36"/>
                <wp:cNvGraphicFramePr/>
                <a:graphic xmlns:a="http://schemas.openxmlformats.org/drawingml/2006/main">
                  <a:graphicData uri="http://schemas.microsoft.com/office/word/2010/wordprocessingInk">
                    <w14:contentPart bwMode="auto" r:id="rId64">
                      <w14:nvContentPartPr>
                        <w14:cNvContentPartPr/>
                      </w14:nvContentPartPr>
                      <w14:xfrm>
                        <a:off x="0" y="0"/>
                        <a:ext cx="1186560" cy="65160"/>
                      </w14:xfrm>
                    </w14:contentPart>
                  </a:graphicData>
                </a:graphic>
              </wp:anchor>
            </w:drawing>
          </mc:Choice>
          <mc:Fallback>
            <w:pict>
              <v:shape w14:anchorId="281B4868" id="Ink 36" o:spid="_x0000_s1026" type="#_x0000_t75" style="position:absolute;margin-left:314pt;margin-top:242.65pt;width:101.95pt;height:22.1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">
                <v:imagedata r:id="rId65" o:title=""/>
              </v:shape>
            </w:pict>
          </mc:Fallback>
        </mc:AlternateContent>
      </w:r>
      <w:r>
        <w:rPr>
          <w:noProof/>
          <w:lang w:val="en-US"/>
        </w:rPr>
        <mc:AlternateContent>
          <mc:Choice Requires="wpi">
            <w:drawing>
              <wp:anchor distT="0" distB="0" distL="114300" distR="114300" simplePos="0" relativeHeight="251682816" behindDoc="0" locked="0" layoutInCell="1" allowOverlap="1" wp14:anchorId="19F32913" wp14:editId="1E76094D">
                <wp:simplePos x="0" y="0"/>
                <wp:positionH relativeFrom="column">
                  <wp:posOffset>4025213</wp:posOffset>
                </wp:positionH>
                <wp:positionV relativeFrom="paragraph">
                  <wp:posOffset>2942806</wp:posOffset>
                </wp:positionV>
                <wp:extent cx="1162080" cy="16560"/>
                <wp:effectExtent l="95250" t="152400" r="95250" b="154940"/>
                <wp:wrapNone/>
                <wp:docPr id="230871213" name="Ink 35"/>
                <wp:cNvGraphicFramePr/>
                <a:graphic xmlns:a="http://schemas.openxmlformats.org/drawingml/2006/main">
                  <a:graphicData uri="http://schemas.microsoft.com/office/word/2010/wordprocessingInk">
                    <w14:contentPart bwMode="auto" r:id="rId66">
                      <w14:nvContentPartPr>
                        <w14:cNvContentPartPr/>
                      </w14:nvContentPartPr>
                      <w14:xfrm>
                        <a:off x="0" y="0"/>
                        <a:ext cx="1162080" cy="16560"/>
                      </w14:xfrm>
                    </w14:contentPart>
                  </a:graphicData>
                </a:graphic>
              </wp:anchor>
            </w:drawing>
          </mc:Choice>
          <mc:Fallback>
            <w:pict>
              <v:shape w14:anchorId="045B2954" id="Ink 35" o:spid="_x0000_s1026" type="#_x0000_t75" style="position:absolute;margin-left:312.75pt;margin-top:223.2pt;width:100pt;height:18.3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">
                <v:imagedata r:id="rId67" o:title=""/>
              </v:shape>
            </w:pict>
          </mc:Fallback>
        </mc:AlternateContent>
      </w:r>
      <w:r>
        <w:rPr>
          <w:noProof/>
          <w:lang w:val="en-US"/>
        </w:rPr>
        <mc:AlternateContent>
          <mc:Choice Requires="wpi">
            <w:drawing>
              <wp:anchor distT="0" distB="0" distL="114300" distR="114300" simplePos="0" relativeHeight="251681792" behindDoc="0" locked="0" layoutInCell="1" allowOverlap="1" wp14:anchorId="45B48CCC" wp14:editId="0C11B5BF">
                <wp:simplePos x="0" y="0"/>
                <wp:positionH relativeFrom="column">
                  <wp:posOffset>775493</wp:posOffset>
                </wp:positionH>
                <wp:positionV relativeFrom="paragraph">
                  <wp:posOffset>1763806</wp:posOffset>
                </wp:positionV>
                <wp:extent cx="2986200" cy="8640"/>
                <wp:effectExtent l="95250" t="152400" r="100330" b="163195"/>
                <wp:wrapNone/>
                <wp:docPr id="546714877" name="Ink 32"/>
                <wp:cNvGraphicFramePr/>
                <a:graphic xmlns:a="http://schemas.openxmlformats.org/drawingml/2006/main">
                  <a:graphicData uri="http://schemas.microsoft.com/office/word/2010/wordprocessingInk">
                    <w14:contentPart bwMode="auto" r:id="rId68">
                      <w14:nvContentPartPr>
                        <w14:cNvContentPartPr/>
                      </w14:nvContentPartPr>
                      <w14:xfrm>
                        <a:off x="0" y="0"/>
                        <a:ext cx="2986200" cy="8640"/>
                      </w14:xfrm>
                    </w14:contentPart>
                  </a:graphicData>
                </a:graphic>
              </wp:anchor>
            </w:drawing>
          </mc:Choice>
          <mc:Fallback>
            <w:pict>
              <v:shape w14:anchorId="14E57A9B" id="Ink 32" o:spid="_x0000_s1026" type="#_x0000_t75" style="position:absolute;margin-left:56.8pt;margin-top:130.4pt;width:243.65pt;height:17.7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">
                <v:imagedata r:id="rId69" o:title=""/>
              </v:shape>
            </w:pict>
          </mc:Fallback>
        </mc:AlternateContent>
      </w:r>
      <w:r>
        <w:rPr>
          <w:noProof/>
          <w:lang w:val="en-US"/>
        </w:rPr>
        <mc:AlternateContent>
          <mc:Choice Requires="wpi">
            <w:drawing>
              <wp:anchor distT="0" distB="0" distL="114300" distR="114300" simplePos="0" relativeHeight="251680768" behindDoc="0" locked="0" layoutInCell="1" allowOverlap="1" wp14:anchorId="77FDB9C4" wp14:editId="2145C134">
                <wp:simplePos x="0" y="0"/>
                <wp:positionH relativeFrom="column">
                  <wp:posOffset>756053</wp:posOffset>
                </wp:positionH>
                <wp:positionV relativeFrom="paragraph">
                  <wp:posOffset>3895006</wp:posOffset>
                </wp:positionV>
                <wp:extent cx="2966400" cy="16200"/>
                <wp:effectExtent l="95250" t="152400" r="100965" b="155575"/>
                <wp:wrapNone/>
                <wp:docPr id="80980446" name="Ink 31"/>
                <wp:cNvGraphicFramePr/>
                <a:graphic xmlns:a="http://schemas.openxmlformats.org/drawingml/2006/main">
                  <a:graphicData uri="http://schemas.microsoft.com/office/word/2010/wordprocessingInk">
                    <w14:contentPart bwMode="auto" r:id="rId70">
                      <w14:nvContentPartPr>
                        <w14:cNvContentPartPr/>
                      </w14:nvContentPartPr>
                      <w14:xfrm>
                        <a:off x="0" y="0"/>
                        <a:ext cx="2966400" cy="16200"/>
                      </w14:xfrm>
                    </w14:contentPart>
                  </a:graphicData>
                </a:graphic>
              </wp:anchor>
            </w:drawing>
          </mc:Choice>
          <mc:Fallback>
            <w:pict>
              <v:shape w14:anchorId="2190B8B7" id="Ink 31" o:spid="_x0000_s1026" type="#_x0000_t75" style="position:absolute;margin-left:55.35pt;margin-top:298.2pt;width:242.05pt;height:18.3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">
                <v:imagedata r:id="rId71" o:title=""/>
              </v:shape>
            </w:pict>
          </mc:Fallback>
        </mc:AlternateContent>
      </w:r>
      <w:r w:rsidRPr="00EA0C07">
        <w:rPr>
          <w:lang w:val="en-US"/>
        </w:rPr>
        <w:drawing>
          <wp:inline distT="0" distB="0" distL="0" distR="0" wp14:anchorId="6DAFD041" wp14:editId="3D392CD7">
            <wp:extent cx="4841617" cy="6092041"/>
            <wp:effectExtent l="0" t="0" r="0" b="4445"/>
            <wp:docPr id="552670178" name="Picture 1" descr="A table of numbers and a lis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70178" name="Picture 1" descr="A table of numbers and a list of numbers&#10;&#10;AI-generated content may be incorrect."/>
                    <pic:cNvPicPr/>
                  </pic:nvPicPr>
                  <pic:blipFill>
                    <a:blip r:embed="rId72"/>
                    <a:stretch>
                      <a:fillRect/>
                    </a:stretch>
                  </pic:blipFill>
                  <pic:spPr>
                    <a:xfrm>
                      <a:off x="0" y="0"/>
                      <a:ext cx="4858523" cy="6113314"/>
                    </a:xfrm>
                    <a:prstGeom prst="rect">
                      <a:avLst/>
                    </a:prstGeom>
                  </pic:spPr>
                </pic:pic>
              </a:graphicData>
            </a:graphic>
          </wp:inline>
        </w:drawing>
      </w:r>
    </w:p>
    <w:p w14:paraId="31E3A8E5" w14:textId="77777777" w:rsidR="00EA0C07" w:rsidRDefault="00EA0C07" w:rsidP="00804F25">
      <w:pPr>
        <w:pStyle w:val="Heading2"/>
        <w:rPr>
          <w:lang w:val="en-US"/>
        </w:rPr>
      </w:pPr>
    </w:p>
    <w:p w14:paraId="544BCC22" w14:textId="480A6768" w:rsidR="00CE2518" w:rsidRDefault="00CE2518">
      <w:pPr>
        <w:spacing w:line="240" w:lineRule="auto"/>
        <w:rPr>
          <w:rFonts w:cs="Arial"/>
          <w:b/>
          <w:bCs/>
          <w:i/>
          <w:iCs/>
          <w:szCs w:val="28"/>
          <w:lang w:val="en-US"/>
        </w:rPr>
      </w:pPr>
      <w:r>
        <w:rPr>
          <w:lang w:val="en-US"/>
        </w:rPr>
        <w:br w:type="page"/>
      </w:r>
    </w:p>
    <w:p w14:paraId="522DD41A" w14:textId="77777777" w:rsidR="00EA0C07" w:rsidRDefault="00EA0C07" w:rsidP="00804F25">
      <w:pPr>
        <w:pStyle w:val="Heading2"/>
        <w:rPr>
          <w:lang w:val="en-US"/>
        </w:rPr>
      </w:pPr>
    </w:p>
    <w:p w14:paraId="7741D5D4" w14:textId="77777777" w:rsidR="00EA0C07" w:rsidRDefault="00EA0C07" w:rsidP="00804F25">
      <w:pPr>
        <w:pStyle w:val="Heading2"/>
        <w:rPr>
          <w:lang w:val="en-US"/>
        </w:rPr>
      </w:pPr>
    </w:p>
    <w:p w14:paraId="6F7B3163" w14:textId="7AE32650" w:rsidR="00687915" w:rsidRDefault="00804F25" w:rsidP="00804F25">
      <w:pPr>
        <w:pStyle w:val="Heading2"/>
        <w:rPr>
          <w:lang w:val="en-US"/>
        </w:rPr>
      </w:pPr>
      <w:r>
        <w:rPr>
          <w:lang w:val="en-US"/>
        </w:rPr>
        <w:t>Discussion</w:t>
      </w:r>
    </w:p>
    <w:p w14:paraId="3B400575" w14:textId="77777777" w:rsidR="005D32D8" w:rsidRPr="005D32D8" w:rsidRDefault="005D32D8" w:rsidP="005D32D8">
      <w:pPr>
        <w:spacing w:before="100" w:beforeAutospacing="1" w:after="100" w:afterAutospacing="1" w:line="240" w:lineRule="auto"/>
        <w:rPr>
          <w:lang w:val="en-US" w:eastAsia="en-US"/>
        </w:rPr>
      </w:pPr>
      <w:r w:rsidRPr="005D32D8">
        <w:rPr>
          <w:lang w:val="en-US" w:eastAsia="en-US"/>
        </w:rPr>
        <w:t>This study examined how older adults value key residential location attributes and how these preferences vary across demographic and health characteristics. Using mixed logit models estimated on a sample of Swedish older adults, we identified strong baseline preferences for proximity and accessibility features such as green space, retail services, transit stops, and dedicated parking. Across both tenure groups, these amenities contribute substantially to housing utility, with positive MWTP values that indicate meaningful economic trade-offs between accessibility and cost. The analysis of interaction terms reveals that most preferences are broadly shared across subgroups, but certain age- and gender-specific patterns emerge.</w:t>
      </w:r>
    </w:p>
    <w:p w14:paraId="221E39A4" w14:textId="77777777" w:rsidR="005D32D8" w:rsidRPr="005D32D8" w:rsidRDefault="005D32D8" w:rsidP="005D32D8">
      <w:pPr>
        <w:spacing w:before="100" w:beforeAutospacing="1" w:after="100" w:afterAutospacing="1" w:line="240" w:lineRule="auto"/>
        <w:rPr>
          <w:lang w:val="en-US" w:eastAsia="en-US"/>
        </w:rPr>
      </w:pPr>
      <w:r w:rsidRPr="005D32D8">
        <w:rPr>
          <w:lang w:val="en-US" w:eastAsia="en-US"/>
        </w:rPr>
        <w:t>Among homeowners, the interaction coefficients for green space and transit access are statistically significant. The negative coefficient for the green space interaction (–0.68) suggests that the oldest homeowners derive less marginal utility from nearby green areas than younger respondents, while the positive coefficient for the transit interaction (0.47) indicates greater utility for transit accessibility among the 75+ group. Together, these findings imply that as individuals age, the relative importance of mobility and functional access increases, while the incremental benefit of green space proximity declines, perhaps because outdoor engagement depends more on the usability and comfort of green environments than on their exact distance. Among renters, the only significant interaction is for proximity to shops (–2.38), showing that the oldest renters place lower marginal utility on retail proximity compared with younger renters. Other interaction effects are not statistically significant, though MWTP magnitudes remain directionally consistent with the baseline, indicating that the general structure of preferences is largely stable across groups.</w:t>
      </w:r>
    </w:p>
    <w:p w14:paraId="7C95FDC6" w14:textId="77777777" w:rsidR="005D32D8" w:rsidRPr="005D32D8" w:rsidRDefault="005D32D8" w:rsidP="005D32D8">
      <w:pPr>
        <w:spacing w:before="100" w:beforeAutospacing="1" w:after="100" w:afterAutospacing="1" w:line="240" w:lineRule="auto"/>
        <w:rPr>
          <w:lang w:val="en-US" w:eastAsia="en-US"/>
        </w:rPr>
      </w:pPr>
      <w:r w:rsidRPr="005D32D8">
        <w:rPr>
          <w:lang w:val="en-US" w:eastAsia="en-US"/>
        </w:rPr>
        <w:t>Gender differences in housing preferences are modest. For homeowners, the coefficients show that men value nearby green space slightly less and proximity to shops slightly more than women, while differences in parking and transit preferences are statistically indistinguishable. Among renters, no gender interactions are significant, suggesting broadly similar valuations across male and female respondents. Health interactions, although intuitively patterned, are not statistically significant: healthier individuals tend to have higher MWTP for green space and other outdoor amenities, while those in poorer health show somewhat greater valuation of parking and convenience features. Taken together, these results suggest that health and gender contribute primarily to subtle variations in preference intensity rather than to qualitative differences in what attributes matter.</w:t>
      </w:r>
    </w:p>
    <w:p w14:paraId="213593C9" w14:textId="77777777" w:rsidR="005D32D8" w:rsidRPr="005D32D8" w:rsidRDefault="005D32D8" w:rsidP="005D32D8">
      <w:pPr>
        <w:spacing w:before="100" w:beforeAutospacing="1" w:after="100" w:afterAutospacing="1" w:line="240" w:lineRule="auto"/>
        <w:rPr>
          <w:lang w:val="en-US" w:eastAsia="en-US"/>
        </w:rPr>
      </w:pPr>
      <w:r w:rsidRPr="005D32D8">
        <w:rPr>
          <w:lang w:val="en-US" w:eastAsia="en-US"/>
        </w:rPr>
        <w:t xml:space="preserve">The limited number of significant interaction effects indicates that while observable demographic and health characteristics explain some systematic heterogeneity, much of the variation in housing preferences among older adults is likely idiosyncratic. The mixed logit model, which allows for random taste variation across individuals, captures this unobserved heterogeneity directly through random parameters. Consequently, the results suggest that older adults share a broadly similar underlying structure of residential preferences, but individual </w:t>
      </w:r>
      <w:proofErr w:type="gramStart"/>
      <w:r w:rsidRPr="005D32D8">
        <w:rPr>
          <w:lang w:val="en-US" w:eastAsia="en-US"/>
        </w:rPr>
        <w:t>circumstances—</w:t>
      </w:r>
      <w:proofErr w:type="gramEnd"/>
      <w:r w:rsidRPr="005D32D8">
        <w:rPr>
          <w:lang w:val="en-US" w:eastAsia="en-US"/>
        </w:rPr>
        <w:t xml:space="preserve">life course, mobility constraints, </w:t>
      </w:r>
      <w:r w:rsidRPr="005D32D8">
        <w:rPr>
          <w:lang w:val="en-US" w:eastAsia="en-US"/>
        </w:rPr>
        <w:lastRenderedPageBreak/>
        <w:t>social networks—introduce nuanced variation that is not fully captured by standard demographic indicators.</w:t>
      </w:r>
    </w:p>
    <w:p w14:paraId="1F734D6E" w14:textId="77777777" w:rsidR="005D32D8" w:rsidRPr="005D32D8" w:rsidRDefault="005D32D8" w:rsidP="005D32D8">
      <w:pPr>
        <w:spacing w:before="100" w:beforeAutospacing="1" w:after="100" w:afterAutospacing="1" w:line="240" w:lineRule="auto"/>
        <w:rPr>
          <w:lang w:val="en-US" w:eastAsia="en-US"/>
        </w:rPr>
      </w:pPr>
      <w:r w:rsidRPr="005D32D8">
        <w:rPr>
          <w:lang w:val="en-US" w:eastAsia="en-US"/>
        </w:rPr>
        <w:t>These findings align with previous evidence that accessibility and convenience are central components of residential satisfaction in later life. The observed shift among the oldest homeowners toward valuing transit access more highly, and green space somewhat less, is consistent with the growing importance of low-effort mobility and reliable transport links as physical capabilities change. The reduced emphasis on shop proximity among the oldest renters may reflect adaptation to online or assisted shopping options, or simply a smaller role for retail accessibility when other daily needs are already met through service provision. At the same time, the persistently high MWTP values for parking across all subgroups highlight that automobile access remains economically significant even in older age, reinforcing the importance of flexible parking solutions and safe pedestrian environments within housing developments for seniors.</w:t>
      </w:r>
    </w:p>
    <w:p w14:paraId="256E2C69" w14:textId="77777777" w:rsidR="005D32D8" w:rsidRPr="005D32D8" w:rsidRDefault="005D32D8" w:rsidP="005D32D8">
      <w:pPr>
        <w:spacing w:before="100" w:beforeAutospacing="1" w:after="100" w:afterAutospacing="1" w:line="240" w:lineRule="auto"/>
        <w:rPr>
          <w:lang w:val="en-US" w:eastAsia="en-US"/>
        </w:rPr>
      </w:pPr>
      <w:r w:rsidRPr="005D32D8">
        <w:rPr>
          <w:lang w:val="en-US" w:eastAsia="en-US"/>
        </w:rPr>
        <w:t>From a policy perspective, the results support a nuanced approach to age-friendly planning. Transit accessibility and local mobility infrastructure appear especially important for older homeowners, while walkable access to amenities remains valuable but not uniformly decisive across all older groups. For rental housing, the lower MWTP levels and fewer significant interactions suggest tighter budget constraints and more uniform preferences, pointing to the need for public support or shared investment to ensure equitable access to key amenities. Importantly, the negative coefficient for green space among the oldest homeowners does not imply that greenery is unimportant, but rather that design and micro-accessibility—flat paths, seating, lighting, and safe crossings—may outweigh simple distance metrics in shaping utility at advanced ages.</w:t>
      </w:r>
    </w:p>
    <w:p w14:paraId="0EAA7B82" w14:textId="77777777" w:rsidR="005D32D8" w:rsidRPr="005D32D8" w:rsidRDefault="005D32D8" w:rsidP="005D32D8">
      <w:pPr>
        <w:spacing w:before="100" w:beforeAutospacing="1" w:after="100" w:afterAutospacing="1" w:line="240" w:lineRule="auto"/>
        <w:rPr>
          <w:lang w:val="en-US" w:eastAsia="en-US"/>
        </w:rPr>
      </w:pPr>
      <w:r w:rsidRPr="005D32D8">
        <w:rPr>
          <w:lang w:val="en-US" w:eastAsia="en-US"/>
        </w:rPr>
        <w:t>Methodologically, this study highlights the importance of distinguishing between statistical significance in coefficient estimates and the descriptive nature of MWTP values. Because MWTP is a nonlinear transformation of two coefficients, its precision should be interpreted cautiously, and inferences about significance should rely on the underlying parameter estimates. This approach avoids over-interpretation of transformed metrics while preserving the economic meaning of the trade-offs captured in the model.</w:t>
      </w:r>
    </w:p>
    <w:p w14:paraId="3D50E904" w14:textId="77777777" w:rsidR="005D32D8" w:rsidRPr="005D32D8" w:rsidRDefault="005D32D8" w:rsidP="005D32D8">
      <w:pPr>
        <w:spacing w:before="100" w:beforeAutospacing="1" w:after="100" w:afterAutospacing="1" w:line="240" w:lineRule="auto"/>
        <w:rPr>
          <w:lang w:val="en-US" w:eastAsia="en-US"/>
        </w:rPr>
      </w:pPr>
      <w:proofErr w:type="gramStart"/>
      <w:r w:rsidRPr="005D32D8">
        <w:rPr>
          <w:lang w:val="en-US" w:eastAsia="en-US"/>
        </w:rPr>
        <w:t>Several</w:t>
      </w:r>
      <w:proofErr w:type="gramEnd"/>
      <w:r w:rsidRPr="005D32D8">
        <w:rPr>
          <w:lang w:val="en-US" w:eastAsia="en-US"/>
        </w:rPr>
        <w:t xml:space="preserve"> limitations warrant mention. The sample comprises older adults who are already registered for relocation, a group that may differ from the general elderly population in both preferences and willingness to trade off amenities against cost. Attributes were restricted to locational and environmental features; interior dwelling characteristics and social or care-related factors could further influence housing utility. In addition, MWTP values are context-specific, expressed in SEK per month, and should be interpreted relative to prevailing local housing costs and purchasing power. Future research could extend this framework to latent-class models to explore whether distinct preference segments </w:t>
      </w:r>
      <w:proofErr w:type="gramStart"/>
      <w:r w:rsidRPr="005D32D8">
        <w:rPr>
          <w:lang w:val="en-US" w:eastAsia="en-US"/>
        </w:rPr>
        <w:t>exist, or</w:t>
      </w:r>
      <w:proofErr w:type="gramEnd"/>
      <w:r w:rsidRPr="005D32D8">
        <w:rPr>
          <w:lang w:val="en-US" w:eastAsia="en-US"/>
        </w:rPr>
        <w:t xml:space="preserve"> employ bootstrap or delta-method approaches to estimate confidence intervals around MWTP values.</w:t>
      </w:r>
    </w:p>
    <w:p w14:paraId="1C7EC3F3" w14:textId="43E42C99" w:rsidR="005D32D8" w:rsidRDefault="005D32D8" w:rsidP="00BD68CC">
      <w:pPr>
        <w:spacing w:before="100" w:beforeAutospacing="1" w:after="100" w:afterAutospacing="1" w:line="240" w:lineRule="auto"/>
        <w:rPr>
          <w:lang w:val="en-US" w:eastAsia="en-US"/>
        </w:rPr>
      </w:pPr>
      <w:r w:rsidRPr="005D32D8">
        <w:rPr>
          <w:lang w:val="en-US" w:eastAsia="en-US"/>
        </w:rPr>
        <w:t xml:space="preserve">Overall, the evidence points to a largely coherent pattern of housing preferences among older adults, with a few targeted differences that reflect shifts in mobility, autonomy, and daily activity needs at advanced ages. The results suggest that policies promoting </w:t>
      </w:r>
      <w:proofErr w:type="gramStart"/>
      <w:r w:rsidRPr="005D32D8">
        <w:rPr>
          <w:lang w:val="en-US" w:eastAsia="en-US"/>
        </w:rPr>
        <w:t>ageing in place</w:t>
      </w:r>
      <w:proofErr w:type="gramEnd"/>
      <w:r w:rsidRPr="005D32D8">
        <w:rPr>
          <w:lang w:val="en-US" w:eastAsia="en-US"/>
        </w:rPr>
        <w:t xml:space="preserve"> should emphasize transit-accessible, amenity-rich environments that </w:t>
      </w:r>
      <w:r w:rsidRPr="005D32D8">
        <w:rPr>
          <w:lang w:val="en-US" w:eastAsia="en-US"/>
        </w:rPr>
        <w:lastRenderedPageBreak/>
        <w:t>also accommodate changing physical capabilities. By integrating these insights into housing design and location planning, municipalities and developers can better align residential environments with the diverse yet broadly shared preferences of an ageing population.</w:t>
      </w:r>
    </w:p>
    <w:p w14:paraId="3BC7F92D" w14:textId="54CB761B" w:rsidR="00804F25" w:rsidRPr="00804F25" w:rsidRDefault="00804F25" w:rsidP="00804F25">
      <w:pPr>
        <w:pStyle w:val="Paragraph"/>
        <w:spacing w:line="240" w:lineRule="auto"/>
        <w:ind w:firstLine="720"/>
        <w:rPr>
          <w:lang w:val="en-US"/>
        </w:rPr>
      </w:pPr>
      <w:r w:rsidRPr="00804F25">
        <w:rPr>
          <w:lang w:val="en-US"/>
        </w:rPr>
        <w:t>Lastly,</w:t>
      </w:r>
      <w:r>
        <w:rPr>
          <w:lang w:val="en-US"/>
        </w:rPr>
        <w:t xml:space="preserve"> </w:t>
      </w:r>
      <w:r w:rsidRPr="00804F25">
        <w:rPr>
          <w:lang w:val="en-US"/>
        </w:rPr>
        <w:t>we contribute to ageing in place research by identifying differences in housing preferences among older adults.</w:t>
      </w:r>
      <w:r>
        <w:rPr>
          <w:lang w:val="en-US"/>
        </w:rPr>
        <w:t xml:space="preserve"> </w:t>
      </w:r>
      <w:r w:rsidRPr="00804F25">
        <w:rPr>
          <w:lang w:val="en-US"/>
        </w:rPr>
        <w:t xml:space="preserve">With a </w:t>
      </w:r>
      <w:proofErr w:type="gramStart"/>
      <w:r w:rsidRPr="00804F25">
        <w:rPr>
          <w:lang w:val="en-US"/>
        </w:rPr>
        <w:t>larger proportions of older adults</w:t>
      </w:r>
      <w:proofErr w:type="gramEnd"/>
      <w:r w:rsidRPr="00804F25">
        <w:rPr>
          <w:lang w:val="en-US"/>
        </w:rPr>
        <w:t xml:space="preserve"> in most parts of the world,</w:t>
      </w:r>
      <w:r>
        <w:rPr>
          <w:lang w:val="en-US"/>
        </w:rPr>
        <w:t xml:space="preserve"> </w:t>
      </w:r>
      <w:r w:rsidRPr="00804F25">
        <w:rPr>
          <w:lang w:val="en-US"/>
        </w:rPr>
        <w:t xml:space="preserve">knowledge </w:t>
      </w:r>
      <w:proofErr w:type="gramStart"/>
      <w:r w:rsidRPr="00804F25">
        <w:rPr>
          <w:lang w:val="en-US"/>
        </w:rPr>
        <w:t>into</w:t>
      </w:r>
      <w:proofErr w:type="gramEnd"/>
      <w:r w:rsidRPr="00804F25">
        <w:rPr>
          <w:lang w:val="en-US"/>
        </w:rPr>
        <w:t xml:space="preserve"> what may influence independence at home is valuable to governments, policy setters, urban planners, and private companies.</w:t>
      </w:r>
    </w:p>
    <w:p w14:paraId="590B893B" w14:textId="3057A2E6" w:rsidR="00804F25" w:rsidRPr="00804F25" w:rsidRDefault="00804F25" w:rsidP="00804F25">
      <w:pPr>
        <w:pStyle w:val="Paragraph"/>
        <w:spacing w:line="240" w:lineRule="auto"/>
        <w:ind w:firstLine="720"/>
        <w:rPr>
          <w:lang w:val="en-US"/>
        </w:rPr>
      </w:pPr>
      <w:r w:rsidRPr="00804F25">
        <w:rPr>
          <w:lang w:val="en-US"/>
        </w:rPr>
        <w:t>We contribute to this literature with evidence towards preferred housing attributes of older adults.</w:t>
      </w:r>
      <w:r>
        <w:rPr>
          <w:lang w:val="en-US"/>
        </w:rPr>
        <w:t xml:space="preserve"> </w:t>
      </w:r>
      <w:r w:rsidRPr="00804F25">
        <w:rPr>
          <w:lang w:val="en-US"/>
        </w:rPr>
        <w:t>In a similar study,</w:t>
      </w:r>
      <w:r>
        <w:rPr>
          <w:lang w:val="en-US"/>
        </w:rPr>
        <w:t xml:space="preserve"> </w:t>
      </w:r>
      <w:r w:rsidRPr="00804F25">
        <w:rPr>
          <w:lang w:val="en-US"/>
        </w:rPr>
        <w:t>\cite{ossokinaBestLivingConcepts2020} run a discrete choice experiment utilizing predominately building characteristics in their model.</w:t>
      </w:r>
      <w:r>
        <w:rPr>
          <w:lang w:val="en-US"/>
        </w:rPr>
        <w:t xml:space="preserve"> </w:t>
      </w:r>
      <w:r w:rsidRPr="00804F25">
        <w:rPr>
          <w:lang w:val="en-US"/>
        </w:rPr>
        <w:t>In the existing literature,</w:t>
      </w:r>
      <w:r>
        <w:rPr>
          <w:lang w:val="en-US"/>
        </w:rPr>
        <w:t xml:space="preserve"> </w:t>
      </w:r>
      <w:r w:rsidRPr="00804F25">
        <w:rPr>
          <w:lang w:val="en-US"/>
        </w:rPr>
        <w:t>\cite{ossokinaReferencedependentHousingChoice2022a} is closest to our study in the choice of locational attributes.</w:t>
      </w:r>
    </w:p>
    <w:p w14:paraId="145A2736" w14:textId="387D8F03" w:rsidR="00804F25" w:rsidRPr="00804F25" w:rsidRDefault="00804F25" w:rsidP="00BD68CC">
      <w:pPr>
        <w:pStyle w:val="Paragraph"/>
        <w:spacing w:line="240" w:lineRule="auto"/>
        <w:ind w:firstLine="720"/>
        <w:rPr>
          <w:lang w:val="en-US"/>
        </w:rPr>
      </w:pPr>
      <w:r w:rsidRPr="00804F25">
        <w:rPr>
          <w:lang w:val="en-US"/>
        </w:rPr>
        <w:t>The authors find that proximity to public transport has the highest effect on utility in their sample, followed by proximity to shops.</w:t>
      </w:r>
      <w:r>
        <w:rPr>
          <w:lang w:val="en-US"/>
        </w:rPr>
        <w:t xml:space="preserve"> </w:t>
      </w:r>
      <w:r w:rsidRPr="00804F25">
        <w:rPr>
          <w:lang w:val="en-US"/>
        </w:rPr>
        <w:t>Our paper differs from theirs in a few ways.</w:t>
      </w:r>
      <w:r>
        <w:rPr>
          <w:lang w:val="en-US"/>
        </w:rPr>
        <w:t xml:space="preserve"> </w:t>
      </w:r>
      <w:r w:rsidRPr="00804F25">
        <w:rPr>
          <w:lang w:val="en-US"/>
        </w:rPr>
        <w:t>First,</w:t>
      </w:r>
      <w:r>
        <w:rPr>
          <w:lang w:val="en-US"/>
        </w:rPr>
        <w:t xml:space="preserve"> </w:t>
      </w:r>
      <w:r w:rsidRPr="00804F25">
        <w:rPr>
          <w:lang w:val="en-US"/>
        </w:rPr>
        <w:t xml:space="preserve">our sample is larger </w:t>
      </w:r>
      <w:proofErr w:type="gramStart"/>
      <w:r w:rsidRPr="00804F25">
        <w:rPr>
          <w:lang w:val="en-US"/>
        </w:rPr>
        <w:t>an</w:t>
      </w:r>
      <w:proofErr w:type="gramEnd"/>
      <w:r w:rsidRPr="00804F25">
        <w:rPr>
          <w:lang w:val="en-US"/>
        </w:rPr>
        <w:t xml:space="preserve"> encompasses a larger age group.</w:t>
      </w:r>
      <w:r>
        <w:rPr>
          <w:lang w:val="en-US"/>
        </w:rPr>
        <w:t xml:space="preserve"> </w:t>
      </w:r>
      <w:r w:rsidRPr="00804F25">
        <w:rPr>
          <w:lang w:val="en-US"/>
        </w:rPr>
        <w:t xml:space="preserve">They have 441 </w:t>
      </w:r>
      <w:proofErr w:type="gramStart"/>
      <w:r w:rsidRPr="00804F25">
        <w:rPr>
          <w:lang w:val="en-US"/>
        </w:rPr>
        <w:t>home-owners</w:t>
      </w:r>
      <w:proofErr w:type="gramEnd"/>
      <w:r w:rsidRPr="00804F25">
        <w:rPr>
          <w:lang w:val="en-US"/>
        </w:rPr>
        <w:t xml:space="preserve"> in a </w:t>
      </w:r>
      <w:proofErr w:type="gramStart"/>
      <w:r w:rsidRPr="00804F25">
        <w:rPr>
          <w:lang w:val="en-US"/>
        </w:rPr>
        <w:t>nine year</w:t>
      </w:r>
      <w:proofErr w:type="gramEnd"/>
      <w:r w:rsidRPr="00804F25">
        <w:rPr>
          <w:lang w:val="en-US"/>
        </w:rPr>
        <w:t xml:space="preserve"> age group (65-75).</w:t>
      </w:r>
      <w:r>
        <w:rPr>
          <w:lang w:val="en-US"/>
        </w:rPr>
        <w:t xml:space="preserve"> </w:t>
      </w:r>
      <w:r w:rsidRPr="00804F25">
        <w:rPr>
          <w:lang w:val="en-US"/>
        </w:rPr>
        <w:t>Second,</w:t>
      </w:r>
      <w:r>
        <w:rPr>
          <w:lang w:val="en-US"/>
        </w:rPr>
        <w:t xml:space="preserve"> </w:t>
      </w:r>
      <w:r w:rsidRPr="00804F25">
        <w:rPr>
          <w:lang w:val="en-US"/>
        </w:rPr>
        <w:t xml:space="preserve">our study comprises both </w:t>
      </w:r>
      <w:proofErr w:type="gramStart"/>
      <w:r w:rsidRPr="00804F25">
        <w:rPr>
          <w:lang w:val="en-US"/>
        </w:rPr>
        <w:t>home owners</w:t>
      </w:r>
      <w:proofErr w:type="gramEnd"/>
      <w:r w:rsidRPr="00804F25">
        <w:rPr>
          <w:lang w:val="en-US"/>
        </w:rPr>
        <w:t xml:space="preserve"> and rental occupants, representing a larger diversity of individuals searching for housing.</w:t>
      </w:r>
      <w:r>
        <w:rPr>
          <w:lang w:val="en-US"/>
        </w:rPr>
        <w:t xml:space="preserve"> </w:t>
      </w:r>
      <w:r w:rsidRPr="00804F25">
        <w:rPr>
          <w:lang w:val="en-US"/>
        </w:rPr>
        <w:t>Finally,</w:t>
      </w:r>
      <w:r>
        <w:rPr>
          <w:lang w:val="en-US"/>
        </w:rPr>
        <w:t xml:space="preserve"> </w:t>
      </w:r>
      <w:r w:rsidRPr="00804F25">
        <w:rPr>
          <w:lang w:val="en-US"/>
        </w:rPr>
        <w:t xml:space="preserve">instead of </w:t>
      </w:r>
      <w:proofErr w:type="gramStart"/>
      <w:r w:rsidRPr="00804F25">
        <w:rPr>
          <w:lang w:val="en-US"/>
        </w:rPr>
        <w:t>a purely</w:t>
      </w:r>
      <w:proofErr w:type="gramEnd"/>
      <w:r w:rsidRPr="00804F25">
        <w:rPr>
          <w:lang w:val="en-US"/>
        </w:rPr>
        <w:t xml:space="preserve"> hypothetical experiment, the respondents in our study have signed up for housing services, where we can assume they have the intention, or at least a strong consideration, to relocate.</w:t>
      </w:r>
    </w:p>
    <w:p w14:paraId="3FC71970" w14:textId="01872405" w:rsidR="00BD68CC" w:rsidRDefault="00804F25" w:rsidP="00804F25">
      <w:pPr>
        <w:pStyle w:val="Heading2"/>
        <w:rPr>
          <w:lang w:val="en-US"/>
        </w:rPr>
      </w:pPr>
      <w:r>
        <w:rPr>
          <w:lang w:val="en-US"/>
        </w:rPr>
        <w:t>Conclusion</w:t>
      </w:r>
    </w:p>
    <w:p w14:paraId="628FDF93" w14:textId="77777777" w:rsidR="00BD68CC" w:rsidRPr="00BD68CC" w:rsidRDefault="00BD68CC" w:rsidP="00BD68CC">
      <w:pPr>
        <w:spacing w:before="100" w:beforeAutospacing="1" w:after="100" w:afterAutospacing="1" w:line="240" w:lineRule="auto"/>
        <w:rPr>
          <w:lang w:val="en-US" w:eastAsia="en-US"/>
        </w:rPr>
      </w:pPr>
      <w:r w:rsidRPr="00BD68CC">
        <w:rPr>
          <w:lang w:val="en-US" w:eastAsia="en-US"/>
        </w:rPr>
        <w:t>This study quantified the value that older adults place on key locational and amenity attributes when choosing housing, and examined how these preferences vary by age, gender, and health. Across the full sample, proximity to green space, shops, and transit, together with access to dedicated parking, emerged as the dominant contributors to housing utility. The mixed logit results show that while these preferences are widely shared, certain subgroups display distinct emphasis: the oldest homeowners value transit access more and green space less than younger peers, while the oldest renters place less importance on shop proximity. Gender and health differences are modest, suggesting that the underlying preference structure is largely stable but nuanced by functional and lifestyle considerations.</w:t>
      </w:r>
    </w:p>
    <w:p w14:paraId="44810356" w14:textId="77777777" w:rsidR="00BD68CC" w:rsidRPr="00BD68CC" w:rsidRDefault="00BD68CC" w:rsidP="00BD68CC">
      <w:pPr>
        <w:spacing w:before="100" w:beforeAutospacing="1" w:after="100" w:afterAutospacing="1" w:line="240" w:lineRule="auto"/>
        <w:rPr>
          <w:lang w:val="en-US" w:eastAsia="en-US"/>
        </w:rPr>
      </w:pPr>
      <w:r w:rsidRPr="00BD68CC">
        <w:rPr>
          <w:lang w:val="en-US" w:eastAsia="en-US"/>
        </w:rPr>
        <w:t xml:space="preserve">The results reinforce that residential preferences in later life reflect a balance between autonomy, accessibility, and convenience rather than a single set of “senior” priorities. Most differences arise not from fundamentally different tastes, but from changing capacities and mobility constraints that alter how amenities are valued. The consistently high MWTP for parking and transit accessibility underscores the continued importance of mobility—both private and </w:t>
      </w:r>
      <w:proofErr w:type="gramStart"/>
      <w:r w:rsidRPr="00BD68CC">
        <w:rPr>
          <w:lang w:val="en-US" w:eastAsia="en-US"/>
        </w:rPr>
        <w:t>public—in</w:t>
      </w:r>
      <w:proofErr w:type="gramEnd"/>
      <w:r w:rsidRPr="00BD68CC">
        <w:rPr>
          <w:lang w:val="en-US" w:eastAsia="en-US"/>
        </w:rPr>
        <w:t xml:space="preserve"> maintaining independence and wellbeing at older ages.</w:t>
      </w:r>
    </w:p>
    <w:p w14:paraId="2469DA87" w14:textId="77777777" w:rsidR="00BD68CC" w:rsidRPr="00BD68CC" w:rsidRDefault="00BD68CC" w:rsidP="00BD68CC">
      <w:pPr>
        <w:spacing w:before="100" w:beforeAutospacing="1" w:after="100" w:afterAutospacing="1" w:line="240" w:lineRule="auto"/>
        <w:rPr>
          <w:lang w:val="en-US" w:eastAsia="en-US"/>
        </w:rPr>
      </w:pPr>
      <w:r w:rsidRPr="00BD68CC">
        <w:rPr>
          <w:lang w:val="en-US" w:eastAsia="en-US"/>
        </w:rPr>
        <w:t xml:space="preserve">For planners and policymakers, these findings highlight the need to design and locate housing for older adults within well-connected, amenity-rich environments that minimize physical barriers. Transit-oriented and walkable neighbourhoods, </w:t>
      </w:r>
      <w:r w:rsidRPr="00BD68CC">
        <w:rPr>
          <w:lang w:val="en-US" w:eastAsia="en-US"/>
        </w:rPr>
        <w:lastRenderedPageBreak/>
        <w:t>complemented by accessible green areas and adaptable parking solutions, are likely to generate the greatest welfare gains. At the same time, attention to micro-scale design—flat pathways, benches, lighting, and safe crossings—may be more effective than reducing straight-line distances alone in enhancing perceived accessibility among the oldest residents.</w:t>
      </w:r>
    </w:p>
    <w:p w14:paraId="0BF1302F" w14:textId="77777777" w:rsidR="00BD68CC" w:rsidRPr="00BD68CC" w:rsidRDefault="00BD68CC" w:rsidP="00BD68CC">
      <w:pPr>
        <w:spacing w:before="100" w:beforeAutospacing="1" w:after="100" w:afterAutospacing="1" w:line="240" w:lineRule="auto"/>
        <w:rPr>
          <w:lang w:val="en-US" w:eastAsia="en-US"/>
        </w:rPr>
      </w:pPr>
      <w:r w:rsidRPr="00BD68CC">
        <w:rPr>
          <w:lang w:val="en-US" w:eastAsia="en-US"/>
        </w:rPr>
        <w:t>Future research should extend this framework by examining longitudinal shifts in preferences as individuals transition through later life stages, and by incorporating broader attributes such as social interaction, care access, and interior adaptability. Combining discrete choice experiments with revealed-preference or longitudinal mobility data would provide richer insights into how preferences evolve and how housing markets can better accommodate them.</w:t>
      </w:r>
    </w:p>
    <w:p w14:paraId="37735F83" w14:textId="3B24F0FA" w:rsidR="00CC4B73" w:rsidRDefault="00BD68CC" w:rsidP="00BD68CC">
      <w:pPr>
        <w:spacing w:before="100" w:beforeAutospacing="1" w:after="100" w:afterAutospacing="1" w:line="240" w:lineRule="auto"/>
        <w:rPr>
          <w:lang w:val="en-US" w:eastAsia="en-US"/>
        </w:rPr>
      </w:pPr>
      <w:r w:rsidRPr="00BD68CC">
        <w:rPr>
          <w:lang w:val="en-US" w:eastAsia="en-US"/>
        </w:rPr>
        <w:t>Overall, the evidence from this study indicates that while older adults share broadly similar residential preferences, subtle but meaningful heterogeneity emerges with age, tenure, and functional ability. Recognizing and planning for this diversity is central to creating housing and neighbourhoods that genuinely support ageing in place.</w:t>
      </w:r>
      <w:bookmarkEnd w:id="0"/>
    </w:p>
    <w:p w14:paraId="3A80596D" w14:textId="68F390B9" w:rsidR="00BD68CC" w:rsidRDefault="00BD68CC">
      <w:pPr>
        <w:spacing w:line="240" w:lineRule="auto"/>
        <w:rPr>
          <w:lang w:val="en-US" w:eastAsia="en-US"/>
        </w:rPr>
      </w:pPr>
      <w:r>
        <w:rPr>
          <w:lang w:val="en-US" w:eastAsia="en-US"/>
        </w:rPr>
        <w:br w:type="page"/>
      </w:r>
    </w:p>
    <w:p w14:paraId="2907DDA7" w14:textId="7CFC8209" w:rsidR="00BD68CC" w:rsidRDefault="00BD68CC" w:rsidP="00BD68CC">
      <w:pPr>
        <w:pStyle w:val="Heading1"/>
        <w:rPr>
          <w:lang w:val="en-US" w:eastAsia="en-US"/>
        </w:rPr>
      </w:pPr>
      <w:r>
        <w:rPr>
          <w:lang w:val="en-US" w:eastAsia="en-US"/>
        </w:rPr>
        <w:lastRenderedPageBreak/>
        <w:t>References</w:t>
      </w:r>
    </w:p>
    <w:p w14:paraId="3A7C2BB0" w14:textId="77777777" w:rsidR="00BD68CC" w:rsidRPr="00BD68CC" w:rsidRDefault="00BD68CC" w:rsidP="00BD68CC">
      <w:pPr>
        <w:pStyle w:val="Bibliography"/>
      </w:pPr>
      <w:r>
        <w:rPr>
          <w:lang w:val="en-US" w:eastAsia="en-US"/>
        </w:rPr>
        <w:fldChar w:fldCharType="begin"/>
      </w:r>
      <w:r>
        <w:rPr>
          <w:lang w:val="en-US" w:eastAsia="en-US"/>
        </w:rPr>
        <w:instrText xml:space="preserve"> ADDIN ZOTERO_BIBL {"uncited":[],"omitted":[],"custom":[]} CSL_BIBLIOGRAPHY </w:instrText>
      </w:r>
      <w:r>
        <w:rPr>
          <w:lang w:val="en-US" w:eastAsia="en-US"/>
        </w:rPr>
        <w:fldChar w:fldCharType="separate"/>
      </w:r>
      <w:r w:rsidRPr="00BD68CC">
        <w:t xml:space="preserve">Abramsson, M., &amp; Andersson, E. K. (2015). Changing locations: Central or peripheral moves of seniors? </w:t>
      </w:r>
      <w:r w:rsidRPr="00BD68CC">
        <w:rPr>
          <w:i/>
          <w:iCs/>
        </w:rPr>
        <w:t>Journal of Housing and the Built Environment</w:t>
      </w:r>
      <w:r w:rsidRPr="00BD68CC">
        <w:t xml:space="preserve">, </w:t>
      </w:r>
      <w:r w:rsidRPr="00BD68CC">
        <w:rPr>
          <w:i/>
          <w:iCs/>
        </w:rPr>
        <w:t>30</w:t>
      </w:r>
      <w:r w:rsidRPr="00BD68CC">
        <w:t>(4), 535–551. https://doi.org/10.1007/s10901-014-9427-0</w:t>
      </w:r>
    </w:p>
    <w:p w14:paraId="48A4CFDC" w14:textId="77777777" w:rsidR="00BD68CC" w:rsidRPr="00BD68CC" w:rsidRDefault="00BD68CC" w:rsidP="00BD68CC">
      <w:pPr>
        <w:pStyle w:val="Bibliography"/>
      </w:pPr>
      <w:r w:rsidRPr="00BD68CC">
        <w:t xml:space="preserve">Aitken, D., Willis, K., &amp; Gilroy, R. (2024). Do older homebuyers prefer dwellings with accessibility and adaptability features? Findings from an exploratory study. </w:t>
      </w:r>
      <w:r w:rsidRPr="00BD68CC">
        <w:rPr>
          <w:i/>
          <w:iCs/>
        </w:rPr>
        <w:t>Housing Studies</w:t>
      </w:r>
      <w:r w:rsidRPr="00BD68CC">
        <w:t xml:space="preserve">, </w:t>
      </w:r>
      <w:r w:rsidRPr="00BD68CC">
        <w:rPr>
          <w:i/>
          <w:iCs/>
        </w:rPr>
        <w:t>39</w:t>
      </w:r>
      <w:r w:rsidRPr="00BD68CC">
        <w:t>(3), 608–630. https://doi.org/10.1080/02673037.2022.2060944</w:t>
      </w:r>
    </w:p>
    <w:p w14:paraId="75C70B5A" w14:textId="77777777" w:rsidR="00BD68CC" w:rsidRPr="00BD68CC" w:rsidRDefault="00BD68CC" w:rsidP="00BD68CC">
      <w:pPr>
        <w:pStyle w:val="Bibliography"/>
      </w:pPr>
      <w:r w:rsidRPr="00BD68CC">
        <w:t xml:space="preserve">Ardeshiri, A., Washington, L., Vij, A., Leishman, C., &amp; Beer, A. (2024). Housing preferences for owner-occupied versus investment properties in Sydney, Australia. </w:t>
      </w:r>
      <w:r w:rsidRPr="00BD68CC">
        <w:rPr>
          <w:i/>
          <w:iCs/>
        </w:rPr>
        <w:t>Housing Studies</w:t>
      </w:r>
      <w:r w:rsidRPr="00BD68CC">
        <w:t xml:space="preserve">, </w:t>
      </w:r>
      <w:r w:rsidRPr="00BD68CC">
        <w:rPr>
          <w:i/>
          <w:iCs/>
        </w:rPr>
        <w:t>0</w:t>
      </w:r>
      <w:r w:rsidRPr="00BD68CC">
        <w:t>(0), 1–23. https://doi.org/10.1080/02673037.2024.2428749</w:t>
      </w:r>
    </w:p>
    <w:p w14:paraId="700B7321" w14:textId="77777777" w:rsidR="00BD68CC" w:rsidRPr="00BD68CC" w:rsidRDefault="00BD68CC" w:rsidP="00BD68CC">
      <w:pPr>
        <w:pStyle w:val="Bibliography"/>
      </w:pPr>
      <w:r w:rsidRPr="00BD68CC">
        <w:t xml:space="preserve">Caplan, A. J., Akhundjanov, S. B., &amp; Toll, K. (2021). Measuring heterogeneous preferences for residential amenities. </w:t>
      </w:r>
      <w:r w:rsidRPr="00BD68CC">
        <w:rPr>
          <w:i/>
          <w:iCs/>
        </w:rPr>
        <w:t>Regional Science and Urban Economics</w:t>
      </w:r>
      <w:r w:rsidRPr="00BD68CC">
        <w:t xml:space="preserve">, </w:t>
      </w:r>
      <w:r w:rsidRPr="00BD68CC">
        <w:rPr>
          <w:i/>
          <w:iCs/>
        </w:rPr>
        <w:t>87</w:t>
      </w:r>
      <w:r w:rsidRPr="00BD68CC">
        <w:t>, 103646. https://doi.org/10.1016/j.regsciurbeco.2021.103646</w:t>
      </w:r>
    </w:p>
    <w:p w14:paraId="024CA783" w14:textId="77777777" w:rsidR="00BD68CC" w:rsidRPr="00BD68CC" w:rsidRDefault="00BD68CC" w:rsidP="00BD68CC">
      <w:pPr>
        <w:pStyle w:val="Bibliography"/>
      </w:pPr>
      <w:r w:rsidRPr="00BD68CC">
        <w:t xml:space="preserve">Helveston, J. P. (2023). </w:t>
      </w:r>
      <w:r w:rsidRPr="00BD68CC">
        <w:rPr>
          <w:b/>
          <w:bCs/>
        </w:rPr>
        <w:t>logitr</w:t>
      </w:r>
      <w:r w:rsidRPr="00BD68CC">
        <w:t xml:space="preserve">: Fast Estimation of Multinomial and Mixed Logit Models with Preference Space and Willingness-to-Pay Space Utility Parameterizations. </w:t>
      </w:r>
      <w:r w:rsidRPr="00BD68CC">
        <w:rPr>
          <w:i/>
          <w:iCs/>
        </w:rPr>
        <w:t>Journal of Statistical Software</w:t>
      </w:r>
      <w:r w:rsidRPr="00BD68CC">
        <w:t xml:space="preserve">, </w:t>
      </w:r>
      <w:r w:rsidRPr="00BD68CC">
        <w:rPr>
          <w:i/>
          <w:iCs/>
        </w:rPr>
        <w:t>105</w:t>
      </w:r>
      <w:r w:rsidRPr="00BD68CC">
        <w:t>(10). https://doi.org/10.18637/jss.v105.i10</w:t>
      </w:r>
    </w:p>
    <w:p w14:paraId="51C2FD11" w14:textId="77777777" w:rsidR="00BD68CC" w:rsidRPr="00BD68CC" w:rsidRDefault="00BD68CC" w:rsidP="00BD68CC">
      <w:pPr>
        <w:pStyle w:val="Bibliography"/>
        <w:rPr>
          <w:lang w:val="sv-SE"/>
        </w:rPr>
      </w:pPr>
      <w:r w:rsidRPr="00BD68CC">
        <w:t xml:space="preserve">Lancsar, E., &amp; Louviere, J. (2008). Conducting Discrete Choice Experiments to Inform Healthcare Decision Making: A User??s Guide. </w:t>
      </w:r>
      <w:r w:rsidRPr="00BD68CC">
        <w:rPr>
          <w:i/>
          <w:iCs/>
          <w:lang w:val="sv-SE"/>
        </w:rPr>
        <w:t>PharmacoEconomics</w:t>
      </w:r>
      <w:r w:rsidRPr="00BD68CC">
        <w:rPr>
          <w:lang w:val="sv-SE"/>
        </w:rPr>
        <w:t xml:space="preserve">, </w:t>
      </w:r>
      <w:r w:rsidRPr="00BD68CC">
        <w:rPr>
          <w:i/>
          <w:iCs/>
          <w:lang w:val="sv-SE"/>
        </w:rPr>
        <w:t>26</w:t>
      </w:r>
      <w:r w:rsidRPr="00BD68CC">
        <w:rPr>
          <w:lang w:val="sv-SE"/>
        </w:rPr>
        <w:t>(8), 661–677. https://doi.org/10.2165/00019053-200826080-00004</w:t>
      </w:r>
    </w:p>
    <w:p w14:paraId="40736306" w14:textId="77777777" w:rsidR="00BD68CC" w:rsidRPr="00BD68CC" w:rsidRDefault="00BD68CC" w:rsidP="00BD68CC">
      <w:pPr>
        <w:pStyle w:val="Bibliography"/>
      </w:pPr>
      <w:r w:rsidRPr="00BD68CC">
        <w:rPr>
          <w:lang w:val="sv-SE"/>
        </w:rPr>
        <w:t xml:space="preserve">Lee, P.-H., Han, Q., de Vries, B., &amp; Juan, Y.-K. (2025). </w:t>
      </w:r>
      <w:r w:rsidRPr="00BD68CC">
        <w:t xml:space="preserve">Heterogeneities in willingness to pay for circular affordable housing: Insight from young users. </w:t>
      </w:r>
      <w:r w:rsidRPr="00BD68CC">
        <w:rPr>
          <w:i/>
          <w:iCs/>
        </w:rPr>
        <w:t>Housing Studies</w:t>
      </w:r>
      <w:r w:rsidRPr="00BD68CC">
        <w:t xml:space="preserve">, </w:t>
      </w:r>
      <w:r w:rsidRPr="00BD68CC">
        <w:rPr>
          <w:i/>
          <w:iCs/>
        </w:rPr>
        <w:t>40</w:t>
      </w:r>
      <w:r w:rsidRPr="00BD68CC">
        <w:t>(11), 2450–2480. https://doi.org/10.1080/02673037.2024.2404063</w:t>
      </w:r>
    </w:p>
    <w:p w14:paraId="25AAB29A" w14:textId="77777777" w:rsidR="00BD68CC" w:rsidRPr="00BD68CC" w:rsidRDefault="00BD68CC" w:rsidP="00BD68CC">
      <w:pPr>
        <w:pStyle w:val="Bibliography"/>
      </w:pPr>
      <w:r w:rsidRPr="00BD68CC">
        <w:lastRenderedPageBreak/>
        <w:t xml:space="preserve">McFadden, D., &amp; Train, K. (2000). Mixed MNL models for discrete response. </w:t>
      </w:r>
      <w:r w:rsidRPr="00BD68CC">
        <w:rPr>
          <w:i/>
          <w:iCs/>
        </w:rPr>
        <w:t>Journal of Applied Econometrics</w:t>
      </w:r>
      <w:r w:rsidRPr="00BD68CC">
        <w:t xml:space="preserve">, </w:t>
      </w:r>
      <w:r w:rsidRPr="00BD68CC">
        <w:rPr>
          <w:i/>
          <w:iCs/>
        </w:rPr>
        <w:t>15</w:t>
      </w:r>
      <w:r w:rsidRPr="00BD68CC">
        <w:t>(5), 447–470. https://doi.org/10.1002/1099-1255(200009/10)15:5&lt;</w:t>
      </w:r>
      <w:proofErr w:type="gramStart"/>
      <w:r w:rsidRPr="00BD68CC">
        <w:t>447::</w:t>
      </w:r>
      <w:proofErr w:type="gramEnd"/>
      <w:r w:rsidRPr="00BD68CC">
        <w:t>AID-JAE570&gt;3.0.CO;2-1</w:t>
      </w:r>
    </w:p>
    <w:p w14:paraId="2092741F" w14:textId="77777777" w:rsidR="00BD68CC" w:rsidRPr="00BD68CC" w:rsidRDefault="00BD68CC" w:rsidP="00BD68CC">
      <w:pPr>
        <w:pStyle w:val="Bibliography"/>
      </w:pPr>
      <w:r w:rsidRPr="00BD68CC">
        <w:t xml:space="preserve">Train, K. (Ed.). (2003). </w:t>
      </w:r>
      <w:r w:rsidRPr="00BD68CC">
        <w:rPr>
          <w:i/>
          <w:iCs/>
        </w:rPr>
        <w:t>Discrete choice methods with simulation</w:t>
      </w:r>
      <w:r w:rsidRPr="00BD68CC">
        <w:t>. Cambridge University Press.</w:t>
      </w:r>
    </w:p>
    <w:p w14:paraId="2D7D8940" w14:textId="77777777" w:rsidR="00BD68CC" w:rsidRPr="00BD68CC" w:rsidRDefault="00BD68CC" w:rsidP="00BD68CC">
      <w:pPr>
        <w:pStyle w:val="Bibliography"/>
      </w:pPr>
      <w:r w:rsidRPr="00BD68CC">
        <w:t xml:space="preserve">Zhao, L., Szajnfarber, Z., Broniatowski, D., &amp; Helveston, J. P. (2023). Using conjoint analysis to incorporate heterogeneous preferences into multimodal transit trip simulations. </w:t>
      </w:r>
      <w:r w:rsidRPr="00BD68CC">
        <w:rPr>
          <w:i/>
          <w:iCs/>
        </w:rPr>
        <w:t>Systems Engineering</w:t>
      </w:r>
      <w:r w:rsidRPr="00BD68CC">
        <w:t xml:space="preserve">, </w:t>
      </w:r>
      <w:r w:rsidRPr="00BD68CC">
        <w:rPr>
          <w:i/>
          <w:iCs/>
        </w:rPr>
        <w:t>26</w:t>
      </w:r>
      <w:r w:rsidRPr="00BD68CC">
        <w:t>(4), 438–448. https://doi.org/10.1002/sys.21670</w:t>
      </w:r>
    </w:p>
    <w:p w14:paraId="6303F926" w14:textId="15A3A528" w:rsidR="00BD68CC" w:rsidRPr="00127537" w:rsidRDefault="00BD68CC" w:rsidP="00BD68CC">
      <w:pPr>
        <w:spacing w:before="100" w:beforeAutospacing="1" w:after="100" w:afterAutospacing="1" w:line="240" w:lineRule="auto"/>
        <w:rPr>
          <w:lang w:val="en-US" w:eastAsia="en-US"/>
        </w:rPr>
      </w:pPr>
      <w:r>
        <w:rPr>
          <w:lang w:val="en-US" w:eastAsia="en-US"/>
        </w:rPr>
        <w:fldChar w:fldCharType="end"/>
      </w:r>
    </w:p>
    <w:p w14:paraId="7E411D5F" w14:textId="2763E6DF" w:rsidR="00FE4713" w:rsidRPr="00804F25" w:rsidRDefault="00481343" w:rsidP="00804F25">
      <w:pPr>
        <w:pStyle w:val="Paragraph"/>
        <w:spacing w:line="240" w:lineRule="auto"/>
        <w:ind w:firstLine="720"/>
        <w:rPr>
          <w:lang w:val="en-US"/>
        </w:rPr>
      </w:pPr>
      <w:r w:rsidRPr="00804F25">
        <w:rPr>
          <w:lang w:val="en-US"/>
        </w:rPr>
        <w:t xml:space="preserve"> </w:t>
      </w:r>
    </w:p>
    <w:sectPr w:rsidR="00FE4713" w:rsidRPr="00804F25" w:rsidSect="00074B81">
      <w:headerReference w:type="even" r:id="rId73"/>
      <w:headerReference w:type="default" r:id="rId74"/>
      <w:footerReference w:type="even" r:id="rId75"/>
      <w:footerReference w:type="default" r:id="rId76"/>
      <w:headerReference w:type="first" r:id="rId77"/>
      <w:footerReference w:type="first" r:id="rId78"/>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95BD1" w14:textId="77777777" w:rsidR="00596029" w:rsidRDefault="00596029" w:rsidP="00AF2C92">
      <w:r>
        <w:separator/>
      </w:r>
    </w:p>
  </w:endnote>
  <w:endnote w:type="continuationSeparator" w:id="0">
    <w:p w14:paraId="3DE45EFB" w14:textId="77777777" w:rsidR="00596029" w:rsidRDefault="00596029"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B7E1" w14:textId="77777777"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C80B0" w14:textId="77777777"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A04F8"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F9A54" w14:textId="77777777" w:rsidR="00596029" w:rsidRDefault="00596029" w:rsidP="00AF2C92">
      <w:r>
        <w:separator/>
      </w:r>
    </w:p>
  </w:footnote>
  <w:footnote w:type="continuationSeparator" w:id="0">
    <w:p w14:paraId="0A85BDFA" w14:textId="77777777" w:rsidR="00596029" w:rsidRDefault="00596029" w:rsidP="00AF2C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784F9" w14:textId="77777777"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0C10C" w14:textId="77777777"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E019" w14:textId="77777777" w:rsidR="002211DD" w:rsidRDefault="00221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8D14CBB"/>
    <w:multiLevelType w:val="multilevel"/>
    <w:tmpl w:val="C7E8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51760468">
    <w:abstractNumId w:val="16"/>
  </w:num>
  <w:num w:numId="2" w16cid:durableId="587883195">
    <w:abstractNumId w:val="20"/>
  </w:num>
  <w:num w:numId="3" w16cid:durableId="1385301149">
    <w:abstractNumId w:val="1"/>
  </w:num>
  <w:num w:numId="4" w16cid:durableId="893274863">
    <w:abstractNumId w:val="2"/>
  </w:num>
  <w:num w:numId="5" w16cid:durableId="1345088231">
    <w:abstractNumId w:val="3"/>
  </w:num>
  <w:num w:numId="6" w16cid:durableId="802235754">
    <w:abstractNumId w:val="4"/>
  </w:num>
  <w:num w:numId="7" w16cid:durableId="542249002">
    <w:abstractNumId w:val="9"/>
  </w:num>
  <w:num w:numId="8" w16cid:durableId="2067021246">
    <w:abstractNumId w:val="5"/>
  </w:num>
  <w:num w:numId="9" w16cid:durableId="1740711007">
    <w:abstractNumId w:val="7"/>
  </w:num>
  <w:num w:numId="10" w16cid:durableId="1139685877">
    <w:abstractNumId w:val="6"/>
  </w:num>
  <w:num w:numId="11" w16cid:durableId="1984310876">
    <w:abstractNumId w:val="10"/>
  </w:num>
  <w:num w:numId="12" w16cid:durableId="847478492">
    <w:abstractNumId w:val="8"/>
  </w:num>
  <w:num w:numId="13" w16cid:durableId="1222248808">
    <w:abstractNumId w:val="18"/>
  </w:num>
  <w:num w:numId="14" w16cid:durableId="925577370">
    <w:abstractNumId w:val="21"/>
  </w:num>
  <w:num w:numId="15" w16cid:durableId="1711606849">
    <w:abstractNumId w:val="15"/>
  </w:num>
  <w:num w:numId="16" w16cid:durableId="1534686749">
    <w:abstractNumId w:val="17"/>
  </w:num>
  <w:num w:numId="17" w16cid:durableId="387999474">
    <w:abstractNumId w:val="11"/>
  </w:num>
  <w:num w:numId="18" w16cid:durableId="1385300024">
    <w:abstractNumId w:val="0"/>
  </w:num>
  <w:num w:numId="19" w16cid:durableId="436948491">
    <w:abstractNumId w:val="12"/>
  </w:num>
  <w:num w:numId="20" w16cid:durableId="1652905808">
    <w:abstractNumId w:val="21"/>
  </w:num>
  <w:num w:numId="21" w16cid:durableId="607850934">
    <w:abstractNumId w:val="21"/>
  </w:num>
  <w:num w:numId="22" w16cid:durableId="517041643">
    <w:abstractNumId w:val="21"/>
  </w:num>
  <w:num w:numId="23" w16cid:durableId="804276214">
    <w:abstractNumId w:val="21"/>
  </w:num>
  <w:num w:numId="24" w16cid:durableId="1939561591">
    <w:abstractNumId w:val="18"/>
  </w:num>
  <w:num w:numId="25" w16cid:durableId="232205226">
    <w:abstractNumId w:val="19"/>
  </w:num>
  <w:num w:numId="26" w16cid:durableId="1888027640">
    <w:abstractNumId w:val="22"/>
  </w:num>
  <w:num w:numId="27" w16cid:durableId="871571287">
    <w:abstractNumId w:val="23"/>
  </w:num>
  <w:num w:numId="28" w16cid:durableId="2082678838">
    <w:abstractNumId w:val="21"/>
  </w:num>
  <w:num w:numId="29" w16cid:durableId="824588535">
    <w:abstractNumId w:val="14"/>
  </w:num>
  <w:num w:numId="30" w16cid:durableId="341321299">
    <w:abstractNumId w:val="24"/>
  </w:num>
  <w:num w:numId="31" w16cid:durableId="1048129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425"/>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848E9"/>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27537"/>
    <w:rsid w:val="00134A51"/>
    <w:rsid w:val="00140727"/>
    <w:rsid w:val="00154663"/>
    <w:rsid w:val="00160628"/>
    <w:rsid w:val="00161344"/>
    <w:rsid w:val="00162195"/>
    <w:rsid w:val="0016322A"/>
    <w:rsid w:val="00165A21"/>
    <w:rsid w:val="001705CE"/>
    <w:rsid w:val="0017714B"/>
    <w:rsid w:val="001804DF"/>
    <w:rsid w:val="00181B5C"/>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0BC4"/>
    <w:rsid w:val="00283B41"/>
    <w:rsid w:val="00285F28"/>
    <w:rsid w:val="00286398"/>
    <w:rsid w:val="002A3C42"/>
    <w:rsid w:val="002A5D75"/>
    <w:rsid w:val="002B1B1A"/>
    <w:rsid w:val="002B7228"/>
    <w:rsid w:val="002C334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1932"/>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6667"/>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54425"/>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2937"/>
    <w:rsid w:val="005030C4"/>
    <w:rsid w:val="005031C5"/>
    <w:rsid w:val="00504FDC"/>
    <w:rsid w:val="00511E65"/>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6029"/>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2725"/>
    <w:rsid w:val="005D32D8"/>
    <w:rsid w:val="005D4A38"/>
    <w:rsid w:val="005E2EEA"/>
    <w:rsid w:val="005E332D"/>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76724"/>
    <w:rsid w:val="0068031A"/>
    <w:rsid w:val="00681B2F"/>
    <w:rsid w:val="0068335F"/>
    <w:rsid w:val="00687217"/>
    <w:rsid w:val="00687915"/>
    <w:rsid w:val="00693302"/>
    <w:rsid w:val="0069640B"/>
    <w:rsid w:val="00696862"/>
    <w:rsid w:val="006A1B83"/>
    <w:rsid w:val="006A21CD"/>
    <w:rsid w:val="006A5918"/>
    <w:rsid w:val="006B21B2"/>
    <w:rsid w:val="006B4A4A"/>
    <w:rsid w:val="006B744D"/>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3DD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9"/>
    <w:rsid w:val="0076514D"/>
    <w:rsid w:val="00773D59"/>
    <w:rsid w:val="00781003"/>
    <w:rsid w:val="007878A2"/>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4F25"/>
    <w:rsid w:val="00805303"/>
    <w:rsid w:val="00806705"/>
    <w:rsid w:val="00806738"/>
    <w:rsid w:val="00807358"/>
    <w:rsid w:val="00812B92"/>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3D86"/>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578AB"/>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334"/>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721"/>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4D19"/>
    <w:rsid w:val="00B05EF7"/>
    <w:rsid w:val="00B077FA"/>
    <w:rsid w:val="00B127D7"/>
    <w:rsid w:val="00B12A0D"/>
    <w:rsid w:val="00B13B0C"/>
    <w:rsid w:val="00B14408"/>
    <w:rsid w:val="00B1453A"/>
    <w:rsid w:val="00B20F82"/>
    <w:rsid w:val="00B25BD5"/>
    <w:rsid w:val="00B31850"/>
    <w:rsid w:val="00B34079"/>
    <w:rsid w:val="00B3793A"/>
    <w:rsid w:val="00B37EF7"/>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D68CC"/>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276D2"/>
    <w:rsid w:val="00C30A2A"/>
    <w:rsid w:val="00C33993"/>
    <w:rsid w:val="00C4069E"/>
    <w:rsid w:val="00C41ADC"/>
    <w:rsid w:val="00C41C62"/>
    <w:rsid w:val="00C44149"/>
    <w:rsid w:val="00C44410"/>
    <w:rsid w:val="00C44A15"/>
    <w:rsid w:val="00C4630A"/>
    <w:rsid w:val="00C523F0"/>
    <w:rsid w:val="00C526D2"/>
    <w:rsid w:val="00C53A91"/>
    <w:rsid w:val="00C5794E"/>
    <w:rsid w:val="00C60968"/>
    <w:rsid w:val="00C63D39"/>
    <w:rsid w:val="00C63EDD"/>
    <w:rsid w:val="00C65B36"/>
    <w:rsid w:val="00C7292E"/>
    <w:rsid w:val="00C734B8"/>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4B73"/>
    <w:rsid w:val="00CC658C"/>
    <w:rsid w:val="00CC67BF"/>
    <w:rsid w:val="00CD0843"/>
    <w:rsid w:val="00CD4E31"/>
    <w:rsid w:val="00CD5A78"/>
    <w:rsid w:val="00CD7345"/>
    <w:rsid w:val="00CE2518"/>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2E80"/>
    <w:rsid w:val="00D8642D"/>
    <w:rsid w:val="00D90A5E"/>
    <w:rsid w:val="00D91A68"/>
    <w:rsid w:val="00D95A68"/>
    <w:rsid w:val="00DA0669"/>
    <w:rsid w:val="00DA17C7"/>
    <w:rsid w:val="00DA6A9A"/>
    <w:rsid w:val="00DB1EFD"/>
    <w:rsid w:val="00DB3EAF"/>
    <w:rsid w:val="00DB46C6"/>
    <w:rsid w:val="00DC3203"/>
    <w:rsid w:val="00DC3C99"/>
    <w:rsid w:val="00DC52F5"/>
    <w:rsid w:val="00DC5FD0"/>
    <w:rsid w:val="00DD0354"/>
    <w:rsid w:val="00DD27D7"/>
    <w:rsid w:val="00DD458C"/>
    <w:rsid w:val="00DD50B5"/>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6352"/>
    <w:rsid w:val="00E17336"/>
    <w:rsid w:val="00E17D15"/>
    <w:rsid w:val="00E22B95"/>
    <w:rsid w:val="00E30331"/>
    <w:rsid w:val="00E30BB8"/>
    <w:rsid w:val="00E31F9C"/>
    <w:rsid w:val="00E33776"/>
    <w:rsid w:val="00E33FD4"/>
    <w:rsid w:val="00E40488"/>
    <w:rsid w:val="00E4272E"/>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0C07"/>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16D"/>
    <w:rsid w:val="00F144D5"/>
    <w:rsid w:val="00F146F0"/>
    <w:rsid w:val="00F15039"/>
    <w:rsid w:val="00F20FF3"/>
    <w:rsid w:val="00F2190B"/>
    <w:rsid w:val="00F228B5"/>
    <w:rsid w:val="00F2389C"/>
    <w:rsid w:val="00F25C67"/>
    <w:rsid w:val="00F26958"/>
    <w:rsid w:val="00F30DFF"/>
    <w:rsid w:val="00F32B80"/>
    <w:rsid w:val="00F340EB"/>
    <w:rsid w:val="00F35285"/>
    <w:rsid w:val="00F43B9D"/>
    <w:rsid w:val="00F44D5E"/>
    <w:rsid w:val="00F53A35"/>
    <w:rsid w:val="00F55A3D"/>
    <w:rsid w:val="00F5744B"/>
    <w:rsid w:val="00F61209"/>
    <w:rsid w:val="00F6259E"/>
    <w:rsid w:val="00F65DD4"/>
    <w:rsid w:val="00F672B2"/>
    <w:rsid w:val="00F67B41"/>
    <w:rsid w:val="00F74C49"/>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E4B3B"/>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B5007"/>
  <w14:defaultImageDpi w14:val="330"/>
  <w15:docId w15:val="{1F7057D1-2606-475A-AF07-2F7EF840F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paragraph" w:styleId="NormalWeb">
    <w:name w:val="Normal (Web)"/>
    <w:basedOn w:val="Normal"/>
    <w:uiPriority w:val="99"/>
    <w:semiHidden/>
    <w:unhideWhenUsed/>
    <w:rsid w:val="00454425"/>
  </w:style>
  <w:style w:type="character" w:styleId="Hyperlink">
    <w:name w:val="Hyperlink"/>
    <w:basedOn w:val="DefaultParagraphFont"/>
    <w:unhideWhenUsed/>
    <w:rsid w:val="005D2725"/>
    <w:rPr>
      <w:color w:val="0000FF" w:themeColor="hyperlink"/>
      <w:u w:val="single"/>
    </w:rPr>
  </w:style>
  <w:style w:type="character" w:styleId="UnresolvedMention">
    <w:name w:val="Unresolved Mention"/>
    <w:basedOn w:val="DefaultParagraphFont"/>
    <w:uiPriority w:val="99"/>
    <w:semiHidden/>
    <w:unhideWhenUsed/>
    <w:rsid w:val="005D2725"/>
    <w:rPr>
      <w:color w:val="605E5C"/>
      <w:shd w:val="clear" w:color="auto" w:fill="E1DFDD"/>
    </w:rPr>
  </w:style>
  <w:style w:type="character" w:styleId="PlaceholderText">
    <w:name w:val="Placeholder Text"/>
    <w:basedOn w:val="DefaultParagraphFont"/>
    <w:rsid w:val="00F67B41"/>
    <w:rPr>
      <w:color w:val="666666"/>
    </w:rPr>
  </w:style>
  <w:style w:type="paragraph" w:styleId="HTMLPreformatted">
    <w:name w:val="HTML Preformatted"/>
    <w:basedOn w:val="Normal"/>
    <w:link w:val="HTMLPreformattedChar"/>
    <w:semiHidden/>
    <w:unhideWhenUsed/>
    <w:rsid w:val="00804F2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804F25"/>
    <w:rPr>
      <w:rFonts w:ascii="Consolas" w:hAnsi="Consolas"/>
    </w:rPr>
  </w:style>
  <w:style w:type="paragraph" w:styleId="Caption">
    <w:name w:val="caption"/>
    <w:basedOn w:val="Normal"/>
    <w:next w:val="Normal"/>
    <w:unhideWhenUsed/>
    <w:rsid w:val="00EA0C07"/>
    <w:pPr>
      <w:spacing w:after="200" w:line="240" w:lineRule="auto"/>
    </w:pPr>
    <w:rPr>
      <w:i/>
      <w:iCs/>
      <w:color w:val="1F497D" w:themeColor="text2"/>
      <w:sz w:val="18"/>
      <w:szCs w:val="18"/>
    </w:rPr>
  </w:style>
  <w:style w:type="character" w:styleId="Strong">
    <w:name w:val="Strong"/>
    <w:basedOn w:val="DefaultParagraphFont"/>
    <w:uiPriority w:val="22"/>
    <w:qFormat/>
    <w:rsid w:val="00EA0C07"/>
    <w:rPr>
      <w:b/>
      <w:bCs/>
    </w:rPr>
  </w:style>
  <w:style w:type="paragraph" w:styleId="Bibliography">
    <w:name w:val="Bibliography"/>
    <w:basedOn w:val="Normal"/>
    <w:next w:val="Normal"/>
    <w:unhideWhenUsed/>
    <w:rsid w:val="00BD68CC"/>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customXml" Target="ink/ink6.xml"/><Relationship Id="rId42" Type="http://schemas.openxmlformats.org/officeDocument/2006/relationships/image" Target="media/image17.png"/><Relationship Id="rId47" Type="http://schemas.openxmlformats.org/officeDocument/2006/relationships/image" Target="media/image22.png"/><Relationship Id="rId63" Type="http://schemas.openxmlformats.org/officeDocument/2006/relationships/image" Target="media/image32.png"/><Relationship Id="rId68" Type="http://schemas.openxmlformats.org/officeDocument/2006/relationships/customXml" Target="ink/ink26.xml"/><Relationship Id="rId16" Type="http://schemas.openxmlformats.org/officeDocument/2006/relationships/customXml" Target="ink/ink1.xml"/><Relationship Id="rId11" Type="http://schemas.openxmlformats.org/officeDocument/2006/relationships/image" Target="media/image3.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customXml" Target="ink/ink13.xml"/><Relationship Id="rId40" Type="http://schemas.openxmlformats.org/officeDocument/2006/relationships/customXml" Target="ink/ink16.xml"/><Relationship Id="rId45" Type="http://schemas.openxmlformats.org/officeDocument/2006/relationships/image" Target="media/image20.png"/><Relationship Id="rId53" Type="http://schemas.openxmlformats.org/officeDocument/2006/relationships/image" Target="media/image27.png"/><Relationship Id="rId58" Type="http://schemas.openxmlformats.org/officeDocument/2006/relationships/customXml" Target="ink/ink21.xml"/><Relationship Id="rId66" Type="http://schemas.openxmlformats.org/officeDocument/2006/relationships/customXml" Target="ink/ink25.xml"/><Relationship Id="rId74" Type="http://schemas.openxmlformats.org/officeDocument/2006/relationships/header" Target="header2.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1.png"/><Relationship Id="rId19" Type="http://schemas.openxmlformats.org/officeDocument/2006/relationships/customXml" Target="ink/ink4.xml"/><Relationship Id="rId14" Type="http://schemas.openxmlformats.org/officeDocument/2006/relationships/image" Target="media/image6.png"/><Relationship Id="rId22" Type="http://schemas.openxmlformats.org/officeDocument/2006/relationships/customXml" Target="ink/ink7.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customXml" Target="ink/ink11.xml"/><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customXml" Target="ink/ink20.xml"/><Relationship Id="rId64" Type="http://schemas.openxmlformats.org/officeDocument/2006/relationships/customXml" Target="ink/ink24.xml"/><Relationship Id="rId69" Type="http://schemas.openxmlformats.org/officeDocument/2006/relationships/image" Target="media/image35.png"/><Relationship Id="rId77" Type="http://schemas.openxmlformats.org/officeDocument/2006/relationships/header" Target="header3.xml"/><Relationship Id="rId8" Type="http://schemas.openxmlformats.org/officeDocument/2006/relationships/hyperlink" Target="mailto:nick.christie@med.lu.se" TargetMode="External"/><Relationship Id="rId51" Type="http://schemas.openxmlformats.org/officeDocument/2006/relationships/image" Target="media/image26.png"/><Relationship Id="rId72" Type="http://schemas.openxmlformats.org/officeDocument/2006/relationships/image" Target="media/image37.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customXml" Target="ink/ink2.xml"/><Relationship Id="rId25" Type="http://schemas.openxmlformats.org/officeDocument/2006/relationships/image" Target="media/image9.png"/><Relationship Id="rId33" Type="http://schemas.openxmlformats.org/officeDocument/2006/relationships/customXml" Target="ink/ink9.xml"/><Relationship Id="rId38" Type="http://schemas.openxmlformats.org/officeDocument/2006/relationships/customXml" Target="ink/ink14.xml"/><Relationship Id="rId46" Type="http://schemas.openxmlformats.org/officeDocument/2006/relationships/image" Target="media/image21.png"/><Relationship Id="rId59" Type="http://schemas.openxmlformats.org/officeDocument/2006/relationships/image" Target="media/image30.png"/><Relationship Id="rId67" Type="http://schemas.openxmlformats.org/officeDocument/2006/relationships/image" Target="media/image34.png"/><Relationship Id="rId20" Type="http://schemas.openxmlformats.org/officeDocument/2006/relationships/customXml" Target="ink/ink5.xml"/><Relationship Id="rId41" Type="http://schemas.openxmlformats.org/officeDocument/2006/relationships/customXml" Target="ink/ink17.xml"/><Relationship Id="rId54" Type="http://schemas.openxmlformats.org/officeDocument/2006/relationships/customXml" Target="ink/ink19.xml"/><Relationship Id="rId62" Type="http://schemas.openxmlformats.org/officeDocument/2006/relationships/customXml" Target="ink/ink23.xml"/><Relationship Id="rId70" Type="http://schemas.openxmlformats.org/officeDocument/2006/relationships/customXml" Target="ink/ink27.xm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customXml" Target="ink/ink8.xml"/><Relationship Id="rId28" Type="http://schemas.openxmlformats.org/officeDocument/2006/relationships/image" Target="media/image12.png"/><Relationship Id="rId36" Type="http://schemas.openxmlformats.org/officeDocument/2006/relationships/customXml" Target="ink/ink12.xml"/><Relationship Id="rId49" Type="http://schemas.openxmlformats.org/officeDocument/2006/relationships/image" Target="media/image24.png"/><Relationship Id="rId57" Type="http://schemas.openxmlformats.org/officeDocument/2006/relationships/image" Target="media/image29.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image" Target="media/image19.png"/><Relationship Id="rId52" Type="http://schemas.openxmlformats.org/officeDocument/2006/relationships/customXml" Target="ink/ink18.xml"/><Relationship Id="rId60" Type="http://schemas.openxmlformats.org/officeDocument/2006/relationships/customXml" Target="ink/ink22.xml"/><Relationship Id="rId65" Type="http://schemas.openxmlformats.org/officeDocument/2006/relationships/image" Target="media/image33.png"/><Relationship Id="rId73" Type="http://schemas.openxmlformats.org/officeDocument/2006/relationships/header" Target="header1.xml"/><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customXml" Target="ink/ink3.xml"/><Relationship Id="rId39" Type="http://schemas.openxmlformats.org/officeDocument/2006/relationships/customXml" Target="ink/ink15.xml"/><Relationship Id="rId34" Type="http://schemas.openxmlformats.org/officeDocument/2006/relationships/customXml" Target="ink/ink10.xml"/><Relationship Id="rId50" Type="http://schemas.openxmlformats.org/officeDocument/2006/relationships/image" Target="media/image25.png"/><Relationship Id="rId55" Type="http://schemas.openxmlformats.org/officeDocument/2006/relationships/image" Target="media/image28.png"/><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36.png"/><Relationship Id="rId2" Type="http://schemas.openxmlformats.org/officeDocument/2006/relationships/numbering" Target="numbering.xml"/><Relationship Id="rId29"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3054ch\AppData\Local\Temp\365f8542-ec66-4a19-9355-ff57fc0ab539_TF_Template_Word_Windows_2016(2).zip.539\TF_Template_Word_Windows_2016.dotx"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29:38.71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0 111 0,'7509'-110'0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0:10.84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 0,'7666'0'0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0:31.64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1 177 0,'7598'-177'0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0:34.88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0,'7678'0,"-7659"0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40.918"/>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0,'127'1,"234"31,-207-11,181 2,158-24,-193-3,653 4,-916-2,1-2,64-14,-67 10,1 1,72-3,-87 11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44.176"/>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26,'140'-12,"-24"2,414 6,-316 5,33 12,-17-1,1015-12,-1225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47.519"/>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0 121,'208'1,"907"-33,-686-11,-276 24,-60 6,134-1,-158 14,-49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50.879"/>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1 101,'355'1,"381"-3,-388-19,-283 8,-48 9,1 0,0 1,25 0,817 4,-825-3,-1-1,0-2,55-14,-35 6,-20 8,-1 2,1 1,60 4,-23 0,-44-2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0:58.73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 0,'7345'0'0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1:09.22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0 111 0,'7709'-110'0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1:20.602"/>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22 0,'7523'-22'0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1:24.61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24,'820'2,"864"-5,-1238-8,152-1,270 39,145-8,-754-30,110 0,232 30,-378-3,271 15,-234-31,-241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1:33.537"/>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2,'332'-2,"376"4,-190 21,-88-3,238 11,102 2,-111 0,-495-23,515-3,-381-10,2 6,323-6,-455-8,68 0,-10 0,-10 0,-86 0,-86 5,46 0,-68 5,-1-1,0-2,0 0,26-9,-29 7</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1:35.209"/>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1,'711'-1,"1870"24,-705 43,-1357-66,38 1,-340 8,189 4,-58-1,-111-2,-197-9</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1:38.187"/>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1 22 0,'7501'-21'0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1:40.0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23 0,'7568'-22'0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2:07.360"/>
    </inkml:context>
    <inkml:brush xml:id="br0">
      <inkml:brushProperty name="width" value="0.05" units="cm"/>
      <inkml:brushProperty name="height" value="0.05" units="cm"/>
      <inkml:brushProperty name="color" value="#E71224"/>
    </inkml:brush>
  </inkml:definitions>
  <inkml:trace contextRef="#ctx0" brushRef="#br0">0 1 24575,'187'11'0,"1"1"0,175-12 0,-354 0 0,-1 0 0,1 1 0,0 0 0,-1 1 0,1-1 0,-1 2 0,0-1 0,15 7 0,-20-6 0,1-1 0,0 1 0,-1 0 0,0-1 0,0 2 0,1-1 0,-2 0 0,1 1 0,0-1 0,-1 1 0,0 0 0,1 0 0,-1 0 0,-1 0 0,1 0 0,-1 0 0,0 0 0,2 9 0,5 43 0,-3-1 0,-2 61 0,-1-28 0,31 1531 0,-33-265 0,-4-1294 0,-3 0 0,-3 0 0,-24 88 0,0-7 0,-58 254 0,84-355 0,-3 7 0,2 0 0,-5 91 0,33 393 0,-16-503-1365,-1-4-5461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07.33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1,'1'1,"-1"0,1 0,-1-1,1 1,-1 0,1 0,0-1,-1 1,1 0,0-1,0 1,0 0,-1-1,1 1,0-1,0 1,0-1,0 0,0 1,0-1,0 0,2 0,28 7,-25-6,147 21,156 1,-251-19,1670 18,-1192-25,-510 2,1 2,-1 1,45 9,-54-7</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05.50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1,'3331'0,"-3304"0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03.75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69,'1'-1,"-1"0,0 0,1 0,-1 1,1-1,-1 0,1 0,-1 0,1 1,0-1,-1 0,1 1,0-1,-1 0,1 1,0-1,0 1,0-1,0 1,0 0,-1-1,1 1,0 0,0 0,2-1,32-6,-21 5,45-12,0 3,113-7,122 17,-155 3,3100-1,-3219-1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3:02.58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0,'506'27,"-187"-6,1845 20,-1328-41,-808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57.51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1,'4'1,"1"0,-1 0,0 0,1 1,-1-1,0 1,0 0,4 3,23 10,45 3,134 14,82-12,-229-17,943 7,-583-13,-165-8,13-1,-181 14,117-4,-141-9,-48 7,1 1,29-1,96 5,-119-1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56.02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1,'32'2,"0"1,0 2,34 9,22 5,91 10,324 11,-192-29,-12-1,311-10,-580-2,51-8,-51 5,47-2,82-4,17 0,353 12,-511-1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52.55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1,'40'3,"76"15,-2 1,760 54,-529-51,-65-2,-123-11,179 4,-197-11,120-5,-247 1,0-1,0 0,-1 0,0-2,1 1,16-11,-14 8,0 0,1 1,16-5,6 4,1 1,57-1,-42 4,37-7,-49 4,49 0,-71 6</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50.30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45,'2222'0,"-1594"-24,-547 14,-43 5,43-1,73 7,-131-1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3T11:32:29.2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1,'6479'0,"-6060"11,38 0,-352-22,-7 1,298 8,-205 3,-174 0,0 1,28 6,7 1,-33-7</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3T11:32:23.3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45 0,'8239'-44'0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2FBE3B-17F8-4F94-BB33-C66AAB45B092}">
  <we:reference id="wa104381909" version="3.19.0.0" store="en-US" storeType="OMEX"/>
  <we:alternateReferences>
    <we:reference id="WA104381909" version="3.19.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Template>
  <TotalTime>2530</TotalTime>
  <Pages>26</Pages>
  <Words>10528</Words>
  <Characters>60011</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70399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Nick Christie</dc:creator>
  <cp:lastModifiedBy>Nick Christie</cp:lastModifiedBy>
  <cp:revision>16</cp:revision>
  <cp:lastPrinted>2011-07-22T14:54:00Z</cp:lastPrinted>
  <dcterms:created xsi:type="dcterms:W3CDTF">2025-10-29T09:40:00Z</dcterms:created>
  <dcterms:modified xsi:type="dcterms:W3CDTF">2025-11-03T14:46:00Z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id="YUza9IMF"/&gt;&lt;style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