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bookmarkStart w:id="0" w:name="_Hlk216353411"/>
      <w:bookmarkEnd w:id="0"/>
      <w:r>
        <w:t>The Value of location: What Matters Most for Older Adults Considering Relocation in Sweden?</w:t>
      </w:r>
    </w:p>
    <w:p w14:paraId="76EDD15E" w14:textId="0A5B53A9" w:rsidR="00442B9C" w:rsidRDefault="00454425" w:rsidP="002C3348">
      <w:pPr>
        <w:pStyle w:val="Authornames"/>
        <w:spacing w:line="240" w:lineRule="auto"/>
        <w:rPr>
          <w:vertAlign w:val="superscript"/>
        </w:rPr>
      </w:pPr>
      <w:r>
        <w:t>Nick Christie</w:t>
      </w:r>
      <w:r w:rsidR="005D2725">
        <w:rPr>
          <w:vertAlign w:val="superscript"/>
        </w:rPr>
        <w:t>a</w:t>
      </w:r>
      <w:r w:rsidR="005D2725">
        <w:t xml:space="preserve">, Björn </w:t>
      </w:r>
      <w:proofErr w:type="spellStart"/>
      <w:r w:rsidR="005D2725">
        <w:t>Slaug</w:t>
      </w:r>
      <w:r w:rsidR="00B1514E" w:rsidRPr="00394920">
        <w:rPr>
          <w:vertAlign w:val="superscript"/>
        </w:rPr>
        <w:t>a</w:t>
      </w:r>
      <w:proofErr w:type="spellEnd"/>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r w:rsidR="005D2725">
        <w:t xml:space="preserve">Susanne </w:t>
      </w:r>
      <w:proofErr w:type="spellStart"/>
      <w:r w:rsidR="005D2725">
        <w:t>Iwarsson</w:t>
      </w:r>
      <w:r w:rsidR="00B1514E" w:rsidRPr="00394920">
        <w:rPr>
          <w:vertAlign w:val="superscript"/>
        </w:rPr>
        <w:t>a</w:t>
      </w:r>
      <w:proofErr w:type="spellEnd"/>
    </w:p>
    <w:p w14:paraId="2BBA20F1" w14:textId="77777777" w:rsidR="00FC45F1" w:rsidRPr="00FC45F1" w:rsidRDefault="00FC45F1" w:rsidP="00FC45F1"/>
    <w:p w14:paraId="69CDBCF6" w14:textId="77777777" w:rsidR="00FC45F1" w:rsidRDefault="00B1514E" w:rsidP="00FC45F1">
      <w:pPr>
        <w:pStyle w:val="Affiliation"/>
        <w:spacing w:before="0" w:line="240" w:lineRule="auto"/>
      </w:pPr>
      <w:proofErr w:type="spellStart"/>
      <w:r w:rsidRPr="00394920">
        <w:rPr>
          <w:vertAlign w:val="superscript"/>
        </w:rPr>
        <w:t>a</w:t>
      </w:r>
      <w:r>
        <w:t>Department</w:t>
      </w:r>
      <w:proofErr w:type="spellEnd"/>
      <w:r>
        <w:t xml:space="preserve"> of Health Sciences, Faculty of Medicine, Lund University, Lund, Sweden</w:t>
      </w:r>
      <w:r w:rsidR="00B64FA3">
        <w:t>;</w:t>
      </w:r>
      <w:r w:rsidR="00B64FA3" w:rsidRPr="003152C8">
        <w:t xml:space="preserve"> </w:t>
      </w:r>
      <w:proofErr w:type="spellStart"/>
      <w:r w:rsidR="00B64FA3" w:rsidRPr="00394920">
        <w:rPr>
          <w:vertAlign w:val="superscript"/>
        </w:rPr>
        <w:t>b</w:t>
      </w:r>
      <w:r w:rsidR="00FC45F1" w:rsidRPr="00FC45F1">
        <w:t>Health</w:t>
      </w:r>
      <w:proofErr w:type="spellEnd"/>
      <w:r w:rsidR="00FC45F1" w:rsidRPr="00FC45F1">
        <w:t xml:space="preserve"> and Social Care Administration, Municipality of </w:t>
      </w:r>
      <w:proofErr w:type="spellStart"/>
      <w:r w:rsidR="00FC45F1" w:rsidRPr="00FC45F1">
        <w:t>Östersund</w:t>
      </w:r>
      <w:proofErr w:type="spellEnd"/>
      <w:r w:rsidR="00FC45F1" w:rsidRPr="00FC45F1">
        <w:t xml:space="preserve">, </w:t>
      </w:r>
      <w:proofErr w:type="spellStart"/>
      <w:r w:rsidR="00FC45F1" w:rsidRPr="00FC45F1">
        <w:t>Östersund</w:t>
      </w:r>
      <w:proofErr w:type="spellEnd"/>
      <w:r w:rsidR="00FC45F1" w:rsidRPr="00FC45F1">
        <w:t>,</w:t>
      </w:r>
      <w:r w:rsidR="00FC45F1">
        <w:t xml:space="preserve"> </w:t>
      </w:r>
      <w:proofErr w:type="spellStart"/>
      <w:r w:rsidR="00FC45F1">
        <w:rPr>
          <w:vertAlign w:val="superscript"/>
        </w:rPr>
        <w:t>c</w:t>
      </w:r>
      <w:r w:rsidR="00FC45F1" w:rsidRPr="00FC45F1">
        <w:t>Community</w:t>
      </w:r>
      <w:proofErr w:type="spellEnd"/>
      <w:r w:rsidR="00FC45F1" w:rsidRPr="00FC45F1">
        <w:t xml:space="preserve"> Medicine and Rehabilitation, Umeå University, Umeå, </w:t>
      </w:r>
      <w:proofErr w:type="gramStart"/>
      <w:r w:rsidR="00FC45F1" w:rsidRPr="00FC45F1">
        <w:t>Sweden</w:t>
      </w:r>
      <w:r w:rsidR="00FC45F1">
        <w:t>;</w:t>
      </w:r>
      <w:proofErr w:type="gramEnd"/>
      <w:r w:rsidR="00FC45F1" w:rsidRPr="00FC45F1">
        <w:t xml:space="preserve"> </w:t>
      </w:r>
    </w:p>
    <w:p w14:paraId="3C80D971" w14:textId="46B0D0E8" w:rsidR="00FC45F1" w:rsidRDefault="00FC45F1" w:rsidP="00FC45F1">
      <w:pPr>
        <w:pStyle w:val="Affiliation"/>
        <w:spacing w:before="0" w:line="240" w:lineRule="auto"/>
      </w:pPr>
      <w:proofErr w:type="spellStart"/>
      <w:r>
        <w:rPr>
          <w:vertAlign w:val="superscript"/>
        </w:rPr>
        <w:t>d</w:t>
      </w:r>
      <w:r w:rsidRPr="00FC45F1">
        <w:t>Clinical</w:t>
      </w:r>
      <w:proofErr w:type="spellEnd"/>
      <w:r w:rsidRPr="00FC45F1">
        <w:t xml:space="preserve"> Studies Sweden, Forum South, </w:t>
      </w:r>
      <w:proofErr w:type="spellStart"/>
      <w:r w:rsidRPr="00FC45F1">
        <w:t>Skåne</w:t>
      </w:r>
      <w:proofErr w:type="spellEnd"/>
      <w:r w:rsidRPr="00FC45F1">
        <w:t xml:space="preserve"> University Hospital, Lund, </w:t>
      </w:r>
      <w:proofErr w:type="gramStart"/>
      <w:r w:rsidRPr="00FC45F1">
        <w:t>Sweden</w:t>
      </w:r>
      <w:r>
        <w:t>;</w:t>
      </w:r>
      <w:proofErr w:type="gramEnd"/>
    </w:p>
    <w:p w14:paraId="1C8606CD" w14:textId="3CF511EF" w:rsidR="00997B0F" w:rsidRDefault="00FC45F1" w:rsidP="00FC45F1">
      <w:pPr>
        <w:pStyle w:val="Affiliation"/>
        <w:spacing w:before="0" w:line="240" w:lineRule="auto"/>
      </w:pPr>
      <w:proofErr w:type="spellStart"/>
      <w:r>
        <w:rPr>
          <w:vertAlign w:val="superscript"/>
        </w:rPr>
        <w:t>e</w:t>
      </w:r>
      <w:r w:rsidRPr="00FC45F1">
        <w:t>Division</w:t>
      </w:r>
      <w:proofErr w:type="spellEnd"/>
      <w:r w:rsidRPr="00FC45F1">
        <w:t xml:space="preserve">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8"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76BF734E"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00D74B85" w:rsidRPr="00883E8F">
        <w:rPr>
          <w:lang w:val="en-US" w:eastAsia="en-US"/>
        </w:rPr>
        <w:t>, PhD</w:t>
      </w:r>
      <w:r w:rsidR="00D74B85">
        <w:rPr>
          <w:lang w:val="en-US" w:eastAsia="en-US"/>
        </w:rPr>
        <w:t>,</w:t>
      </w:r>
      <w:r w:rsidR="00D74B85" w:rsidRPr="000E0072">
        <w:rPr>
          <w:lang w:val="en-US" w:eastAsia="en-US"/>
        </w:rPr>
        <w:t xml:space="preserve"> is</w:t>
      </w:r>
      <w:r w:rsidRPr="000E0072">
        <w:rPr>
          <w:lang w:val="en-US" w:eastAsia="en-US"/>
        </w:rPr>
        <w:t xml:space="preserve"> a postdoctoral researcher and research engineer at Lund University. His research bridges health sciences and economics, focusing on housing, urban planning, and ageing, with particular attention to relocation patterns among older adults.</w:t>
      </w:r>
    </w:p>
    <w:p w14:paraId="63098166" w14:textId="306A2239"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00D74B85" w:rsidRPr="00883E8F">
        <w:rPr>
          <w:lang w:val="en-US" w:eastAsia="en-US"/>
        </w:rPr>
        <w:t>, PhD</w:t>
      </w:r>
      <w:r w:rsidR="00D74B85">
        <w:rPr>
          <w:lang w:val="en-US" w:eastAsia="en-US"/>
        </w:rPr>
        <w:t>,</w:t>
      </w:r>
      <w:r w:rsidRPr="000E0072">
        <w:rPr>
          <w:lang w:val="en-US" w:eastAsia="en-US"/>
        </w:rPr>
        <w:t xml:space="preserve"> is an Associate Professor of Health Sciences at Lund University and a member of the at the Centre for Ageing and Supportive Environments (CASE)</w:t>
      </w:r>
      <w:r w:rsidR="00D74B85" w:rsidRPr="00D74B85">
        <w:rPr>
          <w:lang w:val="en-US" w:eastAsia="en-US"/>
        </w:rPr>
        <w:t xml:space="preserve"> </w:t>
      </w:r>
      <w:r w:rsidR="00D74B85">
        <w:rPr>
          <w:lang w:val="en-US" w:eastAsia="en-US"/>
        </w:rPr>
        <w:t>and the profile area Proactive Ageing</w:t>
      </w:r>
      <w:r w:rsidRPr="000E0072">
        <w:rPr>
          <w:lang w:val="en-US" w:eastAsia="en-US"/>
        </w:rPr>
        <w:t>. His research focuses on the built environment and how it can be adapted to support active and healthy ageing.</w:t>
      </w:r>
    </w:p>
    <w:p w14:paraId="7EB606EF" w14:textId="4F39049A"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an Associate Professor in Occupational Therapy and affiliated researcher at Epidemiology and Global Health, </w:t>
      </w:r>
      <w:proofErr w:type="spellStart"/>
      <w:r w:rsidRPr="000E0072">
        <w:rPr>
          <w:lang w:val="en-US" w:eastAsia="en-US"/>
        </w:rPr>
        <w:t>Umeå</w:t>
      </w:r>
      <w:proofErr w:type="spellEnd"/>
      <w:r w:rsidRPr="000E0072">
        <w:rPr>
          <w:lang w:val="en-US" w:eastAsia="en-US"/>
        </w:rPr>
        <w:t xml:space="preserve"> University. His work focuses on health promotion, falls prevention, and re</w:t>
      </w:r>
      <w:r w:rsidR="00D74B85">
        <w:rPr>
          <w:lang w:val="en-US" w:eastAsia="en-US"/>
        </w:rPr>
        <w:t>-</w:t>
      </w:r>
      <w:proofErr w:type="spellStart"/>
      <w:r w:rsidRPr="000E0072">
        <w:rPr>
          <w:lang w:val="en-US" w:eastAsia="en-US"/>
        </w:rPr>
        <w:t>ablement</w:t>
      </w:r>
      <w:proofErr w:type="spellEnd"/>
      <w:r w:rsidRPr="000E0072">
        <w:rPr>
          <w:lang w:val="en-US" w:eastAsia="en-US"/>
        </w:rPr>
        <w:t xml:space="preserve"> for older adults, and he leads R&amp;D for active and healthy ageing in the Municipality of </w:t>
      </w:r>
      <w:proofErr w:type="spellStart"/>
      <w:r w:rsidRPr="000E0072">
        <w:rPr>
          <w:lang w:val="en-US" w:eastAsia="en-US"/>
        </w:rPr>
        <w:t>Östersund</w:t>
      </w:r>
      <w:proofErr w:type="spellEnd"/>
      <w:r w:rsidRPr="000E0072">
        <w:rPr>
          <w:lang w:val="en-US" w:eastAsia="en-US"/>
        </w:rPr>
        <w:t>.</w:t>
      </w:r>
    </w:p>
    <w:p w14:paraId="2834F9B5" w14:textId="01B83B24"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 Professor of Epidemiology at Lund University. His research focuses on sociodemographic differences in health and wellbeing, using population-based data, and he contributes to developing infrastructure for population research and public health surveillance.</w:t>
      </w:r>
    </w:p>
    <w:p w14:paraId="152046BB" w14:textId="178B198A" w:rsidR="00B1514E" w:rsidRDefault="000E0072" w:rsidP="00D74B85">
      <w:pPr>
        <w:spacing w:before="100" w:beforeAutospacing="1" w:after="100" w:afterAutospacing="1" w:line="240" w:lineRule="auto"/>
        <w:rPr>
          <w:lang w:val="en-US" w:eastAsia="sv-SE"/>
        </w:rPr>
      </w:pPr>
      <w:r w:rsidRPr="000E0072">
        <w:rPr>
          <w:b/>
          <w:bCs/>
          <w:lang w:val="en-US" w:eastAsia="en-US"/>
        </w:rPr>
        <w:t>Susanne Iwarsson</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Professor of Gerontology and Care for Older </w:t>
      </w:r>
      <w:r w:rsidR="00D74B85">
        <w:rPr>
          <w:lang w:val="en-US" w:eastAsia="en-US"/>
        </w:rPr>
        <w:t>Adults</w:t>
      </w:r>
      <w:r w:rsidRPr="000E0072">
        <w:rPr>
          <w:lang w:val="en-US" w:eastAsia="en-US"/>
        </w:rPr>
        <w:t xml:space="preserve"> at Lund University and Doctor Honoris Causa at Riga </w:t>
      </w:r>
      <w:proofErr w:type="spellStart"/>
      <w:r w:rsidRPr="000E0072">
        <w:rPr>
          <w:lang w:val="en-US" w:eastAsia="en-US"/>
        </w:rPr>
        <w:t>Stradins</w:t>
      </w:r>
      <w:proofErr w:type="spellEnd"/>
      <w:r w:rsidRPr="000E0072">
        <w:rPr>
          <w:lang w:val="en-US" w:eastAsia="en-US"/>
        </w:rPr>
        <w:t xml:space="preserve"> University, Latvia. Her research in environmental gerontology focuses on ageing, health, housing, and participation</w:t>
      </w:r>
      <w:r w:rsidR="00D74B85">
        <w:rPr>
          <w:lang w:val="en-US" w:eastAsia="en-US"/>
        </w:rPr>
        <w:t>. She was</w:t>
      </w:r>
      <w:r w:rsidRPr="000E0072">
        <w:rPr>
          <w:lang w:val="en-US" w:eastAsia="en-US"/>
        </w:rPr>
        <w:t xml:space="preserve"> the founding </w:t>
      </w:r>
      <w:r w:rsidR="00D74B85">
        <w:rPr>
          <w:lang w:val="en-US" w:eastAsia="en-US"/>
        </w:rPr>
        <w:t>Coordinator</w:t>
      </w:r>
      <w:r w:rsidRPr="000E0072">
        <w:rPr>
          <w:lang w:val="en-US" w:eastAsia="en-US"/>
        </w:rPr>
        <w:t xml:space="preserve"> of the Centre for Ageing and Supportive Environments (CASE</w:t>
      </w:r>
      <w:r w:rsidR="00D74B85" w:rsidRPr="000E0072">
        <w:rPr>
          <w:lang w:val="en-US" w:eastAsia="en-US"/>
        </w:rPr>
        <w:t>)</w:t>
      </w:r>
      <w:r w:rsidR="00D74B85">
        <w:rPr>
          <w:lang w:val="en-US" w:eastAsia="en-US"/>
        </w:rPr>
        <w:t xml:space="preserve"> and the profile area Proactive </w:t>
      </w:r>
      <w:proofErr w:type="gramStart"/>
      <w:r w:rsidR="00D74B85">
        <w:rPr>
          <w:lang w:val="en-US" w:eastAsia="en-US"/>
        </w:rPr>
        <w:t>Ageing, and</w:t>
      </w:r>
      <w:proofErr w:type="gramEnd"/>
      <w:r w:rsidR="00D74B85">
        <w:rPr>
          <w:lang w:val="en-US" w:eastAsia="en-US"/>
        </w:rPr>
        <w:t xml:space="preserve"> is Coordinator of </w:t>
      </w:r>
      <w:r w:rsidR="00D74B85" w:rsidRPr="000E0072">
        <w:rPr>
          <w:lang w:val="en-US" w:eastAsia="en-US"/>
        </w:rPr>
        <w:t>the Swedish National Graduate School on Ageing and Health (SWEAH).</w:t>
      </w: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07E426E9" w14:textId="77777777" w:rsidR="000E0072" w:rsidRPr="00DD6569"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tbl>
      <w:tblPr>
        <w:tblStyle w:val="TableGrid"/>
        <w:tblW w:w="0" w:type="auto"/>
        <w:tblLook w:val="04A0" w:firstRow="1" w:lastRow="0" w:firstColumn="1" w:lastColumn="0" w:noHBand="0" w:noVBand="1"/>
      </w:tblPr>
      <w:tblGrid>
        <w:gridCol w:w="4094"/>
        <w:gridCol w:w="4395"/>
      </w:tblGrid>
      <w:tr w:rsidR="00633DD5" w:rsidRPr="00F15126" w14:paraId="10A754E4" w14:textId="77777777" w:rsidTr="00FC45F1">
        <w:tc>
          <w:tcPr>
            <w:tcW w:w="4094" w:type="dxa"/>
          </w:tcPr>
          <w:p w14:paraId="4B099519" w14:textId="3D408FAF" w:rsidR="00633DD5" w:rsidRPr="00FC45F1" w:rsidRDefault="00633DD5" w:rsidP="00F15126">
            <w:pPr>
              <w:pStyle w:val="Notesoncontributors"/>
              <w:spacing w:before="0" w:line="240" w:lineRule="auto"/>
              <w:rPr>
                <w:sz w:val="18"/>
                <w:szCs w:val="18"/>
              </w:rPr>
            </w:pPr>
            <w:r w:rsidRPr="00FC45F1">
              <w:rPr>
                <w:sz w:val="18"/>
                <w:szCs w:val="18"/>
              </w:rPr>
              <w:t>Research Aim</w:t>
            </w:r>
            <w:r w:rsidR="00940A32">
              <w:rPr>
                <w:sz w:val="18"/>
                <w:szCs w:val="18"/>
              </w:rPr>
              <w:t xml:space="preserve"> (variations on a theme)</w:t>
            </w:r>
          </w:p>
        </w:tc>
        <w:tc>
          <w:tcPr>
            <w:tcW w:w="4395" w:type="dxa"/>
          </w:tcPr>
          <w:p w14:paraId="6A693762"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To explore willingness-to-pay estimates of preferred locational attributes for older individuals in Sweden considering relocation.</w:t>
            </w:r>
          </w:p>
          <w:p w14:paraId="617EA748"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Explore heterogeneity in locational preferences for older individuals in Sweden considering relocation.</w:t>
            </w:r>
          </w:p>
          <w:p w14:paraId="59DB7ACA" w14:textId="43AF8421"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To identify differences in willingness to pay estimates among older individuals considering relocation in Sweden.</w:t>
            </w:r>
          </w:p>
          <w:p w14:paraId="49A9C2EA" w14:textId="77777777" w:rsidR="00633DD5" w:rsidRPr="00FC45F1" w:rsidRDefault="00633DD5" w:rsidP="00F15126">
            <w:pPr>
              <w:pStyle w:val="Notesoncontributors"/>
              <w:spacing w:before="0" w:line="240" w:lineRule="auto"/>
              <w:rPr>
                <w:sz w:val="18"/>
                <w:szCs w:val="18"/>
              </w:rPr>
            </w:pPr>
          </w:p>
        </w:tc>
      </w:tr>
      <w:tr w:rsidR="00633DD5" w:rsidRPr="00F15126" w14:paraId="7C9800A5" w14:textId="77777777" w:rsidTr="00FC45F1">
        <w:tc>
          <w:tcPr>
            <w:tcW w:w="4094" w:type="dxa"/>
          </w:tcPr>
          <w:p w14:paraId="7E70660C" w14:textId="5C26FECB" w:rsidR="00633DD5" w:rsidRPr="00FC45F1" w:rsidRDefault="00633DD5" w:rsidP="00F15126">
            <w:pPr>
              <w:pStyle w:val="Notesoncontributors"/>
              <w:spacing w:before="0" w:line="240" w:lineRule="auto"/>
              <w:rPr>
                <w:sz w:val="18"/>
                <w:szCs w:val="18"/>
              </w:rPr>
            </w:pPr>
            <w:r w:rsidRPr="00FC45F1">
              <w:rPr>
                <w:sz w:val="18"/>
                <w:szCs w:val="18"/>
              </w:rPr>
              <w:t>Journals</w:t>
            </w:r>
          </w:p>
        </w:tc>
        <w:tc>
          <w:tcPr>
            <w:tcW w:w="4395" w:type="dxa"/>
          </w:tcPr>
          <w:p w14:paraId="7FA766D1" w14:textId="417783A7" w:rsidR="00B17C5F" w:rsidRDefault="00633DD5" w:rsidP="00F15126">
            <w:pPr>
              <w:pStyle w:val="Notesoncontributors"/>
              <w:numPr>
                <w:ilvl w:val="0"/>
                <w:numId w:val="33"/>
              </w:numPr>
              <w:spacing w:before="0" w:line="240" w:lineRule="auto"/>
              <w:rPr>
                <w:sz w:val="18"/>
                <w:szCs w:val="18"/>
              </w:rPr>
            </w:pPr>
            <w:r w:rsidRPr="00FC45F1">
              <w:rPr>
                <w:sz w:val="18"/>
                <w:szCs w:val="18"/>
              </w:rPr>
              <w:t xml:space="preserve">Housing studies – Have published a handful of studies using a DCE.  </w:t>
            </w:r>
            <w:proofErr w:type="gramStart"/>
            <w:r w:rsidR="00741BA3">
              <w:rPr>
                <w:sz w:val="18"/>
                <w:szCs w:val="18"/>
                <w:highlight w:val="yellow"/>
              </w:rPr>
              <w:t xml:space="preserve">Good </w:t>
            </w:r>
            <w:r w:rsidRPr="00FC45F1">
              <w:rPr>
                <w:sz w:val="18"/>
                <w:szCs w:val="18"/>
                <w:highlight w:val="yellow"/>
              </w:rPr>
              <w:t xml:space="preserve"> candidate</w:t>
            </w:r>
            <w:proofErr w:type="gramEnd"/>
            <w:r w:rsidR="00B17C5F" w:rsidRPr="00FC45F1">
              <w:rPr>
                <w:sz w:val="18"/>
                <w:szCs w:val="18"/>
              </w:rPr>
              <w:t xml:space="preserve"> </w:t>
            </w:r>
          </w:p>
          <w:p w14:paraId="173A8529" w14:textId="3932AD5C" w:rsidR="00633DD5" w:rsidRPr="00FC45F1" w:rsidRDefault="00B17C5F" w:rsidP="00F15126">
            <w:pPr>
              <w:pStyle w:val="Notesoncontributors"/>
              <w:numPr>
                <w:ilvl w:val="0"/>
                <w:numId w:val="33"/>
              </w:numPr>
              <w:spacing w:before="0" w:line="240" w:lineRule="auto"/>
              <w:rPr>
                <w:sz w:val="18"/>
                <w:szCs w:val="18"/>
              </w:rPr>
            </w:pPr>
            <w:r w:rsidRPr="00FC45F1">
              <w:rPr>
                <w:sz w:val="18"/>
                <w:szCs w:val="18"/>
              </w:rPr>
              <w:t xml:space="preserve">Journal of housing and the built environment. (latex) </w:t>
            </w:r>
            <w:r w:rsidR="00940A32">
              <w:rPr>
                <w:sz w:val="18"/>
                <w:szCs w:val="18"/>
                <w:highlight w:val="yellow"/>
              </w:rPr>
              <w:t>G</w:t>
            </w:r>
            <w:r w:rsidRPr="00FC45F1">
              <w:rPr>
                <w:sz w:val="18"/>
                <w:szCs w:val="18"/>
                <w:highlight w:val="yellow"/>
              </w:rPr>
              <w:t>ood candidate</w:t>
            </w:r>
            <w:r w:rsidRPr="00FC45F1">
              <w:rPr>
                <w:sz w:val="18"/>
                <w:szCs w:val="18"/>
              </w:rPr>
              <w:t xml:space="preserve"> https://link.springer.com/journal/10901</w:t>
            </w:r>
          </w:p>
          <w:p w14:paraId="221564EA" w14:textId="384FCF2D"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 xml:space="preserve">Nature Ageing – appears to be rooted in medical science (DNA sequences, biological indicators, etc).  No DCE studies identified. </w:t>
            </w:r>
            <w:r w:rsidRPr="00FC45F1">
              <w:rPr>
                <w:sz w:val="18"/>
                <w:szCs w:val="18"/>
                <w:highlight w:val="red"/>
              </w:rPr>
              <w:t>Low candidate</w:t>
            </w:r>
          </w:p>
          <w:p w14:paraId="566B1DA2" w14:textId="02B20A31"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Lancet</w:t>
            </w:r>
            <w:r w:rsidR="00FE6C9D" w:rsidRPr="00FC45F1">
              <w:rPr>
                <w:sz w:val="18"/>
                <w:szCs w:val="18"/>
              </w:rPr>
              <w:t xml:space="preserve"> </w:t>
            </w:r>
            <w:r w:rsidR="00B17C5F">
              <w:rPr>
                <w:sz w:val="18"/>
                <w:szCs w:val="18"/>
              </w:rPr>
              <w:t>–</w:t>
            </w:r>
            <w:r w:rsidR="00FE6C9D" w:rsidRPr="00FC45F1">
              <w:rPr>
                <w:sz w:val="18"/>
                <w:szCs w:val="18"/>
              </w:rPr>
              <w:t xml:space="preserve"> </w:t>
            </w:r>
            <w:r w:rsidR="00B17C5F">
              <w:rPr>
                <w:sz w:val="18"/>
                <w:szCs w:val="18"/>
              </w:rPr>
              <w:t xml:space="preserve">No DCE studies found – </w:t>
            </w:r>
            <w:r w:rsidR="00B17C5F" w:rsidRPr="00B17C5F">
              <w:rPr>
                <w:sz w:val="18"/>
                <w:szCs w:val="18"/>
                <w:highlight w:val="red"/>
              </w:rPr>
              <w:t>low</w:t>
            </w:r>
            <w:r w:rsidR="00B17C5F">
              <w:rPr>
                <w:sz w:val="18"/>
                <w:szCs w:val="18"/>
              </w:rPr>
              <w:t xml:space="preserve"> </w:t>
            </w:r>
            <w:r w:rsidR="00B17C5F" w:rsidRPr="00B17C5F">
              <w:rPr>
                <w:sz w:val="18"/>
                <w:szCs w:val="18"/>
                <w:highlight w:val="red"/>
              </w:rPr>
              <w:t>candidate</w:t>
            </w:r>
            <w:r w:rsidR="00B17C5F">
              <w:rPr>
                <w:sz w:val="18"/>
                <w:szCs w:val="18"/>
              </w:rPr>
              <w:t xml:space="preserve"> </w:t>
            </w:r>
          </w:p>
          <w:p w14:paraId="64C0035D" w14:textId="120FFB24" w:rsidR="00C27724" w:rsidRPr="00FC45F1" w:rsidRDefault="00940A32" w:rsidP="00F15126">
            <w:pPr>
              <w:pStyle w:val="Notesoncontributors"/>
              <w:numPr>
                <w:ilvl w:val="0"/>
                <w:numId w:val="33"/>
              </w:numPr>
              <w:spacing w:before="0" w:line="240" w:lineRule="auto"/>
              <w:rPr>
                <w:sz w:val="18"/>
                <w:szCs w:val="18"/>
              </w:rPr>
            </w:pPr>
            <w:r>
              <w:rPr>
                <w:sz w:val="18"/>
                <w:szCs w:val="18"/>
              </w:rPr>
              <w:t xml:space="preserve">Others? </w:t>
            </w:r>
          </w:p>
          <w:p w14:paraId="3907D58B" w14:textId="5942772C" w:rsidR="000C109F" w:rsidRPr="00FC45F1" w:rsidRDefault="000C109F" w:rsidP="00B17C5F">
            <w:pPr>
              <w:pStyle w:val="Notesoncontributors"/>
              <w:spacing w:before="0" w:line="240" w:lineRule="auto"/>
              <w:ind w:left="720"/>
              <w:rPr>
                <w:sz w:val="18"/>
                <w:szCs w:val="18"/>
              </w:rPr>
            </w:pPr>
          </w:p>
        </w:tc>
      </w:tr>
      <w:tr w:rsidR="00633DD5" w:rsidRPr="00F15126" w14:paraId="369B105B" w14:textId="77777777" w:rsidTr="00FC45F1">
        <w:tc>
          <w:tcPr>
            <w:tcW w:w="4094" w:type="dxa"/>
          </w:tcPr>
          <w:p w14:paraId="6E5DC142" w14:textId="4CC3A3A4" w:rsidR="00633DD5" w:rsidRPr="00FC45F1" w:rsidRDefault="00C27724" w:rsidP="002C3348">
            <w:pPr>
              <w:pStyle w:val="Notesoncontributors"/>
              <w:spacing w:line="240" w:lineRule="auto"/>
              <w:rPr>
                <w:sz w:val="18"/>
                <w:szCs w:val="18"/>
              </w:rPr>
            </w:pPr>
            <w:r w:rsidRPr="00FC45F1">
              <w:rPr>
                <w:sz w:val="18"/>
                <w:szCs w:val="18"/>
              </w:rPr>
              <w:t>Methodological approach</w:t>
            </w:r>
          </w:p>
        </w:tc>
        <w:tc>
          <w:tcPr>
            <w:tcW w:w="4395" w:type="dxa"/>
          </w:tcPr>
          <w:p w14:paraId="4AD5AB07" w14:textId="77777777" w:rsidR="00633DD5" w:rsidRPr="00FC45F1" w:rsidRDefault="00C27724" w:rsidP="00C27724">
            <w:pPr>
              <w:pStyle w:val="Notesoncontributors"/>
              <w:numPr>
                <w:ilvl w:val="0"/>
                <w:numId w:val="34"/>
              </w:numPr>
              <w:spacing w:line="240" w:lineRule="auto"/>
              <w:rPr>
                <w:sz w:val="18"/>
                <w:szCs w:val="18"/>
              </w:rPr>
            </w:pPr>
            <w:r w:rsidRPr="00FC45F1">
              <w:rPr>
                <w:sz w:val="18"/>
                <w:szCs w:val="18"/>
              </w:rPr>
              <w:t>Estimate mixed logit models on Renters and Owners to identify MWTP estimates</w:t>
            </w:r>
          </w:p>
          <w:p w14:paraId="1DCC02FB" w14:textId="1CE90529" w:rsidR="00C27724" w:rsidRPr="00FC45F1" w:rsidRDefault="00C27724" w:rsidP="00C27724">
            <w:pPr>
              <w:pStyle w:val="Notesoncontributors"/>
              <w:numPr>
                <w:ilvl w:val="0"/>
                <w:numId w:val="34"/>
              </w:numPr>
              <w:spacing w:line="240" w:lineRule="auto"/>
              <w:rPr>
                <w:sz w:val="18"/>
                <w:szCs w:val="18"/>
              </w:rPr>
            </w:pPr>
            <w:r w:rsidRPr="00FC45F1">
              <w:rPr>
                <w:sz w:val="18"/>
                <w:szCs w:val="18"/>
              </w:rPr>
              <w:t>Extend these models to include interaction terms which facilitate identifying differences across age, gender, and health.</w:t>
            </w:r>
          </w:p>
        </w:tc>
      </w:tr>
      <w:tr w:rsidR="00633DD5" w:rsidRPr="00F15126" w14:paraId="377B4863" w14:textId="77777777" w:rsidTr="00FC45F1">
        <w:tc>
          <w:tcPr>
            <w:tcW w:w="4094" w:type="dxa"/>
          </w:tcPr>
          <w:p w14:paraId="75CF3D3C" w14:textId="1D2D4E47" w:rsidR="00633DD5" w:rsidRPr="00FC45F1" w:rsidRDefault="000F78B5" w:rsidP="002C3348">
            <w:pPr>
              <w:pStyle w:val="Notesoncontributors"/>
              <w:spacing w:line="240" w:lineRule="auto"/>
              <w:rPr>
                <w:sz w:val="18"/>
                <w:szCs w:val="18"/>
              </w:rPr>
            </w:pPr>
            <w:r w:rsidRPr="00FC45F1">
              <w:rPr>
                <w:sz w:val="18"/>
                <w:szCs w:val="18"/>
              </w:rPr>
              <w:t>Methodological considerations</w:t>
            </w:r>
          </w:p>
        </w:tc>
        <w:tc>
          <w:tcPr>
            <w:tcW w:w="4395" w:type="dxa"/>
          </w:tcPr>
          <w:p w14:paraId="2AF7B0EC" w14:textId="77777777" w:rsidR="00633DD5" w:rsidRPr="00FC45F1" w:rsidRDefault="000F78B5" w:rsidP="000F78B5">
            <w:pPr>
              <w:pStyle w:val="Notesoncontributors"/>
              <w:numPr>
                <w:ilvl w:val="0"/>
                <w:numId w:val="35"/>
              </w:numPr>
              <w:spacing w:line="240" w:lineRule="auto"/>
              <w:rPr>
                <w:sz w:val="18"/>
                <w:szCs w:val="18"/>
              </w:rPr>
            </w:pPr>
            <w:r w:rsidRPr="00FC45F1">
              <w:rPr>
                <w:sz w:val="18"/>
                <w:szCs w:val="18"/>
              </w:rPr>
              <w:t>Our primary focus is on tenure groups.  We could shift this to another group – age groups perhaps – to move the focus of the paper.</w:t>
            </w:r>
          </w:p>
          <w:p w14:paraId="32AD1E85" w14:textId="0DF36BCB" w:rsidR="000F78B5" w:rsidRDefault="000F78B5" w:rsidP="000F78B5">
            <w:pPr>
              <w:pStyle w:val="Notesoncontributors"/>
              <w:numPr>
                <w:ilvl w:val="0"/>
                <w:numId w:val="35"/>
              </w:numPr>
              <w:spacing w:line="240" w:lineRule="auto"/>
              <w:rPr>
                <w:sz w:val="18"/>
                <w:szCs w:val="18"/>
              </w:rPr>
            </w:pPr>
            <w:r w:rsidRPr="00FC45F1">
              <w:rPr>
                <w:sz w:val="18"/>
                <w:szCs w:val="18"/>
              </w:rPr>
              <w:t>The heterogenous tests identify some significant differences, but they are not very strong</w:t>
            </w:r>
            <w:r w:rsidR="00940A32">
              <w:rPr>
                <w:sz w:val="18"/>
                <w:szCs w:val="18"/>
              </w:rPr>
              <w:t xml:space="preserve"> (if not relying on delta method significance).  </w:t>
            </w:r>
            <w:r w:rsidRPr="00FC45F1">
              <w:rPr>
                <w:sz w:val="18"/>
                <w:szCs w:val="18"/>
              </w:rPr>
              <w:t xml:space="preserve">Exploring alternative groups could produce stronger results. (retired, civil status, city </w:t>
            </w:r>
            <w:proofErr w:type="spellStart"/>
            <w:r w:rsidRPr="00FC45F1">
              <w:rPr>
                <w:sz w:val="18"/>
                <w:szCs w:val="18"/>
              </w:rPr>
              <w:t>center</w:t>
            </w:r>
            <w:proofErr w:type="spellEnd"/>
            <w:r w:rsidRPr="00FC45F1">
              <w:rPr>
                <w:sz w:val="18"/>
                <w:szCs w:val="18"/>
              </w:rPr>
              <w:t xml:space="preserve"> vs urban environment, etc)</w:t>
            </w:r>
          </w:p>
          <w:p w14:paraId="2A6D2042" w14:textId="7F069FD9" w:rsidR="00940A32" w:rsidRPr="00FC45F1" w:rsidRDefault="00940A32" w:rsidP="000F78B5">
            <w:pPr>
              <w:pStyle w:val="Notesoncontributors"/>
              <w:numPr>
                <w:ilvl w:val="0"/>
                <w:numId w:val="35"/>
              </w:numPr>
              <w:spacing w:line="240" w:lineRule="auto"/>
              <w:rPr>
                <w:sz w:val="18"/>
                <w:szCs w:val="18"/>
              </w:rPr>
            </w:pPr>
            <w:r>
              <w:rPr>
                <w:sz w:val="18"/>
                <w:szCs w:val="18"/>
              </w:rPr>
              <w:t xml:space="preserve">Alternatively, estimation of latent class models would be feasible, although we would have to alter the text and aim as we sought to uncover sources of heterogeneity. </w:t>
            </w:r>
          </w:p>
        </w:tc>
      </w:tr>
      <w:tr w:rsidR="00633DD5" w:rsidRPr="00F15126" w14:paraId="3CE2BEB1" w14:textId="77777777" w:rsidTr="00FC45F1">
        <w:tc>
          <w:tcPr>
            <w:tcW w:w="4094" w:type="dxa"/>
          </w:tcPr>
          <w:p w14:paraId="0F94D197" w14:textId="1527E0B5" w:rsidR="00633DD5" w:rsidRPr="00FC45F1" w:rsidRDefault="00940A32" w:rsidP="002C3348">
            <w:pPr>
              <w:pStyle w:val="Notesoncontributors"/>
              <w:spacing w:line="240" w:lineRule="auto"/>
              <w:rPr>
                <w:sz w:val="18"/>
                <w:szCs w:val="18"/>
              </w:rPr>
            </w:pPr>
            <w:r>
              <w:rPr>
                <w:sz w:val="18"/>
                <w:szCs w:val="18"/>
              </w:rPr>
              <w:t>Other considerations</w:t>
            </w:r>
          </w:p>
        </w:tc>
        <w:tc>
          <w:tcPr>
            <w:tcW w:w="4395" w:type="dxa"/>
          </w:tcPr>
          <w:p w14:paraId="0EB94E2B" w14:textId="77777777" w:rsidR="003E61F3" w:rsidRDefault="003E61F3" w:rsidP="000F78B5">
            <w:pPr>
              <w:pStyle w:val="Notesoncontributors"/>
              <w:numPr>
                <w:ilvl w:val="0"/>
                <w:numId w:val="36"/>
              </w:numPr>
              <w:spacing w:line="240" w:lineRule="auto"/>
              <w:rPr>
                <w:sz w:val="18"/>
                <w:szCs w:val="18"/>
              </w:rPr>
            </w:pPr>
            <w:commentRangeStart w:id="1"/>
            <w:commentRangeStart w:id="2"/>
            <w:r w:rsidRPr="00FC45F1">
              <w:rPr>
                <w:sz w:val="18"/>
                <w:szCs w:val="18"/>
              </w:rPr>
              <w:t>Convert SEK to Euro for international audience?</w:t>
            </w:r>
            <w:commentRangeEnd w:id="1"/>
            <w:r w:rsidR="004D10E9">
              <w:rPr>
                <w:rStyle w:val="CommentReference"/>
                <w:sz w:val="18"/>
                <w:szCs w:val="18"/>
              </w:rPr>
              <w:commentReference w:id="1"/>
            </w:r>
            <w:commentRangeEnd w:id="2"/>
            <w:r w:rsidR="00AB4876">
              <w:rPr>
                <w:rStyle w:val="CommentReference"/>
              </w:rPr>
              <w:commentReference w:id="2"/>
            </w:r>
          </w:p>
          <w:p w14:paraId="5E78D682" w14:textId="77777777" w:rsidR="00940A32" w:rsidRDefault="00940A32" w:rsidP="000F78B5">
            <w:pPr>
              <w:pStyle w:val="Notesoncontributors"/>
              <w:numPr>
                <w:ilvl w:val="0"/>
                <w:numId w:val="36"/>
              </w:numPr>
              <w:spacing w:line="240" w:lineRule="auto"/>
              <w:rPr>
                <w:sz w:val="18"/>
                <w:szCs w:val="18"/>
              </w:rPr>
            </w:pPr>
            <w:commentRangeStart w:id="3"/>
            <w:commentRangeStart w:id="4"/>
            <w:r>
              <w:rPr>
                <w:sz w:val="18"/>
                <w:szCs w:val="18"/>
              </w:rPr>
              <w:t>Tables - We decided that separate tables for MWTP values would be desirable, yet for the interaction models this would result in sparse coefficient tables – only showing the coefficients.  The</w:t>
            </w:r>
            <w:r w:rsidR="00907371">
              <w:rPr>
                <w:sz w:val="18"/>
                <w:szCs w:val="18"/>
              </w:rPr>
              <w:t xml:space="preserve"> interaction</w:t>
            </w:r>
            <w:r>
              <w:rPr>
                <w:sz w:val="18"/>
                <w:szCs w:val="18"/>
              </w:rPr>
              <w:t xml:space="preserve"> tables include coefficients, MRS, and MWTP for renters and owners</w:t>
            </w:r>
            <w:r w:rsidR="00907371">
              <w:rPr>
                <w:sz w:val="18"/>
                <w:szCs w:val="18"/>
              </w:rPr>
              <w:t xml:space="preserve"> at this point, but t</w:t>
            </w:r>
            <w:r>
              <w:rPr>
                <w:sz w:val="18"/>
                <w:szCs w:val="18"/>
              </w:rPr>
              <w:t>his can be changed</w:t>
            </w:r>
            <w:r w:rsidR="00907371">
              <w:rPr>
                <w:sz w:val="18"/>
                <w:szCs w:val="18"/>
              </w:rPr>
              <w:t xml:space="preserve"> if we find a better way to present them.</w:t>
            </w:r>
            <w:commentRangeEnd w:id="3"/>
            <w:r w:rsidR="00AE630A">
              <w:rPr>
                <w:rStyle w:val="CommentReference"/>
                <w:sz w:val="18"/>
                <w:szCs w:val="18"/>
              </w:rPr>
              <w:commentReference w:id="3"/>
            </w:r>
            <w:commentRangeEnd w:id="4"/>
            <w:r w:rsidR="00AB4876">
              <w:rPr>
                <w:rStyle w:val="CommentReference"/>
              </w:rPr>
              <w:commentReference w:id="4"/>
            </w:r>
          </w:p>
          <w:p w14:paraId="6F4CF4E2" w14:textId="77777777" w:rsidR="00FF43AC" w:rsidRDefault="00FF43AC" w:rsidP="000F78B5">
            <w:pPr>
              <w:pStyle w:val="Notesoncontributors"/>
              <w:numPr>
                <w:ilvl w:val="0"/>
                <w:numId w:val="36"/>
              </w:numPr>
              <w:spacing w:line="240" w:lineRule="auto"/>
              <w:rPr>
                <w:sz w:val="18"/>
                <w:szCs w:val="18"/>
              </w:rPr>
            </w:pPr>
            <w:r>
              <w:rPr>
                <w:sz w:val="18"/>
                <w:szCs w:val="18"/>
              </w:rPr>
              <w:t>Add full sample test results in addition to renters/owners?</w:t>
            </w:r>
          </w:p>
          <w:p w14:paraId="5B39363E" w14:textId="15EABAE0" w:rsidR="006315DF" w:rsidRPr="00FC45F1" w:rsidRDefault="006315DF" w:rsidP="000F78B5">
            <w:pPr>
              <w:pStyle w:val="Notesoncontributors"/>
              <w:numPr>
                <w:ilvl w:val="0"/>
                <w:numId w:val="36"/>
              </w:numPr>
              <w:spacing w:line="240" w:lineRule="auto"/>
              <w:rPr>
                <w:sz w:val="18"/>
                <w:szCs w:val="18"/>
              </w:rPr>
            </w:pPr>
            <w:r>
              <w:rPr>
                <w:sz w:val="18"/>
                <w:szCs w:val="18"/>
              </w:rPr>
              <w:t xml:space="preserve">In conducting the DCE, we programmed the experiment to be adaptive, utilizing each </w:t>
            </w:r>
            <w:r>
              <w:rPr>
                <w:sz w:val="18"/>
                <w:szCs w:val="18"/>
              </w:rPr>
              <w:lastRenderedPageBreak/>
              <w:t xml:space="preserve">respondent’s “Planned future housing cost” </w:t>
            </w:r>
            <w:r w:rsidR="0028488F">
              <w:rPr>
                <w:sz w:val="18"/>
                <w:szCs w:val="18"/>
              </w:rPr>
              <w:t xml:space="preserve">value to calculate the relative prices in addition to the presented percentage change.  </w:t>
            </w:r>
            <w:commentRangeStart w:id="5"/>
            <w:commentRangeStart w:id="6"/>
            <w:r w:rsidR="0028488F">
              <w:rPr>
                <w:sz w:val="18"/>
                <w:szCs w:val="18"/>
              </w:rPr>
              <w:t xml:space="preserve">For example, if a respondent stated 10,000 in planned costs, a price option would display: “Option #2 10% more than planned costs (11000 SEK/month </w:t>
            </w:r>
            <w:proofErr w:type="gramStart"/>
            <w:r w:rsidR="0028488F">
              <w:rPr>
                <w:sz w:val="18"/>
                <w:szCs w:val="18"/>
              </w:rPr>
              <w:t>total )</w:t>
            </w:r>
            <w:proofErr w:type="gramEnd"/>
            <w:r w:rsidR="0028488F">
              <w:rPr>
                <w:sz w:val="18"/>
                <w:szCs w:val="18"/>
              </w:rPr>
              <w:t xml:space="preserve">”   It is unclear if this would be advantageous </w:t>
            </w:r>
            <w:r w:rsidR="005C5156">
              <w:rPr>
                <w:sz w:val="18"/>
                <w:szCs w:val="18"/>
              </w:rPr>
              <w:t>to incorporate into the</w:t>
            </w:r>
            <w:r w:rsidR="0028488F">
              <w:rPr>
                <w:sz w:val="18"/>
                <w:szCs w:val="18"/>
              </w:rPr>
              <w:t xml:space="preserve"> methodology.</w:t>
            </w:r>
            <w:commentRangeEnd w:id="5"/>
            <w:r w:rsidR="000527AE" w:rsidRPr="00FC45F1">
              <w:rPr>
                <w:rStyle w:val="CommentReference"/>
                <w:sz w:val="18"/>
                <w:szCs w:val="18"/>
              </w:rPr>
              <w:commentReference w:id="5"/>
            </w:r>
            <w:commentRangeEnd w:id="6"/>
            <w:r w:rsidR="00AB4876">
              <w:rPr>
                <w:rStyle w:val="CommentReference"/>
              </w:rPr>
              <w:commentReference w:id="6"/>
            </w:r>
          </w:p>
        </w:tc>
      </w:tr>
    </w:tbl>
    <w:p w14:paraId="255CB9BE" w14:textId="77777777" w:rsidR="00633DD5" w:rsidRDefault="00633DD5" w:rsidP="002C3348">
      <w:pPr>
        <w:pStyle w:val="Notesoncontributors"/>
        <w:spacing w:line="240" w:lineRule="auto"/>
      </w:pPr>
    </w:p>
    <w:p w14:paraId="18946F94" w14:textId="6C672909" w:rsidR="00C246C5" w:rsidRDefault="00C14585" w:rsidP="002C3348">
      <w:pPr>
        <w:pStyle w:val="Articletitle"/>
        <w:spacing w:line="240" w:lineRule="auto"/>
      </w:pPr>
      <w:r>
        <w:br w:type="page"/>
      </w:r>
      <w:r w:rsidR="00454425">
        <w:lastRenderedPageBreak/>
        <w:t>The Value of location: What Matters Most for Older Adults Considering Relocation in Sweden?</w:t>
      </w:r>
    </w:p>
    <w:p w14:paraId="7157023F" w14:textId="19EB7A11"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 xml:space="preserve">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w:t>
      </w:r>
      <w:r w:rsidRPr="003E1E85">
        <w:rPr>
          <w:color w:val="EE0000"/>
          <w:lang w:val="en-US"/>
        </w:rPr>
        <w:t xml:space="preserve"> </w:t>
      </w:r>
      <w:r w:rsidRPr="00454425">
        <w:rPr>
          <w:lang w:val="en-US"/>
        </w:rPr>
        <w:t xml:space="preserve">We identified meaningful differences </w:t>
      </w:r>
      <w:r w:rsidR="00E7672F">
        <w:rPr>
          <w:lang w:val="en-US"/>
        </w:rPr>
        <w:t xml:space="preserve">between homeowners and renters with homeowners generally willing to pay </w:t>
      </w:r>
      <w:r w:rsidR="00907371">
        <w:rPr>
          <w:lang w:val="en-US"/>
        </w:rPr>
        <w:t>up to two times</w:t>
      </w:r>
      <w:r w:rsidR="00A922FF">
        <w:rPr>
          <w:lang w:val="en-US"/>
        </w:rPr>
        <w:t xml:space="preserve"> </w:t>
      </w:r>
      <w:r w:rsidR="00E7672F">
        <w:rPr>
          <w:lang w:val="en-US"/>
        </w:rPr>
        <w:t>more for housing attributes.</w:t>
      </w:r>
      <w:r w:rsidR="00A922FF">
        <w:rPr>
          <w:lang w:val="en-US"/>
        </w:rPr>
        <w:t xml:space="preserve"> Differences between </w:t>
      </w:r>
      <w:r w:rsidRPr="00454425">
        <w:rPr>
          <w:lang w:val="en-US"/>
        </w:rPr>
        <w:t>gender and tenure status</w:t>
      </w:r>
      <w:r w:rsidR="00A922FF">
        <w:rPr>
          <w:lang w:val="en-US"/>
        </w:rPr>
        <w:t xml:space="preserve"> were also identified</w:t>
      </w:r>
      <w:r w:rsidRPr="00454425">
        <w:rPr>
          <w:lang w:val="en-US"/>
        </w:rPr>
        <w:t>,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P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1ADD0C69" w14:textId="06C7ADAE" w:rsidR="00997B0F" w:rsidRDefault="00454425" w:rsidP="00F15126">
      <w:pPr>
        <w:pStyle w:val="Heading1"/>
      </w:pPr>
      <w:r>
        <w:t>Introduction</w:t>
      </w:r>
    </w:p>
    <w:p w14:paraId="35B3A99E" w14:textId="71D01120" w:rsid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r w:rsidR="00D74B85">
        <w:rPr>
          <w:lang w:val="en-US" w:eastAsia="en-US"/>
        </w:rPr>
        <w:t xml:space="preserve"> globally</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individuals evaluate potential relocation alternatives is therefore essential for developing effective, age-inclusive housing strategies.</w:t>
      </w:r>
    </w:p>
    <w:p w14:paraId="5FE6C414" w14:textId="3BE35FAB" w:rsidR="00E017F1" w:rsidRPr="00AE4462" w:rsidRDefault="00E017F1" w:rsidP="00F15126">
      <w:pPr>
        <w:spacing w:before="100" w:beforeAutospacing="1" w:after="100" w:afterAutospacing="1" w:line="360" w:lineRule="auto"/>
        <w:rPr>
          <w:lang w:val="en-US" w:eastAsia="en-US"/>
        </w:rPr>
      </w:pPr>
      <w:r>
        <w:t>Population ageing is also shaping the future demand for housing in terms of both quantity and suitability. Older adults spend a greater share of their time at home and rely heavily on their residential environment for daily functioning, social contact, and wellbeing</w:t>
      </w:r>
      <w:r w:rsidR="00F41A8F">
        <w:t xml:space="preserve"> </w:t>
      </w:r>
      <w:r w:rsidR="00F41A8F">
        <w:fldChar w:fldCharType="begin"/>
      </w:r>
      <w:r w:rsidR="00F41A8F">
        <w:instrText xml:space="preserve"> ADDIN ZOTERO_ITEM CSL_CITATION {"citationID":"iuWoSPtQ","properties":{"formattedCitation":"(De Jong et al., 2022)","plainCitation":"(De Jong et al., 2022)","noteIndex":0},"citationItems":[{"id":3521,"uris":["http://zotero.org/users/3783483/items/6PKUHFRW"],"itemData":{"id":3521,"type":"article-journal","abstract":"Residential mobility varies with age. In contrast to younger age groups, older adults show a tendency to ‘stay put’. There is little evidence whether this immobility of older adults is due to choice (i.e., the wish to age in place) or to constraint (i.e., the lack of alternatives). This study makes an empirical analysis of the underlying preferences for housing of Dutch older adults by reporting the stated preferences of Dutch older adults for bundles of housing characteristics. It offers insight in the relative importance of various aspects of housing and explores whether these preferences are stable for different age groups. The study finds a strong preference for the current dwelling, especially for the older age groups. Running separate models for different age groups results in an improvement of the log‐likelihood, indicating the presence of heterogeneity in housing preferences among Dutch older adults.","container-title":"Population, Space and Place","DOI":"10.1002/psp.2553","ISSN":"1544-8444, 1544-8452","issue":"4","journalAbbreviation":"Population Space and Place","language":"en","page":"e2553","source":"DOI.org (Crossref)","title":"Staying put out of choice or constraint? The residential choice behaviour of Dutch older adults","title-short":"Staying put out of choice or constraint?","volume":"28","author":[{"family":"De Jong","given":"Petra"},{"family":"Rouwendal","given":"Jan"},{"family":"Brouwer","given":"Aleid"}],"issued":{"date-parts":[["2022",5]]},"citation-key":"dejongStayingPutOut2022"}}],"schema":"https://github.com/citation-style-language/schema/raw/master/csl-citation.json"} </w:instrText>
      </w:r>
      <w:r w:rsidR="00F41A8F">
        <w:fldChar w:fldCharType="separate"/>
      </w:r>
      <w:r w:rsidR="00F41A8F" w:rsidRPr="00F41A8F">
        <w:t>(De Jong et al., 2022)</w:t>
      </w:r>
      <w:r w:rsidR="00F41A8F">
        <w:fldChar w:fldCharType="end"/>
      </w:r>
      <w:r>
        <w:t xml:space="preserve">. The concept of ageing in place has become central to housing policy in many places across the world, emphasising the desire of older adults to remain in familiar surroundings for as long as possible </w:t>
      </w:r>
      <w:r w:rsidR="00F41A8F">
        <w:fldChar w:fldCharType="begin"/>
      </w:r>
      <w:r w:rsidR="00F41A8F">
        <w:instrText xml:space="preserve"> ADDIN ZOTERO_ITEM CSL_CITATION {"citationID":"agYHxDXK","properties":{"formattedCitation":"(Grimmer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citation-key":"grimmerConsumerViewsAginginplace2015"}}],"schema":"https://github.com/citation-style-language/schema/raw/master/csl-citation.json"} </w:instrText>
      </w:r>
      <w:r w:rsidR="00F41A8F">
        <w:fldChar w:fldCharType="separate"/>
      </w:r>
      <w:r w:rsidR="00F41A8F" w:rsidRPr="00F41A8F">
        <w:t>(Grimmer et al., 2015)</w:t>
      </w:r>
      <w:r w:rsidR="00F41A8F">
        <w:fldChar w:fldCharType="end"/>
      </w:r>
      <w:r>
        <w:t xml:space="preserve">. </w:t>
      </w:r>
      <w:r>
        <w:lastRenderedPageBreak/>
        <w:t>However, a key pillar of ageing in place depends on the suitability of existing housing and the availability of accessible alternatives when relocation becomes necessary.</w:t>
      </w:r>
    </w:p>
    <w:p w14:paraId="487EDBFA" w14:textId="07FBB179"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{"citationID":"kAtvQXdy","properties":{"formattedCitation":"(Ewen et al., 2014)","plainCitation":"(Ewen et al., 2014)","noteIndex":0},"citationItems":[{"id":3821,"uris":["http://zotero.org/users/3783483/items/P3G9T8V2"],"itemData":{"id":3821,"type":"article-journal","abstract":"This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(Abramsson &amp; Andersson, 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r w:rsidR="001E6EB9">
        <w:rPr>
          <w:lang w:val="en-US" w:eastAsia="en-US"/>
        </w:rPr>
        <w:fldChar w:fldCharType="begin"/>
      </w:r>
      <w:r w:rsidR="001E6EB9">
        <w:rPr>
          <w:lang w:val="en-US" w:eastAsia="en-US"/>
        </w:rPr>
        <w:instrText xml:space="preserve"> ADDIN ZOTERO_ITEM CSL_CITATION {"citationID":"HkA2cGzh","properties":{"formattedCitation":"(Robison &amp; Moen, 2000)","plainCitation":"(Robison &amp; Moen, 2000)","noteIndex":0},"citationItems":[{"id":4874,"uris":["http://zotero.org/users/3783483/items/UQ5U6EUS"],"itemData":{"id":4874,"type":"article-journal","abstract":"This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T."},{"family":"Moen","given":"Phyllis"}],"issued":{"date-parts":[["2000",9]]},"citation-key":"robisonLifeCoursePerspectiveHousing2000"}}],"schema":"https://github.com/citation-style-language/schema/raw/master/csl-citation.json"} </w:instrText>
      </w:r>
      <w:r w:rsidR="001E6EB9">
        <w:rPr>
          <w:lang w:val="en-US" w:eastAsia="en-US"/>
        </w:rPr>
        <w:fldChar w:fldCharType="separate"/>
      </w:r>
      <w:r w:rsidR="001E6EB9" w:rsidRPr="001E6EB9">
        <w:t>(Robison &amp; Moen, 2000)</w:t>
      </w:r>
      <w:r w:rsidR="001E6EB9">
        <w:rPr>
          <w:lang w:val="en-US" w:eastAsia="en-US"/>
        </w:rPr>
        <w:fldChar w:fldCharType="end"/>
      </w:r>
      <w:r w:rsidR="001E6EB9">
        <w:rPr>
          <w:lang w:val="en-US" w:eastAsia="en-US"/>
        </w:rPr>
        <w:t xml:space="preserve">.  </w:t>
      </w:r>
      <w:r w:rsidR="00EC48E1">
        <w:rPr>
          <w:lang w:val="en-US" w:eastAsia="en-US"/>
        </w:rPr>
        <w:t xml:space="preserve">As the </w:t>
      </w:r>
      <w:r w:rsidR="00D74B85">
        <w:rPr>
          <w:lang w:val="en-US" w:eastAsia="en-US"/>
        </w:rPr>
        <w:t>dwelling</w:t>
      </w:r>
      <w:r w:rsidR="00EC48E1">
        <w:rPr>
          <w:lang w:val="en-US" w:eastAsia="en-US"/>
        </w:rPr>
        <w:t xml:space="preserve"> is typically the greatest source of 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053651" w:rsidRPr="00AE4462">
        <w:rPr>
          <w:lang w:val="en-US" w:eastAsia="en-US"/>
        </w:rPr>
        <w:t xml:space="preserve">Nevertheless,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05A5EB48" w14:textId="3E71DED8" w:rsidR="00E017F1" w:rsidRDefault="00E017F1" w:rsidP="00F15126">
      <w:pPr>
        <w:spacing w:before="100" w:beforeAutospacing="1" w:after="100" w:afterAutospacing="1" w:line="360" w:lineRule="auto"/>
      </w:pPr>
      <w:r>
        <w:t xml:space="preserve">When relocations do occur, they inevitably involve evaluating a range of neighbourhood and accessibility attributes that influence daily life. The residential environment affects not only physical mobility and independence but also opportunities for social contact and recreation. Older adults considering relocation must therefore weigh multiple </w:t>
      </w:r>
      <w:r w:rsidR="00DC6C63">
        <w:t>trade-offs</w:t>
      </w:r>
      <w:r>
        <w:t xml:space="preserve"> among desirable housing attributes. For instance, some may prioritise proximity to green areas, while others place greater value on access to public transport or nearby shops and services. However, little is known about what and how people prioritise among such attributes, and these preferences, along with their implicit </w:t>
      </w:r>
      <w:r w:rsidR="00DC6C63">
        <w:t>trade-offs</w:t>
      </w:r>
      <w:r>
        <w:t>, are likely to vary systematically across socio</w:t>
      </w:r>
      <w:r w:rsidR="00DC6C63">
        <w:t>-</w:t>
      </w:r>
      <w:r>
        <w:t>demographic groups. Despite growing recognition of these issues, empirical evidence on how older adults value specific residential attributes remains limited. Much of the literature has focused on life course transitions, housing tenure, and affordability</w:t>
      </w:r>
      <w:r w:rsidR="00F41A8F">
        <w:t xml:space="preserve"> </w:t>
      </w:r>
      <w:r w:rsidR="00F41A8F">
        <w:fldChar w:fldCharType="begin"/>
      </w:r>
      <w:r w:rsidR="00F41A8F">
        <w:instrText xml:space="preserve"> ADDIN ZOTERO_ITEM CSL_CITATION {"citationID":"LVqSY3qB","properties":{"formattedCitation":"(Damhuis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Gent","given":"Wouter"}],"issued":{"date-parts":[["2024",4,20]]},"citation-key":"damhuisPeriodEffectsCrisis2024"}},{"id":3286,"uris":["http://zotero.org/users/3783483/items/W6P65B5B"],"itemData":{"id":3286,"type":"article-journal","abstract":"Objectives: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Age","author":[{"family":"Lu","given":"Peiyi"},{"family":"Kong","given":"Dexia"}],"issued":{"date-parts":[["2024",8,24]]},"citation-key":"luCommunityBasedResidentialRelocation2024"}}],"schema":"https://github.com/citation-style-language/schema/raw/master/csl-citation.json"} </w:instrText>
      </w:r>
      <w:r w:rsidR="00F41A8F">
        <w:fldChar w:fldCharType="separate"/>
      </w:r>
      <w:r w:rsidR="00F41A8F" w:rsidRPr="00F41A8F">
        <w:t>(</w:t>
      </w:r>
      <w:r w:rsidR="00F41A8F">
        <w:t xml:space="preserve">e.g. </w:t>
      </w:r>
      <w:r w:rsidR="00F41A8F" w:rsidRPr="00F41A8F">
        <w:t>Damhuis &amp; Van Gent, 2024; Lu &amp; Kong, 2024)</w:t>
      </w:r>
      <w:r w:rsidR="00F41A8F">
        <w:fldChar w:fldCharType="end"/>
      </w:r>
      <w:r>
        <w:t xml:space="preserve"> </w:t>
      </w:r>
      <w:r w:rsidR="00F41A8F">
        <w:t>,</w:t>
      </w:r>
      <w:r>
        <w:t xml:space="preserve">but relatively few studies quantify </w:t>
      </w:r>
      <w:r w:rsidR="00DC6C63">
        <w:t>trade-offs</w:t>
      </w:r>
      <w:r>
        <w:t xml:space="preserve"> among housing and locational characteristics.</w:t>
      </w:r>
    </w:p>
    <w:p w14:paraId="5F6900DF" w14:textId="6877FADE" w:rsidR="00E017F1" w:rsidRDefault="00DF319F" w:rsidP="00DC6C63">
      <w:pPr>
        <w:pStyle w:val="Paragraph"/>
        <w:spacing w:line="360" w:lineRule="auto"/>
        <w:rPr>
          <w:lang w:val="en-US"/>
        </w:rPr>
      </w:pPr>
      <w:r>
        <w:t>One approach to quantify these preferences, a</w:t>
      </w:r>
      <w:r w:rsidR="00E017F1">
        <w:t xml:space="preserve"> Discrete </w:t>
      </w:r>
      <w:r>
        <w:t>C</w:t>
      </w:r>
      <w:r w:rsidR="00E017F1">
        <w:t xml:space="preserve">hoice </w:t>
      </w:r>
      <w:r>
        <w:t>E</w:t>
      </w:r>
      <w:r w:rsidR="00E017F1">
        <w:t>xperiment (DCE</w:t>
      </w:r>
      <w:r>
        <w:t>),</w:t>
      </w:r>
      <w:r w:rsidR="00E017F1" w:rsidRPr="005D2725">
        <w:rPr>
          <w:lang w:val="en-US"/>
        </w:rPr>
        <w:t xml:space="preserve"> </w:t>
      </w:r>
      <w:r w:rsidR="00E017F1" w:rsidRPr="005D2725">
        <w:rPr>
          <w:lang w:val="en-US"/>
        </w:rPr>
        <w:lastRenderedPageBreak/>
        <w:t>represent</w:t>
      </w:r>
      <w:r w:rsidR="00E017F1">
        <w:rPr>
          <w:lang w:val="en-US"/>
        </w:rPr>
        <w:t>s</w:t>
      </w:r>
      <w:r w:rsidR="00E017F1" w:rsidRPr="005D2725">
        <w:rPr>
          <w:lang w:val="en-US"/>
        </w:rPr>
        <w:t xml:space="preserve"> a specific and widely used form of stated choice methodology</w:t>
      </w:r>
      <w:r w:rsidR="00DC6C63">
        <w:rPr>
          <w:lang w:val="en-US"/>
        </w:rPr>
        <w:t>, enabling the assessment of important trade-offs individuals make</w:t>
      </w:r>
      <w:r w:rsidR="00E017F1" w:rsidRPr="005D2725">
        <w:rPr>
          <w:lang w:val="en-US"/>
        </w:rPr>
        <w:t xml:space="preserve">. </w:t>
      </w:r>
      <w:r w:rsidR="00E017F1">
        <w:rPr>
          <w:lang w:val="en-US"/>
        </w:rPr>
        <w:t>R</w:t>
      </w:r>
      <w:r w:rsidR="00E017F1" w:rsidRPr="005D2725">
        <w:rPr>
          <w:lang w:val="en-US"/>
        </w:rPr>
        <w:t>espondents are presented with choice sets containing two or more alternatives that vary systematically across predefined attributes, and they select their preferred option in each set. The approach is rooted in random utility theory</w:t>
      </w:r>
      <w:r w:rsidR="00E017F1">
        <w:rPr>
          <w:lang w:val="en-US"/>
        </w:rPr>
        <w:t xml:space="preserve"> </w:t>
      </w:r>
      <w:r w:rsidR="00E017F1" w:rsidRPr="005D2725">
        <w:rPr>
          <w:lang w:val="en-US"/>
        </w:rPr>
        <w:t>which assumes that individuals choose the alternative that maximizes their utility based on observable attributes and unobserved factors</w:t>
      </w:r>
      <w:r w:rsidR="00E017F1">
        <w:rPr>
          <w:lang w:val="en-US"/>
        </w:rPr>
        <w:t xml:space="preserve"> </w:t>
      </w:r>
      <w:r w:rsidR="00E017F1">
        <w:rPr>
          <w:lang w:val="en-US"/>
        </w:rPr>
        <w:fldChar w:fldCharType="begin"/>
      </w:r>
      <w:r w:rsidR="00E017F1">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sidR="00E017F1">
        <w:rPr>
          <w:lang w:val="en-US"/>
        </w:rPr>
        <w:fldChar w:fldCharType="separate"/>
      </w:r>
      <w:r w:rsidR="00E017F1" w:rsidRPr="00F34727">
        <w:t>(McFadden, 1974)</w:t>
      </w:r>
      <w:r w:rsidR="00E017F1">
        <w:rPr>
          <w:lang w:val="en-US"/>
        </w:rPr>
        <w:fldChar w:fldCharType="end"/>
      </w:r>
      <w:r w:rsidR="00E017F1" w:rsidRPr="005D2725">
        <w:rPr>
          <w:lang w:val="en-US"/>
        </w:rPr>
        <w:t>. By observing patterns of choice across multiple scenarios, researchers can infer the relative importance of different attributes and estimate willingness</w:t>
      </w:r>
      <w:r w:rsidR="003C589C">
        <w:rPr>
          <w:lang w:val="en-US"/>
        </w:rPr>
        <w:t xml:space="preserve"> </w:t>
      </w:r>
      <w:r w:rsidR="00E017F1" w:rsidRPr="005D2725">
        <w:rPr>
          <w:lang w:val="en-US"/>
        </w:rPr>
        <w:t>to</w:t>
      </w:r>
      <w:r w:rsidR="003C589C">
        <w:rPr>
          <w:lang w:val="en-US"/>
        </w:rPr>
        <w:t xml:space="preserve"> </w:t>
      </w:r>
      <w:r w:rsidR="00E017F1" w:rsidRPr="005D2725">
        <w:rPr>
          <w:lang w:val="en-US"/>
        </w:rPr>
        <w:t>pay (WTP) values when a cost attribute is included. This capacity to quantify trade-offs makes DCEs particularly valuable in housing research, where individuals must balance multiple</w:t>
      </w:r>
      <w:r w:rsidR="00E017F1">
        <w:rPr>
          <w:lang w:val="en-US"/>
        </w:rPr>
        <w:t xml:space="preserve">, </w:t>
      </w:r>
      <w:r w:rsidR="00E017F1" w:rsidRPr="005D2725">
        <w:rPr>
          <w:lang w:val="en-US"/>
        </w:rPr>
        <w:t>often competing</w:t>
      </w:r>
      <w:r w:rsidR="00E017F1">
        <w:rPr>
          <w:lang w:val="en-US"/>
        </w:rPr>
        <w:t xml:space="preserve">, </w:t>
      </w:r>
      <w:r w:rsidR="00E017F1" w:rsidRPr="005D2725">
        <w:rPr>
          <w:lang w:val="en-US"/>
        </w:rPr>
        <w:t>considerations such as price, location, accessibility, and amenities.</w:t>
      </w:r>
    </w:p>
    <w:p w14:paraId="5A534C1E" w14:textId="77777777" w:rsidR="00E017F1" w:rsidRPr="005D2725" w:rsidRDefault="00E017F1" w:rsidP="00E017F1">
      <w:pPr>
        <w:pStyle w:val="Paragraph"/>
        <w:spacing w:line="360" w:lineRule="auto"/>
        <w:ind w:firstLine="720"/>
        <w:rPr>
          <w:lang w:val="en-US"/>
        </w:rPr>
      </w:pPr>
      <w:r>
        <w:rPr>
          <w:lang w:val="en-US"/>
        </w:rPr>
        <w:t xml:space="preserve">Discrete choice experiments </w:t>
      </w:r>
      <w:r w:rsidRPr="009578AB">
        <w:rPr>
          <w:lang w:val="en-US"/>
        </w:rPr>
        <w:t xml:space="preserve">have been used in a variety of housing and ageing studies. </w:t>
      </w:r>
      <w:proofErr w:type="spellStart"/>
      <w:r w:rsidRPr="009578AB">
        <w:rPr>
          <w:lang w:val="en-US"/>
        </w:rPr>
        <w:t>Ossokina</w:t>
      </w:r>
      <w:proofErr w:type="spellEnd"/>
      <w:r w:rsidRPr="009578AB">
        <w:rPr>
          <w:lang w:val="en-US"/>
        </w:rPr>
        <w:t xml:space="preserve"> et al. (2020) estimate a stated choice experiment to study the residential preferences of </w:t>
      </w:r>
      <w:r>
        <w:rPr>
          <w:lang w:val="en-US"/>
        </w:rPr>
        <w:t>older</w:t>
      </w:r>
      <w:r w:rsidRPr="009578AB">
        <w:rPr>
          <w:lang w:val="en-US"/>
        </w:rPr>
        <w:t xml:space="preserve"> homeowners in the Netherlands, reporting that residential attributes connecting to safety and social cohesion play an important role for </w:t>
      </w:r>
      <w:r>
        <w:rPr>
          <w:lang w:val="en-US"/>
        </w:rPr>
        <w:t>older adults</w:t>
      </w:r>
      <w:r w:rsidRPr="009578AB">
        <w:rPr>
          <w:lang w:val="en-US"/>
        </w:rPr>
        <w:t xml:space="preserve">. </w:t>
      </w:r>
      <w:proofErr w:type="spellStart"/>
      <w:r w:rsidRPr="009578AB">
        <w:rPr>
          <w:lang w:val="en-US"/>
        </w:rPr>
        <w:t>Ossokina</w:t>
      </w:r>
      <w:proofErr w:type="spellEnd"/>
      <w:r w:rsidRPr="009578AB">
        <w:rPr>
          <w:lang w:val="en-US"/>
        </w:rPr>
        <w:t xml:space="preserve"> and </w:t>
      </w:r>
      <w:proofErr w:type="spellStart"/>
      <w:r w:rsidRPr="009578AB">
        <w:rPr>
          <w:lang w:val="en-US"/>
        </w:rPr>
        <w:t>Arentze</w:t>
      </w:r>
      <w:proofErr w:type="spellEnd"/>
      <w:r w:rsidRPr="009578AB">
        <w:rPr>
          <w:lang w:val="en-US"/>
        </w:rPr>
        <w:t xml:space="preserve"> (2022) examine reference-dependent housing choice behavior among older adults, finding that proximity to public transport and shops significantly influences residential decisions.</w:t>
      </w:r>
      <w:r>
        <w:rPr>
          <w:lang w:val="en-US"/>
        </w:rPr>
        <w:t xml:space="preserve">  </w:t>
      </w:r>
      <w:r w:rsidRPr="005D2725">
        <w:rPr>
          <w:lang w:val="en-US"/>
        </w:rPr>
        <w:t xml:space="preserve">Applications of DCEs to housing have expanded considerably in recent decades. 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 and found substantial variation in willingness to pay for amenities such as green space and access to transit. </w:t>
      </w:r>
      <w:proofErr w:type="spellStart"/>
      <w:r w:rsidRPr="005D2725">
        <w:rPr>
          <w:lang w:val="en-US"/>
        </w:rPr>
        <w:t>Ossokina</w:t>
      </w:r>
      <w:proofErr w:type="spellEnd"/>
      <w:r w:rsidRPr="005D2725">
        <w:rPr>
          <w:lang w:val="en-US"/>
        </w:rPr>
        <w:t xml:space="preserve"> and </w:t>
      </w:r>
      <w:proofErr w:type="spellStart"/>
      <w:r w:rsidRPr="005D2725">
        <w:rPr>
          <w:lang w:val="en-US"/>
        </w:rPr>
        <w:t>Arentze</w:t>
      </w:r>
      <w:proofErr w:type="spellEnd"/>
      <w:r w:rsidRPr="005D2725">
        <w:rPr>
          <w:lang w:val="en-US"/>
        </w:rPr>
        <w:t xml:space="preserve"> (2022) demonstrated that housing decisions among older homeowners are reference-dependent, showing how individuals in the Netherlands value safety, accessibility, and social cohesion relative to their current housing situation. Similarly, Lee et al. (2025) analyzed willingness to pay for circular and affordable housing among younger adults in South Korea, while </w:t>
      </w:r>
      <w:proofErr w:type="spellStart"/>
      <w:r w:rsidRPr="005D2725">
        <w:rPr>
          <w:lang w:val="en-US"/>
        </w:rPr>
        <w:t>Ardeshiri</w:t>
      </w:r>
      <w:proofErr w:type="spellEnd"/>
      <w:r w:rsidRPr="005D2725">
        <w:rPr>
          <w:lang w:val="en-US"/>
        </w:rPr>
        <w:t xml:space="preserve"> et al. (2024) used a dual DCE to distinguish between preferences for owner-occupied and investment properties in Sydney.</w:t>
      </w:r>
    </w:p>
    <w:p w14:paraId="72CEDD3C" w14:textId="4C962823" w:rsidR="00E017F1" w:rsidRPr="005D2725" w:rsidRDefault="00E017F1" w:rsidP="00E017F1">
      <w:pPr>
        <w:pStyle w:val="Paragraph"/>
        <w:spacing w:line="360" w:lineRule="auto"/>
        <w:ind w:firstLine="720"/>
        <w:rPr>
          <w:lang w:val="en-US"/>
        </w:rPr>
      </w:pPr>
      <w:r w:rsidRPr="005D2725">
        <w:rPr>
          <w:lang w:val="en-US"/>
        </w:rPr>
        <w:lastRenderedPageBreak/>
        <w:t>Housing preferences are rarely uniform across individuals. Economic capacity, household composition, tenure status, and health conditions can all shape how people evaluate residential alternatives. Studies have shown that income influences willingness</w:t>
      </w:r>
      <w:r w:rsidR="003C589C">
        <w:rPr>
          <w:lang w:val="en-US"/>
        </w:rPr>
        <w:t xml:space="preserve"> </w:t>
      </w:r>
      <w:r w:rsidRPr="005D2725">
        <w:rPr>
          <w:lang w:val="en-US"/>
        </w:rPr>
        <w:t>to</w:t>
      </w:r>
      <w:r w:rsidR="003C589C">
        <w:rPr>
          <w:lang w:val="en-US"/>
        </w:rPr>
        <w:t xml:space="preserve"> </w:t>
      </w:r>
      <w:r w:rsidRPr="005D2725">
        <w:rPr>
          <w:lang w:val="en-US"/>
        </w:rPr>
        <w:t>pay for proximity and comfort amenities, while tenure reflects differences in security, attachment, and investment orientation (</w:t>
      </w:r>
      <w:r>
        <w:rPr>
          <w:lang w:val="en-US"/>
        </w:rPr>
        <w:t>SOURCES</w:t>
      </w:r>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(Lofqvist et al., 2013)</w:t>
      </w:r>
      <w:r>
        <w:rPr>
          <w:lang w:val="en-US"/>
        </w:rPr>
        <w:fldChar w:fldCharType="end"/>
      </w:r>
      <w:r>
        <w:rPr>
          <w:lang w:val="en-US"/>
        </w:rPr>
        <w:t xml:space="preserve">. </w:t>
      </w:r>
      <w:r w:rsidRPr="005D2725">
        <w:rPr>
          <w:lang w:val="en-US"/>
        </w:rPr>
        <w:t xml:space="preserve">To capture this systematic variation, recent </w:t>
      </w:r>
      <w:r w:rsidR="00DF319F">
        <w:rPr>
          <w:lang w:val="en-US"/>
        </w:rPr>
        <w:t>housing</w:t>
      </w:r>
      <w:r w:rsidRPr="005D2725">
        <w:rPr>
          <w:lang w:val="en-US"/>
        </w:rPr>
        <w:t xml:space="preserve"> studies have incorporated interaction terms and </w:t>
      </w:r>
      <w:commentRangeStart w:id="7"/>
      <w:commentRangeStart w:id="8"/>
      <w:r w:rsidRPr="005D2725">
        <w:rPr>
          <w:lang w:val="en-US"/>
        </w:rPr>
        <w:t>advanced econometric specifications</w:t>
      </w:r>
      <w:commentRangeEnd w:id="7"/>
      <w:r w:rsidR="00CF427B">
        <w:rPr>
          <w:rStyle w:val="CommentReference"/>
          <w:sz w:val="24"/>
          <w:szCs w:val="24"/>
          <w:lang w:val="en-US"/>
        </w:rPr>
        <w:commentReference w:id="7"/>
      </w:r>
      <w:commentRangeEnd w:id="8"/>
      <w:r w:rsidR="00AB4876">
        <w:rPr>
          <w:rStyle w:val="CommentReference"/>
        </w:rPr>
        <w:commentReference w:id="8"/>
      </w:r>
      <w:r>
        <w:rPr>
          <w:lang w:val="en-US"/>
        </w:rPr>
        <w:t xml:space="preserve"> </w:t>
      </w:r>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Such methods are particularly suitable for studying diverse populations like older adults, whose housing preferences may differ systematically by age, health status, income, or tenure arrangement.</w:t>
      </w:r>
    </w:p>
    <w:p w14:paraId="2ECDBF2F" w14:textId="0CB1FA49" w:rsidR="00100485" w:rsidRPr="00E017F1" w:rsidRDefault="00E017F1" w:rsidP="00100485">
      <w:pPr>
        <w:pStyle w:val="Paragraph"/>
        <w:spacing w:line="360" w:lineRule="auto"/>
        <w:ind w:firstLine="720"/>
        <w:rPr>
          <w:lang w:val="en-US"/>
        </w:rPr>
      </w:pPr>
      <w:r w:rsidRPr="00E017F1">
        <w:rPr>
          <w:lang w:val="en-US"/>
        </w:rPr>
        <w:t>Despite these advances, the evidence base for older populations remains limited, and most findings are context specific, reflecting local housing systems and welfare regimes. Few studies have explicitly focused on older populations or systematically examined heterogeneity within this demographic, and applications in Scandinavian contexts remain rare. This gap is particularly consequential given the rapid ageing of populations across developed countries and the distinct housing systems that shape housing opportunities and constraints.</w:t>
      </w:r>
      <w:r w:rsidR="00100485">
        <w:rPr>
          <w:lang w:val="en-US"/>
        </w:rPr>
        <w:t xml:space="preserve"> Thus, there is a need to better understand how older people reason regarding housing and relocation and in this process, how different attributes are valued. </w:t>
      </w:r>
    </w:p>
    <w:p w14:paraId="59307636" w14:textId="7EA8C9BF" w:rsidR="00E017F1" w:rsidRPr="00E017F1" w:rsidRDefault="00E017F1" w:rsidP="00E017F1">
      <w:pPr>
        <w:pStyle w:val="Paragraph"/>
        <w:spacing w:line="360" w:lineRule="auto"/>
        <w:ind w:firstLine="720"/>
        <w:rPr>
          <w:lang w:val="en-US"/>
        </w:rPr>
      </w:pPr>
      <w:r>
        <w:rPr>
          <w:lang w:val="en-US" w:eastAsia="en-US"/>
        </w:rPr>
        <w:t>The aim of this</w:t>
      </w:r>
      <w:r w:rsidRPr="00AE4462">
        <w:rPr>
          <w:lang w:val="en-US" w:eastAsia="en-US"/>
        </w:rPr>
        <w:t xml:space="preserve"> study </w:t>
      </w:r>
      <w:r>
        <w:rPr>
          <w:lang w:val="en-US" w:eastAsia="en-US"/>
        </w:rPr>
        <w:t xml:space="preserve">was to explore these residential trade-offs by examining willingness to pay values of </w:t>
      </w:r>
      <w:r w:rsidRPr="00AE4462">
        <w:rPr>
          <w:lang w:val="en-US" w:eastAsia="en-US"/>
        </w:rPr>
        <w:t xml:space="preserve">key locational and amenity attributes </w:t>
      </w:r>
      <w:r>
        <w:rPr>
          <w:lang w:val="en-US" w:eastAsia="en-US"/>
        </w:rPr>
        <w:t>of</w:t>
      </w:r>
      <w:r w:rsidRPr="00AE4462">
        <w:rPr>
          <w:lang w:val="en-US" w:eastAsia="en-US"/>
        </w:rPr>
        <w:t xml:space="preserve"> older adults in Sweden considering relocation</w:t>
      </w:r>
      <w:r>
        <w:rPr>
          <w:lang w:val="en-US" w:eastAsia="en-US"/>
        </w:rPr>
        <w:t>, for both renters and homeowners</w:t>
      </w:r>
      <w:r w:rsidRPr="00AE4462">
        <w:rPr>
          <w:lang w:val="en-US" w:eastAsia="en-US"/>
        </w:rPr>
        <w:t xml:space="preserve">. </w:t>
      </w:r>
      <w:r w:rsidRPr="00E017F1">
        <w:rPr>
          <w:lang w:val="en-US"/>
        </w:rPr>
        <w:t xml:space="preserve">Using </w:t>
      </w:r>
      <w:r w:rsidR="00F64A50">
        <w:rPr>
          <w:lang w:val="en-US"/>
        </w:rPr>
        <w:t xml:space="preserve">data on individuals aged 55 and older, </w:t>
      </w:r>
      <w:r w:rsidRPr="00E017F1">
        <w:rPr>
          <w:lang w:val="en-US"/>
        </w:rPr>
        <w:t>a robust experimental design</w:t>
      </w:r>
      <w:r w:rsidR="00F64A50">
        <w:rPr>
          <w:lang w:val="en-US"/>
        </w:rPr>
        <w:t xml:space="preserve">, </w:t>
      </w:r>
      <w:r w:rsidRPr="00E017F1">
        <w:rPr>
          <w:lang w:val="en-US"/>
        </w:rPr>
        <w:t>and mixed logit modelling, we identify key determinants of housing preferences and quantify their associated willingness to pay values across diverse subgroups. Specifically, we examine how preferences for proximity to green areas, shops, public transport, and parking amenities vary systematically by age, gender, and tenure status among individuals actively considering relocation. In doing so, the study provides policy relevant insights into the housing needs of an ageing population and supports the planning of inclusive, adaptable living environments that promote independence and quality of life in later life.</w:t>
      </w:r>
    </w:p>
    <w:p w14:paraId="341F4C15" w14:textId="77777777" w:rsidR="00E017F1" w:rsidRPr="00E017F1" w:rsidRDefault="00E017F1" w:rsidP="00F15126">
      <w:pPr>
        <w:spacing w:before="100" w:beforeAutospacing="1" w:after="100" w:afterAutospacing="1" w:line="360" w:lineRule="auto"/>
        <w:rPr>
          <w:lang w:val="en-US"/>
        </w:rPr>
      </w:pPr>
    </w:p>
    <w:p w14:paraId="3CE1F845" w14:textId="504BAD36" w:rsidR="00534B29" w:rsidRDefault="00AE4462" w:rsidP="00F15126">
      <w:pPr>
        <w:spacing w:before="100" w:beforeAutospacing="1" w:after="100" w:afterAutospacing="1" w:line="360" w:lineRule="auto"/>
        <w:rPr>
          <w:lang w:val="en-US" w:eastAsia="en-US"/>
        </w:rPr>
      </w:pPr>
      <w:r w:rsidRPr="00AE4462">
        <w:rPr>
          <w:lang w:val="en-US" w:eastAsia="en-US"/>
        </w:rPr>
        <w:t>Using data from a large-scale discrete choice experiment embedded in the Prospective RELOC-AGE project, we estimate mixed logit models to derive marginal willingness</w:t>
      </w:r>
      <w:r w:rsidR="003C589C">
        <w:rPr>
          <w:lang w:val="en-US" w:eastAsia="en-US"/>
        </w:rPr>
        <w:t xml:space="preserve"> </w:t>
      </w:r>
      <w:r w:rsidRPr="00AE4462">
        <w:rPr>
          <w:lang w:val="en-US" w:eastAsia="en-US"/>
        </w:rPr>
        <w:t>to</w:t>
      </w:r>
      <w:r w:rsidR="003C589C">
        <w:rPr>
          <w:lang w:val="en-US" w:eastAsia="en-US"/>
        </w:rPr>
        <w:t xml:space="preserve"> </w:t>
      </w:r>
      <w:r w:rsidRPr="00AE4462">
        <w:rPr>
          <w:lang w:val="en-US" w:eastAsia="en-US"/>
        </w:rPr>
        <w:t xml:space="preserve">pay (MWTP) measures for proximity to green space, shops, and public transport, as well as for access to dedicated parking. We further examine heterogeneity in preferences by age, gender, and health status to identify systematic variation in the valuation of these attributes. </w:t>
      </w:r>
      <w:r w:rsidR="00DD5C31">
        <w:rPr>
          <w:lang w:val="en-US" w:eastAsia="en-US"/>
        </w:rPr>
        <w:t>T</w:t>
      </w:r>
      <w:r w:rsidRPr="00AE4462">
        <w:rPr>
          <w:color w:val="000000" w:themeColor="text1"/>
          <w:lang w:val="en-US" w:eastAsia="en-US"/>
        </w:rPr>
        <w:t xml:space="preserve">he study builds on recent </w:t>
      </w:r>
      <w:r w:rsidR="006E5BF0" w:rsidRPr="006E5BF0">
        <w:rPr>
          <w:color w:val="000000" w:themeColor="text1"/>
          <w:lang w:val="en-US" w:eastAsia="en-US"/>
        </w:rPr>
        <w:t>stated choice housing studies</w:t>
      </w:r>
      <w:r w:rsidR="00DB31A7" w:rsidRPr="006E5BF0">
        <w:rPr>
          <w:color w:val="000000" w:themeColor="text1"/>
          <w:lang w:val="en-US" w:eastAsia="en-US"/>
        </w:rPr>
        <w:t xml:space="preserve"> </w:t>
      </w:r>
      <w:r w:rsidR="00DB31A7" w:rsidRPr="006E5BF0">
        <w:rPr>
          <w:color w:val="000000" w:themeColor="text1"/>
          <w:lang w:val="en-US" w:eastAsia="en-US"/>
        </w:rPr>
        <w:fldChar w:fldCharType="begin"/>
      </w:r>
      <w:r w:rsidR="00DB31A7"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DB31A7" w:rsidRPr="000C109F">
        <w:rPr>
          <w:color w:val="000000" w:themeColor="text1"/>
          <w:lang w:val="en-US" w:eastAsia="en-US"/>
        </w:rPr>
        <w:instrText>n of a certain proportion of reused materials, provision of green facilities, availability of furnitur</w:instrText>
      </w:r>
      <w:r w:rsidR="00DB31A7"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DB31A7" w:rsidRPr="006E5BF0">
        <w:rPr>
          <w:color w:val="000000" w:themeColor="text1"/>
          <w:lang w:val="en-US" w:eastAsia="en-US"/>
        </w:rPr>
        <w:fldChar w:fldCharType="separate"/>
      </w:r>
      <w:r w:rsidR="00DB31A7" w:rsidRPr="006E5BF0">
        <w:rPr>
          <w:lang w:val="en-US"/>
        </w:rPr>
        <w:t>(Ossokina et al., 2020; Caplan et al., 2021; Ossokina &amp; Arentze, 2022; Aitken et al., 2024; Lee et al., 2025)</w:t>
      </w:r>
      <w:r w:rsidR="00DB31A7" w:rsidRPr="006E5BF0">
        <w:rPr>
          <w:color w:val="000000" w:themeColor="text1"/>
          <w:lang w:val="en-US" w:eastAsia="en-US"/>
        </w:rPr>
        <w:fldChar w:fldCharType="end"/>
      </w:r>
      <w:r w:rsidR="006E5BF0" w:rsidRPr="006E5BF0">
        <w:rPr>
          <w:color w:val="000000" w:themeColor="text1"/>
          <w:lang w:val="en-US" w:eastAsia="en-US"/>
        </w:rPr>
        <w:t xml:space="preserve">, </w:t>
      </w:r>
      <w:r w:rsidRPr="00AE4462">
        <w:rPr>
          <w:color w:val="000000" w:themeColor="text1"/>
          <w:lang w:val="en-US" w:eastAsia="en-US"/>
        </w:rPr>
        <w:t>extending discrete choice methods to a Scandinavian context where ageing-in-place policies are well established but evidence on relocation preferences remains limited.</w:t>
      </w:r>
      <w:r w:rsidR="00DB31A7" w:rsidRPr="006E5BF0">
        <w:rPr>
          <w:color w:val="000000" w:themeColor="text1"/>
          <w:lang w:val="en-US" w:eastAsia="en-US"/>
        </w:rPr>
        <w:t xml:space="preserve"> </w:t>
      </w:r>
      <w:r w:rsidRPr="006E5BF0">
        <w:rPr>
          <w:lang w:val="en-US" w:eastAsia="en-US"/>
        </w:rPr>
        <w:t>By linking relocation motivations to the economic valuation of locational factors, the study offers policy-relevant insights into the housing needs of an ageing population and contributes empirical evidence to guide the planning of inclusive, adaptable living environments that support independence and quality of life in later life</w:t>
      </w:r>
      <w:r w:rsidR="006E5BF0">
        <w:rPr>
          <w:lang w:val="en-US" w:eastAsia="en-US"/>
        </w:rPr>
        <w:t>.</w:t>
      </w:r>
    </w:p>
    <w:p w14:paraId="7583C7EB" w14:textId="592FC224" w:rsidR="00511E65" w:rsidRDefault="00511E65" w:rsidP="00F15126">
      <w:pPr>
        <w:pStyle w:val="Heading1"/>
        <w:rPr>
          <w:lang w:val="en-US"/>
        </w:rPr>
      </w:pPr>
      <w:bookmarkStart w:id="9" w:name="_Hlk212627481"/>
      <w:r>
        <w:rPr>
          <w:lang w:val="en-US"/>
        </w:rPr>
        <w:lastRenderedPageBreak/>
        <w:t>Materials and Methods</w:t>
      </w:r>
    </w:p>
    <w:p w14:paraId="7915A8BE" w14:textId="0A19479F" w:rsidR="009578AB" w:rsidRPr="009578AB" w:rsidRDefault="009578AB" w:rsidP="00F15126">
      <w:pPr>
        <w:pStyle w:val="Heading2"/>
        <w:rPr>
          <w:lang w:val="en-US"/>
        </w:rPr>
      </w:pPr>
      <w:r>
        <w:rPr>
          <w:lang w:val="en-US"/>
        </w:rPr>
        <w:t>Participants</w:t>
      </w:r>
      <w:r w:rsidR="00EF26DF">
        <w:rPr>
          <w:lang w:val="en-US"/>
        </w:rPr>
        <w:t xml:space="preserve"> and data collection</w:t>
      </w:r>
    </w:p>
    <w:p w14:paraId="76236786" w14:textId="7609A18B" w:rsidR="001D56A9" w:rsidRPr="009578AB" w:rsidRDefault="0020674A" w:rsidP="001D56A9">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0D57E032" w:rsidR="0020674A" w:rsidRPr="00304E45" w:rsidRDefault="0020674A" w:rsidP="0020674A">
                            <w:pPr>
                              <w:pStyle w:val="Caption"/>
                              <w:jc w:val="center"/>
                              <w:rPr>
                                <w:noProof/>
                              </w:rPr>
                            </w:pPr>
                            <w:r>
                              <w:t xml:space="preserve">Figure </w:t>
                            </w:r>
                            <w:fldSimple w:instr=" SEQ Figure \* ARABIC ">
                              <w:r w:rsidR="00482C8F">
                                <w:rPr>
                                  <w:noProof/>
                                </w:rPr>
                                <w:t>1</w:t>
                              </w:r>
                            </w:fldSimple>
                            <w:r w:rsidR="001D56A9">
                              <w:rPr>
                                <w:noProof/>
                              </w:rPr>
                              <w:br/>
                              <w:t>Location of DCE participants (N = 957)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0D57E032" w:rsidR="0020674A" w:rsidRPr="00304E45" w:rsidRDefault="0020674A" w:rsidP="0020674A">
                      <w:pPr>
                        <w:pStyle w:val="Caption"/>
                        <w:jc w:val="center"/>
                        <w:rPr>
                          <w:noProof/>
                        </w:rPr>
                      </w:pPr>
                      <w:r>
                        <w:t xml:space="preserve">Figure </w:t>
                      </w:r>
                      <w:fldSimple w:instr=" SEQ Figure \* ARABIC ">
                        <w:r w:rsidR="00482C8F">
                          <w:rPr>
                            <w:noProof/>
                          </w:rPr>
                          <w:t>1</w:t>
                        </w:r>
                      </w:fldSimple>
                      <w:r w:rsidR="001D56A9">
                        <w:rPr>
                          <w:noProof/>
                        </w:rPr>
                        <w:br/>
                        <w:t>Location of DCE participants (N = 957)</w:t>
                      </w:r>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r w:rsidR="001D56A9" w:rsidRPr="009578AB">
        <w:rPr>
          <w:lang w:val="en-US"/>
        </w:rPr>
        <w:t xml:space="preserve">The primary objective of the </w:t>
      </w:r>
      <w:r w:rsidR="001D56A9">
        <w:rPr>
          <w:lang w:val="en-US"/>
        </w:rPr>
        <w:t xml:space="preserve">ongoing </w:t>
      </w:r>
      <w:r w:rsidR="001D56A9" w:rsidRPr="009578AB">
        <w:rPr>
          <w:lang w:val="en-US"/>
        </w:rPr>
        <w:t xml:space="preserve">Prospective RELOC-AGE </w:t>
      </w:r>
      <w:r w:rsidR="001D56A9">
        <w:rPr>
          <w:lang w:val="en-US"/>
        </w:rPr>
        <w:t xml:space="preserve">project, </w:t>
      </w:r>
      <w:r w:rsidR="001D56A9" w:rsidRPr="009578AB">
        <w:rPr>
          <w:lang w:val="en-US"/>
        </w:rPr>
        <w:t>a longitudinal two-tiered mixed-method cohort investigation conducted in Sweden</w:t>
      </w:r>
      <w:r w:rsidR="001D56A9">
        <w:rPr>
          <w:lang w:val="en-US"/>
        </w:rPr>
        <w:t xml:space="preserve">, </w:t>
      </w:r>
      <w:r w:rsidR="00430956">
        <w:rPr>
          <w:lang w:val="en-US"/>
        </w:rPr>
        <w:t>was</w:t>
      </w:r>
      <w:r w:rsidR="001D56A9" w:rsidRPr="009578AB">
        <w:rPr>
          <w:lang w:val="en-US"/>
        </w:rPr>
        <w:t xml:space="preserve"> to explore the long-term dynamics associated with housing choices, relocation, and active and healthy </w:t>
      </w:r>
      <w:r w:rsidR="00D716F6" w:rsidRPr="009578AB">
        <w:rPr>
          <w:lang w:val="en-US"/>
        </w:rPr>
        <w:t>ageing</w:t>
      </w:r>
      <w:r w:rsidR="00D716F6" w:rsidRPr="00430956">
        <w:rPr>
          <w:lang w:val="en-US"/>
        </w:rPr>
        <w:t>,</w:t>
      </w:r>
      <w:r w:rsidR="00430956" w:rsidRPr="00430956">
        <w:rPr>
          <w:lang w:val="en-US"/>
        </w:rPr>
        <w:t xml:space="preserve"> focusing on individuals across the ageing process.</w:t>
      </w:r>
      <w:r w:rsidR="00D716F6">
        <w:rPr>
          <w:lang w:val="en-US"/>
        </w:rPr>
        <w:t xml:space="preserve"> </w:t>
      </w:r>
      <w:r w:rsidR="001D56A9" w:rsidRPr="009578AB">
        <w:rPr>
          <w:lang w:val="en-US"/>
        </w:rPr>
        <w:t xml:space="preserve">The </w:t>
      </w:r>
      <w:r w:rsidR="001D56A9">
        <w:rPr>
          <w:lang w:val="en-US"/>
        </w:rPr>
        <w:t>project</w:t>
      </w:r>
      <w:r w:rsidR="001D56A9" w:rsidRPr="009578AB">
        <w:rPr>
          <w:lang w:val="en-US"/>
        </w:rPr>
        <w:t xml:space="preserve"> was registered under the identifier NCT04765696 on ClinicalTrials.gov (U.S. National Library of Medicine, 2021). </w:t>
      </w:r>
      <w:r w:rsidR="001D56A9">
        <w:rPr>
          <w:lang w:val="en-US"/>
        </w:rPr>
        <w:t>At baseline (2021) e</w:t>
      </w:r>
      <w:r w:rsidR="001D56A9" w:rsidRPr="009578AB">
        <w:rPr>
          <w:lang w:val="en-US"/>
        </w:rPr>
        <w:t xml:space="preserve">ligible participants were individuals aged 55 or older, residing in Sweden, and actively registered </w:t>
      </w:r>
      <w:r w:rsidR="001D56A9">
        <w:rPr>
          <w:lang w:val="en-US"/>
        </w:rPr>
        <w:t>with an interest in</w:t>
      </w:r>
      <w:r w:rsidR="001D56A9" w:rsidRPr="009578AB">
        <w:rPr>
          <w:lang w:val="en-US"/>
        </w:rPr>
        <w:t xml:space="preserve"> relocation with one of three housing companies: two local public housing providers and a national provider of tenant-owned dwellings.</w:t>
      </w:r>
      <w:r w:rsidR="001D56A9">
        <w:rPr>
          <w:lang w:val="en-US"/>
        </w:rPr>
        <w:t xml:space="preserve"> </w:t>
      </w:r>
      <w:r w:rsidR="007550E3">
        <w:rPr>
          <w:lang w:val="en-US"/>
        </w:rPr>
        <w:t xml:space="preserve">With over 200 questions in each survey setting, the </w:t>
      </w:r>
      <w:r w:rsidR="007550E3" w:rsidRPr="009578AB">
        <w:rPr>
          <w:lang w:val="en-US"/>
        </w:rPr>
        <w:t>Prospective RELOC-AGE</w:t>
      </w:r>
      <w:r w:rsidR="007550E3">
        <w:rPr>
          <w:lang w:val="en-US"/>
        </w:rPr>
        <w:t xml:space="preserve"> provides a </w:t>
      </w:r>
      <w:r w:rsidR="000A7BC2">
        <w:rPr>
          <w:lang w:val="en-US"/>
        </w:rPr>
        <w:t>rich source of information, including a wide set of socio-demographic information.</w:t>
      </w:r>
    </w:p>
    <w:p w14:paraId="40BC9CAA" w14:textId="360808D0" w:rsidR="00430956" w:rsidRPr="00430956" w:rsidRDefault="00EF26DF" w:rsidP="00430956">
      <w:pPr>
        <w:pStyle w:val="Paragraph"/>
        <w:spacing w:line="360" w:lineRule="auto"/>
      </w:pPr>
      <w:r w:rsidRPr="009578AB">
        <w:rPr>
          <w:lang w:val="en-US"/>
        </w:rPr>
        <w:t xml:space="preserve">The </w:t>
      </w:r>
      <w:r w:rsidR="001D56A9">
        <w:rPr>
          <w:lang w:val="en-US"/>
        </w:rPr>
        <w:t>DCE</w:t>
      </w:r>
      <w:r w:rsidRPr="009578AB">
        <w:rPr>
          <w:lang w:val="en-US"/>
        </w:rPr>
        <w:t xml:space="preserve"> was administered in conjunction with the </w:t>
      </w:r>
      <w:r w:rsidR="001D56A9">
        <w:rPr>
          <w:lang w:val="en-US"/>
        </w:rPr>
        <w:t xml:space="preserve">second </w:t>
      </w:r>
      <w:r w:rsidRPr="009578AB">
        <w:rPr>
          <w:lang w:val="en-US"/>
        </w:rPr>
        <w:t xml:space="preserve">follow-up survey </w:t>
      </w:r>
      <w:r w:rsidR="001D56A9">
        <w:rPr>
          <w:lang w:val="en-US"/>
        </w:rPr>
        <w:t>administered during</w:t>
      </w:r>
      <w:r w:rsidRPr="009578AB">
        <w:rPr>
          <w:lang w:val="en-US"/>
        </w:rPr>
        <w:t xml:space="preserve"> May </w:t>
      </w:r>
      <w:r w:rsidR="001D56A9">
        <w:rPr>
          <w:lang w:val="en-US"/>
        </w:rPr>
        <w:t xml:space="preserve">to October </w:t>
      </w:r>
      <w:r w:rsidRPr="009578AB">
        <w:rPr>
          <w:lang w:val="en-US"/>
        </w:rPr>
        <w:t xml:space="preserve">2024, where </w:t>
      </w:r>
      <w:commentRangeStart w:id="10"/>
      <w:commentRangeStart w:id="11"/>
      <w:r w:rsidRPr="009578AB">
        <w:rPr>
          <w:lang w:val="en-US"/>
        </w:rPr>
        <w:t>1,247 respondents agreed to participate</w:t>
      </w:r>
      <w:commentRangeEnd w:id="10"/>
      <w:r w:rsidR="005F2019" w:rsidRPr="009578AB">
        <w:rPr>
          <w:rStyle w:val="CommentReference"/>
          <w:sz w:val="24"/>
          <w:szCs w:val="24"/>
          <w:lang w:val="en-US"/>
        </w:rPr>
        <w:commentReference w:id="10"/>
      </w:r>
      <w:commentRangeEnd w:id="11"/>
      <w:r w:rsidR="00AB4876">
        <w:rPr>
          <w:rStyle w:val="CommentReference"/>
        </w:rPr>
        <w:commentReference w:id="11"/>
      </w:r>
      <w:r w:rsidRPr="009578AB">
        <w:rPr>
          <w:lang w:val="en-US"/>
        </w:rPr>
        <w:t xml:space="preserve"> in the survey via a web-based platform.</w:t>
      </w:r>
      <w:r>
        <w:rPr>
          <w:lang w:val="en-US"/>
        </w:rPr>
        <w:t xml:space="preserve">  After the main survey was completed, respondents were asked to </w:t>
      </w:r>
      <w:r w:rsidR="00DD5C31">
        <w:rPr>
          <w:lang w:val="en-US"/>
        </w:rPr>
        <w:t>continue and</w:t>
      </w:r>
      <w:r w:rsidR="000A7BC2">
        <w:rPr>
          <w:lang w:val="en-US"/>
        </w:rPr>
        <w:t xml:space="preserve"> </w:t>
      </w:r>
      <w:r>
        <w:rPr>
          <w:lang w:val="en-US"/>
        </w:rPr>
        <w:t xml:space="preserve">take part in the optional DCE.  </w:t>
      </w:r>
      <w:r w:rsidRPr="009578AB">
        <w:rPr>
          <w:lang w:val="en-US"/>
        </w:rPr>
        <w:t xml:space="preserve">Following the initial </w:t>
      </w:r>
      <w:r w:rsidR="00DD5C31">
        <w:rPr>
          <w:lang w:val="en-US"/>
        </w:rPr>
        <w:t>DCE</w:t>
      </w:r>
      <w:r w:rsidRPr="009578AB">
        <w:rPr>
          <w:lang w:val="en-US"/>
        </w:rPr>
        <w:t xml:space="preserve"> administration, two reminder emails were sent out to encourage participation in the </w:t>
      </w:r>
      <w:r w:rsidR="00DD5C31">
        <w:rPr>
          <w:lang w:val="en-US"/>
        </w:rPr>
        <w:t>experiment</w:t>
      </w:r>
      <w:r w:rsidRPr="009578AB">
        <w:rPr>
          <w:lang w:val="en-US"/>
        </w:rPr>
        <w:t xml:space="preserve">. The first in September 2024, to the entire respondent group, and another reminder in October 2024, targeting only those who had not taken the experiment portion of the survey. The final sample size </w:t>
      </w:r>
      <w:r w:rsidR="001D56A9">
        <w:rPr>
          <w:lang w:val="en-US"/>
        </w:rPr>
        <w:t xml:space="preserve">consisted </w:t>
      </w:r>
      <w:r w:rsidRPr="009578AB">
        <w:rPr>
          <w:lang w:val="en-US"/>
        </w:rPr>
        <w:t>of 957 individuals</w:t>
      </w:r>
      <w:r w:rsidR="001D56A9">
        <w:rPr>
          <w:lang w:val="en-US"/>
        </w:rPr>
        <w:t>,</w:t>
      </w:r>
      <w:r w:rsidRPr="009578AB">
        <w:rPr>
          <w:lang w:val="en-US"/>
        </w:rPr>
        <w:t xml:space="preserve"> representing a 73% response rate</w:t>
      </w:r>
      <w:r w:rsidR="001D56A9">
        <w:rPr>
          <w:lang w:val="en-US"/>
        </w:rPr>
        <w:t xml:space="preserve"> of follow-up respondent</w:t>
      </w:r>
      <w:r w:rsidR="00430956">
        <w:rPr>
          <w:lang w:val="en-US"/>
        </w:rPr>
        <w:t xml:space="preserve">s and representing </w:t>
      </w:r>
      <w:commentRangeStart w:id="12"/>
      <w:commentRangeStart w:id="13"/>
      <w:r w:rsidR="00430956">
        <w:rPr>
          <w:lang w:val="en-US"/>
        </w:rPr>
        <w:t xml:space="preserve">a </w:t>
      </w:r>
      <w:r w:rsidR="00430956" w:rsidRPr="009578AB">
        <w:rPr>
          <w:lang w:val="en-US"/>
        </w:rPr>
        <w:t>geographically diverse sample of individuals aged 55 and above across</w:t>
      </w:r>
      <w:commentRangeEnd w:id="12"/>
      <w:r w:rsidR="005F2019" w:rsidRPr="009578AB">
        <w:rPr>
          <w:rStyle w:val="CommentReference"/>
          <w:sz w:val="24"/>
          <w:szCs w:val="24"/>
          <w:lang w:val="en-US"/>
        </w:rPr>
        <w:commentReference w:id="12"/>
      </w:r>
      <w:commentRangeEnd w:id="13"/>
      <w:r w:rsidR="00AB4876">
        <w:rPr>
          <w:rStyle w:val="CommentReference"/>
        </w:rPr>
        <w:commentReference w:id="13"/>
      </w:r>
      <w:r w:rsidR="00430956" w:rsidRPr="009578AB">
        <w:rPr>
          <w:lang w:val="en-US"/>
        </w:rPr>
        <w:t xml:space="preserve"> Sweden (see Figure 1).</w:t>
      </w:r>
    </w:p>
    <w:p w14:paraId="0CB25670" w14:textId="1ED30F1C" w:rsidR="00EF26DF" w:rsidRPr="00430956" w:rsidRDefault="00EF26DF" w:rsidP="00F15126">
      <w:pPr>
        <w:pStyle w:val="Paragraph"/>
        <w:spacing w:line="360" w:lineRule="auto"/>
        <w:ind w:firstLine="720"/>
      </w:pPr>
    </w:p>
    <w:p w14:paraId="1CAD93FD" w14:textId="344E6FBD" w:rsidR="00C10D09" w:rsidRDefault="006E4F5B" w:rsidP="00DC6C63">
      <w:pPr>
        <w:pStyle w:val="Paragraph"/>
        <w:spacing w:line="360" w:lineRule="auto"/>
        <w:rPr>
          <w:lang w:val="en-US"/>
        </w:rPr>
      </w:pPr>
      <w:r w:rsidRPr="009578AB">
        <w:rPr>
          <w:lang w:val="en-US"/>
        </w:rPr>
        <w:t>Prior to administering the DCE, we conducted an internal review</w:t>
      </w:r>
      <w:r w:rsidR="000368B2">
        <w:rPr>
          <w:lang w:val="en-US"/>
        </w:rPr>
        <w:t xml:space="preserve"> (n =20)</w:t>
      </w:r>
      <w:r w:rsidRPr="009578AB">
        <w:rPr>
          <w:lang w:val="en-US"/>
        </w:rPr>
        <w:t xml:space="preserve"> and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r w:rsidRPr="009578AB">
        <w:rPr>
          <w:lang w:val="en-US"/>
        </w:rPr>
        <w:t xml:space="preserve">n = 56). The internal review involved researchers and staff within the </w:t>
      </w:r>
      <w:r w:rsidR="000368B2">
        <w:rPr>
          <w:lang w:val="en-US"/>
        </w:rPr>
        <w:t xml:space="preserve">research team’s </w:t>
      </w:r>
      <w:r w:rsidRPr="009578AB">
        <w:rPr>
          <w:lang w:val="en-US"/>
        </w:rPr>
        <w:t xml:space="preserve">network. The pilot </w:t>
      </w:r>
      <w:r w:rsidR="000368B2">
        <w:rPr>
          <w:lang w:val="en-US"/>
        </w:rPr>
        <w:t xml:space="preserve">study </w:t>
      </w:r>
      <w:r w:rsidRPr="009578AB">
        <w:rPr>
          <w:lang w:val="en-US"/>
        </w:rPr>
        <w:t xml:space="preserve">was administered to participants in </w:t>
      </w:r>
      <w:r w:rsidR="000368B2">
        <w:rPr>
          <w:lang w:val="en-US"/>
        </w:rPr>
        <w:t>the Stakeholder Pool</w:t>
      </w:r>
      <w:r w:rsidRPr="009578AB">
        <w:rPr>
          <w:lang w:val="en-US"/>
        </w:rPr>
        <w:t xml:space="preserve">, </w:t>
      </w:r>
      <w:commentRangeStart w:id="14"/>
      <w:commentRangeStart w:id="15"/>
      <w:r w:rsidRPr="009578AB">
        <w:rPr>
          <w:lang w:val="en-US"/>
        </w:rPr>
        <w:t>a network of individuals collaborating with academia and society in the areas of ageing and health</w:t>
      </w:r>
      <w:commentRangeEnd w:id="14"/>
      <w:r w:rsidR="005B0BB5">
        <w:rPr>
          <w:rStyle w:val="CommentReference"/>
          <w:sz w:val="24"/>
          <w:szCs w:val="24"/>
          <w:lang w:val="en-US"/>
        </w:rPr>
        <w:commentReference w:id="14"/>
      </w:r>
      <w:commentRangeEnd w:id="15"/>
      <w:r w:rsidR="00AB4876">
        <w:rPr>
          <w:rStyle w:val="CommentReference"/>
        </w:rPr>
        <w:commentReference w:id="15"/>
      </w:r>
      <w:r w:rsidR="000368B2">
        <w:rPr>
          <w:lang w:val="en-US"/>
        </w:rPr>
        <w:t>, which has been established at the Centre for Ageing and Supportive Environments (CASE) at Lund University</w:t>
      </w:r>
      <w:r w:rsidRPr="009578AB">
        <w:rPr>
          <w:lang w:val="en-US"/>
        </w:rPr>
        <w:t>.</w:t>
      </w:r>
      <w:r>
        <w:rPr>
          <w:lang w:val="en-US"/>
        </w:rPr>
        <w:t xml:space="preserve">  </w:t>
      </w:r>
      <w:r w:rsidRPr="009578AB">
        <w:rPr>
          <w:lang w:val="en-US"/>
        </w:rPr>
        <w:t xml:space="preserve">In both </w:t>
      </w:r>
      <w:r w:rsidR="000368B2">
        <w:rPr>
          <w:lang w:val="en-US"/>
        </w:rPr>
        <w:t>phases</w:t>
      </w:r>
      <w:r w:rsidRPr="009578AB">
        <w:rPr>
          <w:lang w:val="en-US"/>
        </w:rPr>
        <w:t xml:space="preserve">, respondents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t>
      </w:r>
      <w:commentRangeStart w:id="16"/>
      <w:r w:rsidR="00EA7CB1">
        <w:rPr>
          <w:lang w:val="en-US"/>
        </w:rPr>
        <w:t xml:space="preserve">We made several </w:t>
      </w:r>
      <w:r w:rsidRPr="009578AB">
        <w:rPr>
          <w:lang w:val="en-US"/>
        </w:rPr>
        <w:t xml:space="preserve">informed revisions: clarifying attribute descriptions and levels; removing redundant instructional text; fine-tuning attribute </w:t>
      </w:r>
      <w:r w:rsidR="00DD5C31">
        <w:rPr>
          <w:lang w:val="en-US"/>
        </w:rPr>
        <w:t>levels</w:t>
      </w:r>
      <w:r w:rsidRPr="009578AB">
        <w:rPr>
          <w:lang w:val="en-US"/>
        </w:rPr>
        <w:t xml:space="preserve">; and reducing the number of </w:t>
      </w:r>
      <w:proofErr w:type="gramStart"/>
      <w:r w:rsidRPr="009578AB">
        <w:rPr>
          <w:lang w:val="en-US"/>
        </w:rPr>
        <w:t>choice</w:t>
      </w:r>
      <w:proofErr w:type="gramEnd"/>
      <w:r w:rsidRPr="009578AB">
        <w:rPr>
          <w:lang w:val="en-US"/>
        </w:rPr>
        <w:t xml:space="preserve"> sets to manage respondent burden. </w:t>
      </w:r>
      <w:commentRangeEnd w:id="16"/>
      <w:r w:rsidR="005B0BB5">
        <w:rPr>
          <w:rStyle w:val="CommentReference"/>
          <w:sz w:val="24"/>
          <w:szCs w:val="24"/>
          <w:lang w:val="en-US"/>
        </w:rPr>
        <w:commentReference w:id="16"/>
      </w:r>
    </w:p>
    <w:p w14:paraId="5ACFE1F7" w14:textId="5DEEDCA6" w:rsidR="000F2A45" w:rsidRPr="000F2A45" w:rsidRDefault="000F2A45" w:rsidP="00DC6C63">
      <w:pPr>
        <w:pStyle w:val="Paragraph"/>
        <w:spacing w:line="360" w:lineRule="auto"/>
        <w:rPr>
          <w:lang w:val="en-US"/>
        </w:rPr>
      </w:pPr>
      <w:r>
        <w:rPr>
          <w:lang w:val="en-US"/>
        </w:rPr>
        <w:t xml:space="preserve">The final </w:t>
      </w:r>
      <w:r w:rsidR="000368B2">
        <w:rPr>
          <w:lang w:val="en-US"/>
        </w:rPr>
        <w:t>DCE questionnaire</w:t>
      </w:r>
      <w:r>
        <w:rPr>
          <w:lang w:val="en-US"/>
        </w:rPr>
        <w:t xml:space="preserve"> included three parts: an introduction to the experiment while defining the attributes and levels, a short questionnaire on household income, costs, and planned future housing costs</w:t>
      </w:r>
      <w:r w:rsidR="00DD5C31">
        <w:rPr>
          <w:lang w:val="en-US"/>
        </w:rPr>
        <w:t>,</w:t>
      </w:r>
      <w:r>
        <w:rPr>
          <w:lang w:val="en-US"/>
        </w:rPr>
        <w:t xml:space="preserve"> and the </w:t>
      </w:r>
      <w:r w:rsidR="000368B2">
        <w:rPr>
          <w:lang w:val="en-US"/>
        </w:rPr>
        <w:t xml:space="preserve">actual </w:t>
      </w:r>
      <w:r>
        <w:rPr>
          <w:lang w:val="en-US"/>
        </w:rPr>
        <w:t>experiment with nine choice sets.</w:t>
      </w:r>
    </w:p>
    <w:p w14:paraId="751B89E1" w14:textId="4DEC3E3E" w:rsidR="009578AB" w:rsidRPr="009578AB" w:rsidRDefault="00DF58DC" w:rsidP="00F15126">
      <w:pPr>
        <w:pStyle w:val="Heading2"/>
        <w:rPr>
          <w:lang w:val="en-US"/>
        </w:rPr>
      </w:pPr>
      <w:r>
        <w:rPr>
          <w:lang w:val="en-US"/>
        </w:rPr>
        <w:t>E</w:t>
      </w:r>
      <w:r w:rsidR="009578AB" w:rsidRPr="009578AB">
        <w:rPr>
          <w:lang w:val="en-US"/>
        </w:rPr>
        <w:t>xperiment design</w:t>
      </w:r>
    </w:p>
    <w:p w14:paraId="3C857FF0" w14:textId="74487F27" w:rsidR="009578AB" w:rsidRPr="009578AB" w:rsidRDefault="009578AB" w:rsidP="00F15126">
      <w:pPr>
        <w:pStyle w:val="Paragraph"/>
        <w:spacing w:line="360" w:lineRule="auto"/>
        <w:rPr>
          <w:lang w:val="en-US"/>
        </w:rPr>
      </w:pPr>
      <w:r w:rsidRPr="009578AB">
        <w:rPr>
          <w:lang w:val="en-US"/>
        </w:rPr>
        <w:t xml:space="preserve">Stated choice experiments encompass a range of techniques in which respondents indicate their preferences by explicitly stating their choices. In contrast to revealed </w:t>
      </w:r>
      <w:commentRangeStart w:id="17"/>
      <w:commentRangeStart w:id="18"/>
      <w:r w:rsidRPr="009578AB">
        <w:rPr>
          <w:lang w:val="en-US"/>
        </w:rPr>
        <w:t>choice experiments</w:t>
      </w:r>
      <w:commentRangeEnd w:id="17"/>
      <w:r w:rsidR="005B0BB5" w:rsidRPr="009578AB">
        <w:rPr>
          <w:rStyle w:val="CommentReference"/>
          <w:sz w:val="24"/>
          <w:szCs w:val="24"/>
          <w:lang w:val="en-US"/>
        </w:rPr>
        <w:commentReference w:id="17"/>
      </w:r>
      <w:commentRangeEnd w:id="18"/>
      <w:r w:rsidR="00AB4876">
        <w:rPr>
          <w:rStyle w:val="CommentReference"/>
        </w:rPr>
        <w:commentReference w:id="18"/>
      </w:r>
      <w:r w:rsidRPr="009578AB">
        <w:rPr>
          <w:lang w:val="en-US"/>
        </w:rPr>
        <w:t xml:space="preserve">, where preferences are inferred from past </w:t>
      </w:r>
      <w:r w:rsidR="00412457" w:rsidRPr="009578AB">
        <w:rPr>
          <w:lang w:val="en-US"/>
        </w:rPr>
        <w:t>behavior</w:t>
      </w:r>
      <w:r w:rsidRPr="009578AB">
        <w:rPr>
          <w:lang w:val="en-US"/>
        </w:rPr>
        <w:t xml:space="preserve">, stated choice methods allow for the evaluation of decisions in a controlled </w:t>
      </w:r>
      <w:r w:rsidR="00100485">
        <w:rPr>
          <w:lang w:val="en-US"/>
        </w:rPr>
        <w:t>setting</w:t>
      </w:r>
      <w:r w:rsidR="00C735A0">
        <w:rPr>
          <w:lang w:val="en-US"/>
        </w:rPr>
        <w:t xml:space="preserve"> </w:t>
      </w:r>
      <w:r w:rsidR="00C735A0">
        <w:rPr>
          <w:lang w:val="en-US"/>
        </w:rPr>
        <w:fldChar w:fldCharType="begin"/>
      </w:r>
      <w:r w:rsidR="00C735A0">
        <w:rPr>
          <w:lang w:val="en-US"/>
        </w:rPr>
        <w:instrText xml:space="preserve"> ADDIN ZOTERO_ITEM CSL_CITATION {"citationID":"d161r3LB","properties":{"formattedCitation":"(Lancsar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C735A0">
        <w:rPr>
          <w:lang w:val="en-US"/>
        </w:rPr>
        <w:fldChar w:fldCharType="separate"/>
      </w:r>
      <w:r w:rsidR="00C735A0" w:rsidRPr="00C735A0">
        <w:t>(Lancsar &amp; Louviere, 2008)</w:t>
      </w:r>
      <w:r w:rsidR="00C735A0">
        <w:rPr>
          <w:lang w:val="en-US"/>
        </w:rPr>
        <w:fldChar w:fldCharType="end"/>
      </w:r>
      <w:r w:rsidR="0026756C">
        <w:rPr>
          <w:lang w:val="en-US"/>
        </w:rPr>
        <w:t xml:space="preserve"> </w:t>
      </w:r>
      <w:r w:rsidRPr="009578AB">
        <w:rPr>
          <w:lang w:val="en-US"/>
        </w:rPr>
        <w:t xml:space="preserve">This controlled </w:t>
      </w:r>
      <w:r w:rsidR="00100485">
        <w:rPr>
          <w:lang w:val="en-US"/>
        </w:rPr>
        <w:t>environment</w:t>
      </w:r>
      <w:r w:rsidRPr="009578AB">
        <w:rPr>
          <w:lang w:val="en-US"/>
        </w:rPr>
        <w:t xml:space="preserve"> 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choice </w:t>
      </w:r>
      <w:commentRangeStart w:id="19"/>
      <w:commentRangeStart w:id="20"/>
      <w:r w:rsidRPr="009578AB">
        <w:rPr>
          <w:lang w:val="en-US"/>
        </w:rPr>
        <w:t>model</w:t>
      </w:r>
      <w:commentRangeEnd w:id="19"/>
      <w:r w:rsidR="005B0BB5" w:rsidRPr="009578AB">
        <w:rPr>
          <w:rStyle w:val="CommentReference"/>
          <w:sz w:val="24"/>
          <w:szCs w:val="24"/>
          <w:lang w:val="en-US"/>
        </w:rPr>
        <w:commentReference w:id="19"/>
      </w:r>
      <w:commentRangeEnd w:id="20"/>
      <w:r w:rsidR="00AB4876">
        <w:rPr>
          <w:rStyle w:val="CommentReference"/>
        </w:rPr>
        <w:commentReference w:id="20"/>
      </w:r>
      <w:r w:rsidRPr="009578AB">
        <w:rPr>
          <w:lang w:val="en-US"/>
        </w:rPr>
        <w:t xml:space="preserve"> that presents individuals with hypothetical scenarios, allowing researchers to quantify how much value respondents place on different attributes of a product, service, or </w:t>
      </w:r>
      <w:r w:rsidR="00100485">
        <w:rPr>
          <w:lang w:val="en-US"/>
        </w:rPr>
        <w:t xml:space="preserve">in our case, a </w:t>
      </w:r>
      <w:r w:rsidRPr="009578AB">
        <w:rPr>
          <w:lang w:val="en-US"/>
        </w:rPr>
        <w:t>housing option.</w:t>
      </w:r>
    </w:p>
    <w:p w14:paraId="46C0AE98" w14:textId="3E3271B5" w:rsidR="0026756C" w:rsidRPr="009578AB" w:rsidRDefault="009B2588" w:rsidP="00DC6C63">
      <w:pPr>
        <w:pStyle w:val="Paragraph"/>
        <w:spacing w:line="360" w:lineRule="auto"/>
        <w:rPr>
          <w:lang w:val="en-US"/>
        </w:rPr>
      </w:pPr>
      <w:r>
        <w:rPr>
          <w:lang w:val="en-US"/>
        </w:rPr>
        <w:t>In our experiment, r</w:t>
      </w:r>
      <w:r w:rsidR="009578AB" w:rsidRPr="009578AB">
        <w:rPr>
          <w:lang w:val="en-US"/>
        </w:rPr>
        <w:t xml:space="preserve">espondents were asked to choose the most desirable housing option from a set of alternatives containing varying levels of attributes. </w:t>
      </w:r>
      <w:r w:rsidR="0026756C" w:rsidRPr="009578AB">
        <w:rPr>
          <w:lang w:val="en-US"/>
        </w:rPr>
        <w:t xml:space="preserve">The choice of attributes </w:t>
      </w:r>
      <w:r w:rsidR="0026756C" w:rsidRPr="009578AB">
        <w:rPr>
          <w:lang w:val="en-US"/>
        </w:rPr>
        <w:lastRenderedPageBreak/>
        <w:t xml:space="preserve">and associated levels was guided by a combination of factors identified from the Prospective RELOC-AGE follow-up study and attributes </w:t>
      </w:r>
      <w:r w:rsidR="0026756C">
        <w:rPr>
          <w:lang w:val="en-US"/>
        </w:rPr>
        <w:t>identified</w:t>
      </w:r>
      <w:r w:rsidR="0026756C" w:rsidRPr="009578AB">
        <w:rPr>
          <w:lang w:val="en-US"/>
        </w:rPr>
        <w:t xml:space="preserve"> in the housing literature. Green space proximity has been examined in numerous contexts including improved cardiometabolic and general health </w:t>
      </w:r>
      <w:r w:rsidR="0026756C">
        <w:rPr>
          <w:lang w:val="en-US"/>
        </w:rPr>
        <w:fldChar w:fldCharType="begin"/>
      </w:r>
      <w:r w:rsidR="0026756C">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w:instrText>
      </w:r>
      <w:r w:rsidR="0026756C" w:rsidRPr="009A772D">
        <w:instrText xml:space="preserve"> cardiometabolic risk. The association between POS and cardiometabolic health was partially mediated by physical activity. Psychological well-being was not implicated in the associations tested. These results suggest that the characteristics, not the number or proportion, of </w:instrText>
      </w:r>
      <w:r w:rsidR="0026756C" w:rsidRPr="00CF427B">
        <w:rPr>
          <w:lang w:val="nb-NO"/>
        </w:rPr>
        <w:instrText xml:space="preserve">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sidR="0026756C">
        <w:rPr>
          <w:lang w:val="en-US"/>
        </w:rPr>
        <w:fldChar w:fldCharType="separate"/>
      </w:r>
      <w:r w:rsidR="0026756C" w:rsidRPr="00CF427B">
        <w:rPr>
          <w:lang w:val="nb-NO"/>
        </w:rPr>
        <w:t>(Maas, 2006; Paquet et al., 2013)</w:t>
      </w:r>
      <w:r w:rsidR="0026756C">
        <w:rPr>
          <w:lang w:val="en-US"/>
        </w:rPr>
        <w:fldChar w:fldCharType="end"/>
      </w:r>
      <w:r w:rsidR="0026756C" w:rsidRPr="00CF427B">
        <w:rPr>
          <w:lang w:val="nb-NO"/>
        </w:rPr>
        <w:t xml:space="preserve">, lower stress </w:t>
      </w:r>
      <w:r w:rsidR="0026756C">
        <w:rPr>
          <w:lang w:val="en-US"/>
        </w:rPr>
        <w:fldChar w:fldCharType="begin"/>
      </w:r>
      <w:r w:rsidR="0026756C" w:rsidRPr="00CF427B">
        <w:rPr>
          <w:lang w:val="nb-NO"/>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w:instrText>
      </w:r>
      <w:r w:rsidR="0026756C">
        <w:rPr>
          <w:lang w:val="en-US"/>
        </w:rPr>
        <w:instrText>ﬁ</w:instrText>
      </w:r>
      <w:r w:rsidR="0026756C" w:rsidRPr="00CF427B">
        <w:rPr>
          <w:lang w:val="nb-NO"/>
        </w:rPr>
        <w:instrText xml:space="preserve">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sidR="0026756C">
        <w:rPr>
          <w:lang w:val="en-US"/>
        </w:rPr>
        <w:fldChar w:fldCharType="separate"/>
      </w:r>
      <w:r w:rsidR="0026756C" w:rsidRPr="00CF427B">
        <w:rPr>
          <w:lang w:val="nb-NO"/>
        </w:rPr>
        <w:t>(Nielsen &amp; Hansen, 2007)</w:t>
      </w:r>
      <w:r w:rsidR="0026756C">
        <w:rPr>
          <w:lang w:val="en-US"/>
        </w:rPr>
        <w:fldChar w:fldCharType="end"/>
      </w:r>
      <w:r w:rsidR="0026756C" w:rsidRPr="00CF427B">
        <w:rPr>
          <w:lang w:val="nb-NO"/>
        </w:rPr>
        <w:t xml:space="preserve">, and improved mental health </w:t>
      </w:r>
      <w:r w:rsidR="0026756C">
        <w:rPr>
          <w:lang w:val="en-US"/>
        </w:rPr>
        <w:fldChar w:fldCharType="begin"/>
      </w:r>
      <w:r w:rsidR="0026756C" w:rsidRPr="00CF427B">
        <w:rPr>
          <w:lang w:val="nb-NO"/>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w:instrText>
      </w:r>
      <w:r w:rsidR="0026756C">
        <w:rPr>
          <w:lang w:val="en-US"/>
        </w:rPr>
        <w:instrText xml:space="preserv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sidR="0026756C">
        <w:rPr>
          <w:lang w:val="en-US"/>
        </w:rPr>
        <w:fldChar w:fldCharType="separate"/>
      </w:r>
      <w:r w:rsidR="0026756C" w:rsidRPr="00EF3A72">
        <w:t>(Sturm &amp; Cohen, 2014; Cohen-Cline et al., 2015)</w:t>
      </w:r>
      <w:r w:rsidR="0026756C">
        <w:rPr>
          <w:lang w:val="en-US"/>
        </w:rPr>
        <w:fldChar w:fldCharType="end"/>
      </w:r>
      <w:r w:rsidR="0026756C" w:rsidRPr="009578AB">
        <w:rPr>
          <w:lang w:val="en-US"/>
        </w:rPr>
        <w:t>. The attribute greenspace is defined as the distance in kilometers to green areas including parks, forests, hiking areas, and open spaces.</w:t>
      </w:r>
      <w:r w:rsidR="0026756C">
        <w:rPr>
          <w:lang w:val="en-US"/>
        </w:rPr>
        <w:t xml:space="preserve">  </w:t>
      </w:r>
      <w:r w:rsidR="0026756C" w:rsidRPr="009578AB">
        <w:rPr>
          <w:lang w:val="en-US"/>
        </w:rPr>
        <w:t>Proximity to shops and services represents not only distance to frequent amenities which may become more burdensome to traverse with age but also constitutes an integral social experience to participate in the social life of communities (Lucas et al. 2016). The attribute shops represent</w:t>
      </w:r>
      <w:r w:rsidR="0026756C">
        <w:rPr>
          <w:lang w:val="en-US"/>
        </w:rPr>
        <w:t>ed</w:t>
      </w:r>
      <w:r w:rsidR="0026756C" w:rsidRPr="009578AB">
        <w:rPr>
          <w:lang w:val="en-US"/>
        </w:rPr>
        <w:t xml:space="preserve"> the distance to shopping amenities such as grocery stores, malls, boutiques, and shopping centers.</w:t>
      </w:r>
      <w:r w:rsidR="0026756C">
        <w:rPr>
          <w:lang w:val="en-US"/>
        </w:rPr>
        <w:t xml:space="preserve">  </w:t>
      </w:r>
      <w:r w:rsidR="0026756C" w:rsidRPr="009578AB">
        <w:rPr>
          <w:lang w:val="en-US"/>
        </w:rPr>
        <w:t xml:space="preserve">Access to public transportation has been shown to affect accessibility levels of populations, with significant differences identified in </w:t>
      </w:r>
      <w:r w:rsidR="00100485">
        <w:rPr>
          <w:lang w:val="en-US"/>
        </w:rPr>
        <w:t>older</w:t>
      </w:r>
      <w:r w:rsidR="0026756C" w:rsidRPr="009578AB">
        <w:rPr>
          <w:lang w:val="en-US"/>
        </w:rPr>
        <w:t xml:space="preserve"> cohorts</w:t>
      </w:r>
      <w:r w:rsidR="0026756C">
        <w:rPr>
          <w:lang w:val="en-US"/>
        </w:rPr>
        <w:t xml:space="preserve"> </w:t>
      </w:r>
      <w:r w:rsidR="0026756C">
        <w:rPr>
          <w:lang w:val="en-US"/>
        </w:rPr>
        <w:fldChar w:fldCharType="begin"/>
      </w:r>
      <w:r w:rsidR="0026756C">
        <w:rPr>
          <w:lang w:val="en-US"/>
        </w:rPr>
        <w:instrText xml:space="preserve"> ADDIN ZOTERO_ITEM CSL_CITATION {"citationID":"8IBkgYMS","properties":{"formattedCitation":"(Alsnih &amp; Hensher, 2003; Hildebrand, 2003; Ricciardi et al., 2015)","plainCitation":"(Alsnih &amp; Hensher, 2003; Hildebrand,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A"}],"issued":{"date-parts":[["2003",12]]},"citation-key":"alsnihMobilityAccessibilityExpectations2003"}},{"id":4830,"uris":["http://zotero.org/users/3783483/items/7MM4C4M9"],"itemData":{"id":4830,"type":"article-journal","abstract":"The current lack of a detailed description of elderly travel characteristics and behaviours, particularly one that examines the issue at a level involving activity engagement, was a deficiency addressed by this research. Using data from the 1994/95 Portland, Oregon, Household Activity and Stated Preference Survey a simplified activity-based travel model for the elderly was developed and validated. The modelling framework makes use of lifestyle groups which are delineated through advance analyses. The final cluster solution chosen to provide a categorical basis for the modelling framework identified six distinct lifestyle groups based on sociodemographic variables. The clusters were subjectively labelled Workers, Mobile Widows, Granny Flats, Mobility Impaired, Affluent Males, and Disabled Drivers. The clusters were found to have statistically significant differences in travel behaviour and activity engagement patterns. These findings are useful to policy-makers who attempt to balance the mobility needs of the elderly with the prospect for stricter driving license policies in response to traffic safety concerns. The model framework successfully replicated all facets of the base data set used for its development. Using a sequential process, the micro-simulation model employs a bottom-up approach by stochastically developing daily activity itineraries for individuals which are subsequently assembled into trip tours. Elements of travel behaviour synthesized for individuals being modelled included total daily activities (with and without travel), activities engaged in by class (with and without travel), total daily trip tours, and mode splits. The research has shown that a categorical approach using lifestyle groups with unique activity and travel characteristics can be successfully combined within an activity-based framework. Although this approach was applied specifically to the elderly, it can be extended to other heterogeneous groups including the population as a whole. Furthermore, the study has provided a more comprehensive understanding of the varied lifestyles, activity patterns, and subsequent travel behaviour and needs of the elderly.","language":"en","source":"Zotero","title":"Dimensions in elderly travel behaviour: A simplified activity-based model using lifestyle clusters","author":[{"family":"Hildebrand","given":"Eric D"}],"issued":{"date-parts":[["2003"]]},"citation-key":"hildebrandDimensionsElderlyTravel2003"}},{"id":4824,"uris":["http://zotero.org/users/3783483/items/QSN92VIG"],"itemData":{"id":4824,"type":"article-journal","abstract":"This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sidR="0026756C">
        <w:rPr>
          <w:lang w:val="en-US"/>
        </w:rPr>
        <w:fldChar w:fldCharType="separate"/>
      </w:r>
      <w:r w:rsidR="0026756C" w:rsidRPr="00EF3A72">
        <w:t>(Alsnih &amp; Hensher, 2003; Hildebrand, 2003; Ricciardi et al., 2015)</w:t>
      </w:r>
      <w:r w:rsidR="0026756C">
        <w:rPr>
          <w:lang w:val="en-US"/>
        </w:rPr>
        <w:fldChar w:fldCharType="end"/>
      </w:r>
      <w:r w:rsidR="0026756C" w:rsidRPr="009578AB">
        <w:rPr>
          <w:lang w:val="en-US"/>
        </w:rPr>
        <w:t xml:space="preserve">. The attribute transport </w:t>
      </w:r>
      <w:r w:rsidR="0026756C">
        <w:rPr>
          <w:lang w:val="en-US"/>
        </w:rPr>
        <w:t>was defined as</w:t>
      </w:r>
      <w:r w:rsidR="0026756C" w:rsidRPr="009578AB">
        <w:rPr>
          <w:lang w:val="en-US"/>
        </w:rPr>
        <w:t xml:space="preserve"> the distance to </w:t>
      </w:r>
      <w:r w:rsidR="0026756C">
        <w:rPr>
          <w:lang w:val="en-US"/>
        </w:rPr>
        <w:t xml:space="preserve">public </w:t>
      </w:r>
      <w:r w:rsidR="0026756C" w:rsidRPr="009578AB">
        <w:rPr>
          <w:lang w:val="en-US"/>
        </w:rPr>
        <w:t>transportation, such as a bus stop, metro station, or train station.</w:t>
      </w:r>
      <w:r w:rsidR="0026756C">
        <w:rPr>
          <w:lang w:val="en-US"/>
        </w:rPr>
        <w:t xml:space="preserve"> </w:t>
      </w:r>
      <w:r w:rsidR="0026756C" w:rsidRPr="009578AB">
        <w:rPr>
          <w:lang w:val="en-US"/>
        </w:rPr>
        <w:t xml:space="preserve">Parking availability may also affect acceptability, particularly for </w:t>
      </w:r>
      <w:r w:rsidR="0026756C">
        <w:rPr>
          <w:lang w:val="en-US"/>
        </w:rPr>
        <w:t>the Prospective RELOC-AGE</w:t>
      </w:r>
      <w:r w:rsidR="0026756C" w:rsidRPr="009578AB">
        <w:rPr>
          <w:lang w:val="en-US"/>
        </w:rPr>
        <w:t xml:space="preserve"> </w:t>
      </w:r>
      <w:r w:rsidR="0026756C">
        <w:rPr>
          <w:lang w:val="en-US"/>
        </w:rPr>
        <w:t xml:space="preserve">sample where </w:t>
      </w:r>
      <w:r w:rsidR="0026756C" w:rsidRPr="009578AB">
        <w:rPr>
          <w:lang w:val="en-US"/>
        </w:rPr>
        <w:t xml:space="preserve">over 90% of respondents indicated access to an automobile. </w:t>
      </w:r>
      <w:commentRangeStart w:id="21"/>
      <w:commentRangeStart w:id="22"/>
      <w:r w:rsidR="001154EE" w:rsidRPr="009578AB">
        <w:rPr>
          <w:lang w:val="en-US"/>
        </w:rPr>
        <w:t xml:space="preserve">Table 1 </w:t>
      </w:r>
      <w:r w:rsidR="001154EE">
        <w:rPr>
          <w:lang w:val="en-US"/>
        </w:rPr>
        <w:t>presents</w:t>
      </w:r>
      <w:r w:rsidR="001154EE" w:rsidRPr="009578AB">
        <w:rPr>
          <w:lang w:val="en-US"/>
        </w:rPr>
        <w:t xml:space="preserve"> the attributes </w:t>
      </w:r>
      <w:r w:rsidR="001154EE">
        <w:rPr>
          <w:lang w:val="en-US"/>
        </w:rPr>
        <w:t>with their</w:t>
      </w:r>
      <w:r w:rsidR="001154EE" w:rsidRPr="009578AB">
        <w:rPr>
          <w:lang w:val="en-US"/>
        </w:rPr>
        <w:t xml:space="preserve"> corresponding</w:t>
      </w:r>
      <w:r w:rsidR="001154EE">
        <w:rPr>
          <w:lang w:val="en-US"/>
        </w:rPr>
        <w:t xml:space="preserve"> levels.</w:t>
      </w:r>
      <w:commentRangeEnd w:id="21"/>
      <w:r w:rsidR="00773C7A" w:rsidRPr="009578AB">
        <w:rPr>
          <w:rStyle w:val="CommentReference"/>
          <w:sz w:val="24"/>
          <w:szCs w:val="24"/>
          <w:lang w:val="en-US"/>
        </w:rPr>
        <w:commentReference w:id="21"/>
      </w:r>
      <w:commentRangeEnd w:id="22"/>
      <w:r w:rsidR="00AB4876">
        <w:rPr>
          <w:rStyle w:val="CommentReference"/>
        </w:rPr>
        <w:commentReference w:id="22"/>
      </w:r>
    </w:p>
    <w:p w14:paraId="551012F9" w14:textId="77777777" w:rsidR="0026756C" w:rsidRDefault="0026756C" w:rsidP="00DC6C63">
      <w:pPr>
        <w:pStyle w:val="Caption"/>
        <w:keepNext/>
      </w:pPr>
    </w:p>
    <w:p w14:paraId="02842426" w14:textId="77777777" w:rsidR="0026756C" w:rsidRDefault="0026756C" w:rsidP="0026756C">
      <w:pPr>
        <w:pStyle w:val="Caption"/>
        <w:keepNext/>
        <w:jc w:val="center"/>
      </w:pPr>
    </w:p>
    <w:p w14:paraId="6EA88E33" w14:textId="15873AED" w:rsidR="0026756C" w:rsidRPr="0026756C" w:rsidRDefault="0026756C" w:rsidP="0026756C">
      <w:pPr>
        <w:pStyle w:val="Caption"/>
        <w:keepNext/>
        <w:jc w:val="center"/>
      </w:pPr>
      <w:r>
        <w:t xml:space="preserve">Table </w:t>
      </w:r>
      <w:fldSimple w:instr=" SEQ Table \* ARABIC ">
        <w:r w:rsidR="00482C8F">
          <w:rPr>
            <w:noProof/>
          </w:rPr>
          <w:t>1</w:t>
        </w:r>
      </w:fldSimple>
      <w:r>
        <w:br/>
        <w:t>Attributes and their corresponding levels used in the experiment</w:t>
      </w:r>
    </w:p>
    <w:p w14:paraId="36DDE886" w14:textId="0359BE29" w:rsidR="0026756C" w:rsidRDefault="0026756C" w:rsidP="0026756C">
      <w:pPr>
        <w:pStyle w:val="Paragraph"/>
        <w:spacing w:line="360" w:lineRule="auto"/>
        <w:ind w:firstLine="720"/>
        <w:jc w:val="both"/>
        <w:rPr>
          <w:lang w:val="en-US"/>
        </w:rPr>
      </w:pPr>
      <w:r w:rsidRPr="00E4272E">
        <w:rPr>
          <w:noProof/>
          <w:lang w:val="en-US"/>
        </w:rPr>
        <w:drawing>
          <wp:inline distT="0" distB="0" distL="0" distR="0" wp14:anchorId="24E0D7EE" wp14:editId="1659572D">
            <wp:extent cx="4572000" cy="2739390"/>
            <wp:effectExtent l="0" t="0" r="0" b="3810"/>
            <wp:docPr id="5722349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4900" name="Picture 1" descr="A screenshot of a table&#10;&#10;AI-generated content may be incorrect."/>
                    <pic:cNvPicPr/>
                  </pic:nvPicPr>
                  <pic:blipFill rotWithShape="1">
                    <a:blip r:embed="rId14"/>
                    <a:srcRect t="9412" r="1378"/>
                    <a:stretch>
                      <a:fillRect/>
                    </a:stretch>
                  </pic:blipFill>
                  <pic:spPr bwMode="auto">
                    <a:xfrm>
                      <a:off x="0" y="0"/>
                      <a:ext cx="4575819" cy="2741678"/>
                    </a:xfrm>
                    <a:prstGeom prst="rect">
                      <a:avLst/>
                    </a:prstGeom>
                    <a:ln>
                      <a:noFill/>
                    </a:ln>
                    <a:extLst>
                      <a:ext uri="{53640926-AAD7-44D8-BBD7-CCE9431645EC}">
                        <a14:shadowObscured xmlns:a14="http://schemas.microsoft.com/office/drawing/2010/main"/>
                      </a:ext>
                    </a:extLst>
                  </pic:spPr>
                </pic:pic>
              </a:graphicData>
            </a:graphic>
          </wp:inline>
        </w:drawing>
      </w:r>
    </w:p>
    <w:p w14:paraId="49F0547B" w14:textId="7B303477" w:rsidR="00EA7CB1" w:rsidRPr="00EA7CB1" w:rsidRDefault="00EA7CB1" w:rsidP="00F15126">
      <w:pPr>
        <w:spacing w:line="360" w:lineRule="auto"/>
        <w:rPr>
          <w:lang w:val="en-US"/>
        </w:rPr>
      </w:pPr>
    </w:p>
    <w:p w14:paraId="57FC3877" w14:textId="3ACB3CA5" w:rsidR="0026756C" w:rsidRPr="0020674A" w:rsidRDefault="00EF26DF" w:rsidP="00DD6E25">
      <w:pPr>
        <w:pStyle w:val="Paragraph"/>
        <w:spacing w:line="360" w:lineRule="auto"/>
        <w:ind w:firstLine="720"/>
        <w:rPr>
          <w:lang w:val="en-US"/>
        </w:rPr>
      </w:pPr>
      <w:r w:rsidRPr="009578AB">
        <w:rPr>
          <w:lang w:val="en-US"/>
        </w:rPr>
        <w:t xml:space="preserve">Before commencing the experiment, respondents were given a definition of each attribute, as well as an example to </w:t>
      </w:r>
      <w:r w:rsidR="00DD5C31">
        <w:rPr>
          <w:lang w:val="en-US"/>
        </w:rPr>
        <w:t>minimize</w:t>
      </w:r>
      <w:r w:rsidRPr="009578AB">
        <w:rPr>
          <w:lang w:val="en-US"/>
        </w:rPr>
        <w:t xml:space="preserve"> any ambiguity in interpretation. Respondents were also instructed to base each choice on the assumption that the alternative housing options were identical in every way aside from the attribute</w:t>
      </w:r>
      <w:r>
        <w:rPr>
          <w:lang w:val="en-US"/>
        </w:rPr>
        <w:t>s presented</w:t>
      </w:r>
      <w:r w:rsidRPr="009578AB">
        <w:rPr>
          <w:lang w:val="en-US"/>
        </w:rPr>
        <w:t xml:space="preserve">. </w:t>
      </w:r>
      <w:r w:rsidR="00DD5C31">
        <w:rPr>
          <w:lang w:val="en-US"/>
        </w:rPr>
        <w:t>When designing the experiment, i</w:t>
      </w:r>
      <w:r w:rsidR="00FE78F6">
        <w:rPr>
          <w:lang w:val="en-US"/>
        </w:rPr>
        <w:t>ncluding every combination of attribute levels in the construction of the choice sets, a full factorial design</w:t>
      </w:r>
      <w:r w:rsidR="00DD6E25">
        <w:rPr>
          <w:lang w:val="en-US"/>
        </w:rPr>
        <w:t>,</w:t>
      </w:r>
      <w:r w:rsidR="00FE78F6">
        <w:rPr>
          <w:lang w:val="en-US"/>
        </w:rPr>
        <w:t xml:space="preserve"> is often too large to be used in practice. </w:t>
      </w:r>
      <w:r w:rsidR="00FE78F6" w:rsidRPr="009578AB">
        <w:rPr>
          <w:lang w:val="en-US"/>
        </w:rPr>
        <w:t xml:space="preserve">To reduce the dimensionality of a full factorial design, a </w:t>
      </w:r>
      <w:commentRangeStart w:id="23"/>
      <w:commentRangeStart w:id="24"/>
      <w:r w:rsidR="00FE78F6" w:rsidRPr="009578AB">
        <w:rPr>
          <w:lang w:val="en-US"/>
        </w:rPr>
        <w:t>D-optimal subset was generated</w:t>
      </w:r>
      <w:commentRangeEnd w:id="23"/>
      <w:r w:rsidR="00031CB3" w:rsidRPr="009578AB">
        <w:rPr>
          <w:rStyle w:val="CommentReference"/>
          <w:sz w:val="24"/>
          <w:szCs w:val="24"/>
          <w:lang w:val="en-US"/>
        </w:rPr>
        <w:commentReference w:id="23"/>
      </w:r>
      <w:commentRangeEnd w:id="24"/>
      <w:r w:rsidR="00AB4876">
        <w:rPr>
          <w:rStyle w:val="CommentReference"/>
        </w:rPr>
        <w:commentReference w:id="24"/>
      </w:r>
      <w:r w:rsidR="00FE78F6" w:rsidRPr="009578AB">
        <w:rPr>
          <w:lang w:val="en-US"/>
        </w:rPr>
        <w:t xml:space="preserve"> that reduces dimensionality while maintaining statistical power</w:t>
      </w:r>
      <w:r w:rsidR="00FE78F6">
        <w:rPr>
          <w:lang w:val="en-US"/>
        </w:rPr>
        <w:t xml:space="preserve"> and balanced attribute representation </w:t>
      </w:r>
      <w:r w:rsidR="00FE78F6">
        <w:rPr>
          <w:lang w:val="en-US"/>
        </w:rPr>
        <w:fldChar w:fldCharType="begin"/>
      </w:r>
      <w:r w:rsidR="00FE78F6">
        <w:rPr>
          <w:lang w:val="en-US"/>
        </w:rPr>
        <w:instrText xml:space="preserve"> ADDIN ZOTERO_ITEM CSL_CITATION {"citationID":"FbDuyD4z","properties":{"formattedCitation":"(Lancsar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E78F6">
        <w:rPr>
          <w:lang w:val="en-US"/>
        </w:rPr>
        <w:fldChar w:fldCharType="separate"/>
      </w:r>
      <w:r w:rsidR="00FE78F6" w:rsidRPr="009B2588">
        <w:t>(Lancsar &amp; Louviere, 2008)</w:t>
      </w:r>
      <w:r w:rsidR="00FE78F6">
        <w:rPr>
          <w:lang w:val="en-US"/>
        </w:rPr>
        <w:fldChar w:fldCharType="end"/>
      </w:r>
      <w:r w:rsidR="00FE78F6" w:rsidRPr="009578AB">
        <w:rPr>
          <w:lang w:val="en-US"/>
        </w:rPr>
        <w:t>.</w:t>
      </w:r>
      <w:r w:rsidR="00DD6E25">
        <w:rPr>
          <w:lang w:val="en-US"/>
        </w:rPr>
        <w:t xml:space="preserve"> Furthermore, </w:t>
      </w:r>
      <w:commentRangeStart w:id="25"/>
      <w:commentRangeStart w:id="26"/>
      <w:r w:rsidR="00DD6E25">
        <w:rPr>
          <w:lang w:val="en-US"/>
        </w:rPr>
        <w:t>t</w:t>
      </w:r>
      <w:r w:rsidRPr="009578AB">
        <w:rPr>
          <w:lang w:val="en-US"/>
        </w:rPr>
        <w:t xml:space="preserve">he number of choice sets was limited to </w:t>
      </w:r>
      <w:r w:rsidR="00C662D8">
        <w:rPr>
          <w:lang w:val="en-US"/>
        </w:rPr>
        <w:t>ni</w:t>
      </w:r>
      <w:r w:rsidR="0026756C">
        <w:rPr>
          <w:lang w:val="en-US"/>
        </w:rPr>
        <w:t>n</w:t>
      </w:r>
      <w:r w:rsidR="00C662D8">
        <w:rPr>
          <w:lang w:val="en-US"/>
        </w:rPr>
        <w:t>e</w:t>
      </w:r>
      <w:commentRangeEnd w:id="25"/>
      <w:r w:rsidR="00031CB3" w:rsidRPr="009578AB">
        <w:rPr>
          <w:rStyle w:val="CommentReference"/>
          <w:sz w:val="24"/>
          <w:szCs w:val="24"/>
          <w:lang w:val="en-US"/>
        </w:rPr>
        <w:commentReference w:id="25"/>
      </w:r>
      <w:commentRangeEnd w:id="26"/>
      <w:r w:rsidR="00AB4876">
        <w:rPr>
          <w:rStyle w:val="CommentReference"/>
        </w:rPr>
        <w:commentReference w:id="26"/>
      </w:r>
      <w:r w:rsidRPr="009578AB">
        <w:rPr>
          <w:lang w:val="en-US"/>
        </w:rPr>
        <w:t xml:space="preserve"> in order to minimize the cognitive burden of the DCE while maximizing the statistical power of our tests</w:t>
      </w:r>
      <w:r>
        <w:rPr>
          <w:lang w:val="en-US"/>
        </w:rPr>
        <w:t xml:space="preserve"> </w:t>
      </w:r>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r w:rsidRPr="009578AB">
        <w:rPr>
          <w:lang w:val="en-US"/>
        </w:rPr>
        <w:t xml:space="preserve"> </w:t>
      </w:r>
      <w:commentRangeStart w:id="27"/>
      <w:commentRangeStart w:id="28"/>
      <w:r w:rsidR="0026756C" w:rsidRPr="009578AB">
        <w:rPr>
          <w:lang w:val="en-US"/>
        </w:rPr>
        <w:t>Figure 2 depicts a typical choice set presented to the respondents.</w:t>
      </w:r>
      <w:commentRangeEnd w:id="27"/>
      <w:r w:rsidR="00031CB3" w:rsidRPr="0020674A">
        <w:rPr>
          <w:rStyle w:val="CommentReference"/>
          <w:sz w:val="24"/>
          <w:szCs w:val="24"/>
          <w:lang w:val="en-US"/>
        </w:rPr>
        <w:commentReference w:id="27"/>
      </w:r>
      <w:commentRangeEnd w:id="28"/>
      <w:r w:rsidR="00AB4876">
        <w:rPr>
          <w:rStyle w:val="CommentReference"/>
        </w:rPr>
        <w:commentReference w:id="28"/>
      </w:r>
    </w:p>
    <w:p w14:paraId="7CC03810" w14:textId="77777777" w:rsidR="0026756C" w:rsidRDefault="0026756C" w:rsidP="0026756C">
      <w:pPr>
        <w:pStyle w:val="Paragraph"/>
        <w:keepNext/>
        <w:spacing w:line="360" w:lineRule="auto"/>
        <w:ind w:firstLine="720"/>
      </w:pPr>
      <w:r>
        <w:rPr>
          <w:noProof/>
          <w:lang w:val="en-US"/>
        </w:rPr>
        <w:drawing>
          <wp:inline distT="0" distB="0" distL="0" distR="0" wp14:anchorId="5DF366DA" wp14:editId="5DBDA936">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334D75D9" w14:textId="4EFE1846" w:rsidR="00E4272E" w:rsidRPr="006315DF" w:rsidRDefault="0026756C" w:rsidP="006315DF">
      <w:pPr>
        <w:pStyle w:val="Caption"/>
        <w:spacing w:line="360" w:lineRule="auto"/>
        <w:jc w:val="center"/>
      </w:pPr>
      <w:r>
        <w:t xml:space="preserve">Figure </w:t>
      </w:r>
      <w:fldSimple w:instr=" SEQ Figure \* ARABIC ">
        <w:r w:rsidR="00482C8F">
          <w:rPr>
            <w:noProof/>
          </w:rPr>
          <w:t>2</w:t>
        </w:r>
      </w:fldSimple>
      <w:r>
        <w:rPr>
          <w:noProof/>
        </w:rPr>
        <w:br/>
        <w:t>Example of choice set</w:t>
      </w:r>
    </w:p>
    <w:p w14:paraId="15759BF7" w14:textId="5FEC3216" w:rsidR="00A06334" w:rsidRDefault="00C662D8" w:rsidP="00F15126">
      <w:pPr>
        <w:pStyle w:val="Heading1"/>
        <w:rPr>
          <w:lang w:val="en-US"/>
        </w:rPr>
      </w:pPr>
      <w:r>
        <w:rPr>
          <w:lang w:val="en-US"/>
        </w:rPr>
        <w:t xml:space="preserve">Statistical </w:t>
      </w:r>
      <w:r w:rsidR="00940A32">
        <w:rPr>
          <w:lang w:val="en-US"/>
        </w:rPr>
        <w:t>analysis</w:t>
      </w:r>
    </w:p>
    <w:p w14:paraId="17D8D8F7" w14:textId="3E025199" w:rsidR="00F67B41" w:rsidRDefault="00DD5C31" w:rsidP="00F15126">
      <w:pPr>
        <w:pStyle w:val="Paragraph"/>
        <w:spacing w:line="360" w:lineRule="auto"/>
        <w:ind w:firstLine="720"/>
        <w:rPr>
          <w:lang w:val="en-US"/>
        </w:rPr>
      </w:pPr>
      <w:r>
        <w:rPr>
          <w:lang w:val="en-US"/>
        </w:rPr>
        <w:t>R</w:t>
      </w:r>
      <w:r w:rsidR="00F67B41" w:rsidRPr="00F67B41">
        <w:rPr>
          <w:lang w:val="en-US"/>
        </w:rPr>
        <w:t xml:space="preserve">espondent’s choices </w:t>
      </w:r>
      <w:r w:rsidR="00AF6A8D">
        <w:rPr>
          <w:lang w:val="en-US"/>
        </w:rPr>
        <w:t>were</w:t>
      </w:r>
      <w:r w:rsidR="00F67B41" w:rsidRPr="00F67B41">
        <w:rPr>
          <w:lang w:val="en-US"/>
        </w:rPr>
        <w:t xml:space="preserve"> modelled within </w:t>
      </w:r>
      <w:r w:rsidR="00AF6A8D">
        <w:rPr>
          <w:lang w:val="en-US"/>
        </w:rPr>
        <w:t>the</w:t>
      </w:r>
      <w:r w:rsidR="00F67B41" w:rsidRPr="00F67B41">
        <w:rPr>
          <w:lang w:val="en-US"/>
        </w:rPr>
        <w:t xml:space="preserve"> random utility theory framework, which assumes individuals choose options which maximize their utility based upon available options</w:t>
      </w:r>
      <w:r w:rsidR="00F67B41">
        <w:rPr>
          <w:lang w:val="en-US"/>
        </w:rPr>
        <w:t xml:space="preserve"> </w:t>
      </w:r>
      <w:r w:rsidR="00F67B41">
        <w:rPr>
          <w:lang w:val="en-US"/>
        </w:rPr>
        <w:fldChar w:fldCharType="begin"/>
      </w:r>
      <w:r w:rsidR="00F67B41">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67B41">
        <w:rPr>
          <w:lang w:val="en-US"/>
        </w:rPr>
        <w:fldChar w:fldCharType="separate"/>
      </w:r>
      <w:r w:rsidR="00EF3A72" w:rsidRPr="00EF3A72">
        <w:t>(Lancsar &amp; Louviere, 2008)</w:t>
      </w:r>
      <w:r w:rsidR="00F67B41">
        <w:rPr>
          <w:lang w:val="en-US"/>
        </w:rPr>
        <w:fldChar w:fldCharType="end"/>
      </w:r>
      <w:r w:rsidR="00F67B41">
        <w:rPr>
          <w:lang w:val="en-US"/>
        </w:rPr>
        <w:t xml:space="preserve">. </w:t>
      </w:r>
      <w:r w:rsidR="00F67B41" w:rsidRPr="00F67B41">
        <w:rPr>
          <w:lang w:val="en-US"/>
        </w:rPr>
        <w:t>An underlying utility model can then be estimated where the</w:t>
      </w:r>
      <w:r w:rsidR="004A6381">
        <w:rPr>
          <w:lang w:val="en-US"/>
        </w:rPr>
        <w:t xml:space="preserve"> </w:t>
      </w:r>
      <w:r w:rsidR="00F67B41" w:rsidRPr="00F67B41">
        <w:rPr>
          <w:lang w:val="en-US"/>
        </w:rPr>
        <w:t>utility that individual</w:t>
      </w:r>
      <w:r w:rsidR="00F67B41" w:rsidRPr="004A6381">
        <w:rPr>
          <w:i/>
          <w:iCs/>
          <w:lang w:val="en-US"/>
        </w:rPr>
        <w:t xml:space="preserve"> </w:t>
      </w:r>
      <w:proofErr w:type="spellStart"/>
      <w:r w:rsidR="00F67B41" w:rsidRPr="004A6381">
        <w:rPr>
          <w:i/>
          <w:iCs/>
          <w:lang w:val="en-US"/>
        </w:rPr>
        <w:t>i</w:t>
      </w:r>
      <w:proofErr w:type="spellEnd"/>
      <w:r w:rsidR="00F67B41" w:rsidRPr="00F67B41">
        <w:rPr>
          <w:lang w:val="en-US"/>
        </w:rPr>
        <w:t xml:space="preserve"> derives from alternative</w:t>
      </w:r>
      <w:r w:rsidR="00F67B41" w:rsidRPr="004A6381">
        <w:rPr>
          <w:i/>
          <w:iCs/>
          <w:lang w:val="en-US"/>
        </w:rPr>
        <w:t xml:space="preserve"> j</w:t>
      </w:r>
      <w:r w:rsidR="00F67B41" w:rsidRPr="00F67B41">
        <w:rPr>
          <w:lang w:val="en-US"/>
        </w:rPr>
        <w:t xml:space="preserve"> in a choice set</w:t>
      </w:r>
      <w:r w:rsidR="00F67B41" w:rsidRPr="004A6381">
        <w:rPr>
          <w:i/>
          <w:iCs/>
          <w:lang w:val="en-US"/>
        </w:rPr>
        <w:t xml:space="preserve"> t</w:t>
      </w:r>
      <w:r w:rsidR="00F67B41" w:rsidRPr="00F67B41">
        <w:rPr>
          <w:lang w:val="en-US"/>
        </w:rPr>
        <w:t xml:space="preserve"> is given by:</w:t>
      </w:r>
    </w:p>
    <w:p w14:paraId="229F034F" w14:textId="77777777" w:rsidR="00F67B41" w:rsidRDefault="00F67B41" w:rsidP="00F15126">
      <w:pPr>
        <w:pStyle w:val="Newparagraph"/>
        <w:spacing w:line="360" w:lineRule="auto"/>
        <w:rPr>
          <w:lang w:val="en-US"/>
        </w:rPr>
      </w:pPr>
    </w:p>
    <w:p w14:paraId="0C414ACE" w14:textId="56367DC6" w:rsidR="00D741F0"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6A6177CF" w14:textId="1165DFA4" w:rsidR="00F67B41" w:rsidRPr="00F67B41" w:rsidRDefault="00000000" w:rsidP="00F15126">
      <w:pPr>
        <w:pStyle w:val="Newparagraph"/>
        <w:spacing w:line="360" w:lineRule="auto"/>
        <w:rPr>
          <w:lang w:val="en-US"/>
        </w:rPr>
      </w:pPr>
      <m:oMathPara>
        <m:oMath>
          <m:r>
            <w:rPr>
              <w:rFonts w:ascii="Cambria Math" w:hAnsi="Cambria Math"/>
              <w:lang w:val="en-US"/>
            </w:rPr>
            <w:lastRenderedPageBreak/>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72935D99" w:rsidR="00F67B41"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1F228F51" w14:textId="77777777" w:rsidR="00D741F0" w:rsidRPr="00D741F0" w:rsidRDefault="00D741F0" w:rsidP="00F15126">
      <w:pPr>
        <w:pStyle w:val="Newparagraph"/>
        <w:spacing w:line="360" w:lineRule="auto"/>
        <w:rPr>
          <w:lang w:val="en-US"/>
        </w:rPr>
      </w:pPr>
    </w:p>
    <w:p w14:paraId="38E76CFB" w14:textId="0445E231" w:rsidR="00601D62" w:rsidRDefault="00F67B41" w:rsidP="00DD5C31">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w:t>
      </w:r>
    </w:p>
    <w:p w14:paraId="157A0A7E" w14:textId="0C44E5E4" w:rsidR="00601D62" w:rsidRPr="00DD5C31" w:rsidRDefault="00601D62" w:rsidP="00DD5C31">
      <w:pPr>
        <w:pStyle w:val="Paragraph"/>
        <w:spacing w:line="360" w:lineRule="auto"/>
        <w:rPr>
          <w:lang w:val="en-US"/>
        </w:rPr>
      </w:pPr>
      <w:r w:rsidRPr="00DD5C31">
        <w:rPr>
          <w:lang w:val="en-US"/>
        </w:rPr>
        <w:t xml:space="preserve">Under the multinomial logit (MNL) model, preferences are assumed to be homogeneous across respondents and the error terms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oMath>
      <w:r w:rsidR="00DD6E25" w:rsidRPr="00DD5C31">
        <w:rPr>
          <w:lang w:val="en-US"/>
        </w:rPr>
        <w:t xml:space="preserve"> </w:t>
      </w:r>
      <w:r w:rsidRPr="00DD5C31">
        <w:rPr>
          <w:lang w:val="en-US"/>
        </w:rPr>
        <w:t>are independently and identically distributed (</w:t>
      </w:r>
      <w:proofErr w:type="spellStart"/>
      <w:r w:rsidRPr="00DD5C31">
        <w:rPr>
          <w:lang w:val="en-US"/>
        </w:rPr>
        <w:t>i.i.d.</w:t>
      </w:r>
      <w:proofErr w:type="spellEnd"/>
      <w:r w:rsidRPr="00DD5C31">
        <w:rPr>
          <w:lang w:val="en-US"/>
        </w:rPr>
        <w:t xml:space="preserve">). The probability that individual </w:t>
      </w:r>
      <m:oMath>
        <m:r>
          <w:rPr>
            <w:rFonts w:ascii="Cambria Math" w:hAnsi="Cambria Math"/>
            <w:lang w:val="en-US"/>
          </w:rPr>
          <m:t>i</m:t>
        </m:r>
      </m:oMath>
      <w:r w:rsidR="00DD6E25" w:rsidRPr="00DD5C31">
        <w:rPr>
          <w:lang w:val="en-US"/>
        </w:rPr>
        <w:t xml:space="preserve"> </w:t>
      </w:r>
      <w:r w:rsidRPr="00DD5C31">
        <w:rPr>
          <w:lang w:val="en-US"/>
        </w:rPr>
        <w:t xml:space="preserve">chooses alternative </w:t>
      </w:r>
      <m:oMath>
        <m:r>
          <w:rPr>
            <w:rFonts w:ascii="Cambria Math" w:hAnsi="Cambria Math"/>
            <w:lang w:val="en-US"/>
          </w:rPr>
          <m:t>j</m:t>
        </m:r>
      </m:oMath>
      <w:r w:rsidR="00DD6E25" w:rsidRPr="00DD5C31">
        <w:rPr>
          <w:lang w:val="en-US"/>
        </w:rPr>
        <w:t xml:space="preserve"> </w:t>
      </w:r>
      <w:r w:rsidRPr="00DD5C31">
        <w:rPr>
          <w:lang w:val="en-US"/>
        </w:rPr>
        <w:t xml:space="preserve">in task </w:t>
      </w:r>
      <m:oMath>
        <m:r>
          <w:rPr>
            <w:rFonts w:ascii="Cambria Math" w:hAnsi="Cambria Math"/>
            <w:lang w:val="en-US"/>
          </w:rPr>
          <m:t>t</m:t>
        </m:r>
      </m:oMath>
      <w:r w:rsidR="00DD6E25" w:rsidRPr="00DD5C31">
        <w:rPr>
          <w:lang w:val="en-US"/>
        </w:rPr>
        <w:t xml:space="preserve"> </w:t>
      </w:r>
      <w:r w:rsidRPr="00DD5C31">
        <w:rPr>
          <w:lang w:val="en-US"/>
        </w:rPr>
        <w:t xml:space="preserve">is </w:t>
      </w:r>
      <w:commentRangeStart w:id="29"/>
      <w:commentRangeStart w:id="30"/>
      <w:r w:rsidRPr="00DD5C31">
        <w:rPr>
          <w:lang w:val="en-US"/>
        </w:rPr>
        <w:t>then</w:t>
      </w:r>
      <w:commentRangeEnd w:id="29"/>
      <w:r w:rsidR="00773C7A" w:rsidRPr="00DD5C31">
        <w:rPr>
          <w:rStyle w:val="CommentReference"/>
          <w:sz w:val="24"/>
          <w:szCs w:val="24"/>
          <w:lang w:val="en-US"/>
        </w:rPr>
        <w:commentReference w:id="29"/>
      </w:r>
      <w:commentRangeEnd w:id="30"/>
      <w:r w:rsidR="00AB4876">
        <w:rPr>
          <w:rStyle w:val="CommentReference"/>
        </w:rPr>
        <w:commentReference w:id="30"/>
      </w:r>
      <w:r w:rsidRPr="00DD5C31">
        <w:rPr>
          <w:lang w:val="en-US"/>
        </w:rPr>
        <w:t>:</w:t>
      </w:r>
    </w:p>
    <w:p w14:paraId="016A3150" w14:textId="77777777" w:rsidR="00601D62" w:rsidRDefault="00601D62" w:rsidP="00601D62">
      <w:pPr>
        <w:pStyle w:val="Newparagraph"/>
        <w:ind w:firstLine="0"/>
      </w:pPr>
    </w:p>
    <w:p w14:paraId="2BEFA987" w14:textId="72A509A6" w:rsidR="00601D62" w:rsidRPr="00D741F0" w:rsidRDefault="00000000" w:rsidP="00601D62">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itj</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it</m:t>
                          </m:r>
                        </m:sub>
                      </m:sSub>
                      <m:r>
                        <w:rPr>
                          <w:rFonts w:ascii="Cambria Math" w:hAnsi="Cambria Math"/>
                          <w:lang w:val="en-US"/>
                        </w:rPr>
                        <m:t>=j</m:t>
                      </m:r>
                    </m:e>
                  </m:d>
                </m:e>
              </m:func>
              <m:r>
                <w:rPr>
                  <w:rFonts w:ascii="Cambria Math" w:hAnsi="Cambria Math"/>
                  <w:lang w:val="en-US"/>
                </w:rPr>
                <m:t xml:space="preserve">=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den>
              </m:f>
              <m:r>
                <w:rPr>
                  <w:rFonts w:ascii="Cambria Math" w:hAnsi="Cambria Math"/>
                  <w:lang w:val="en-US"/>
                </w:rPr>
                <m:t>#(3)</m:t>
              </m:r>
            </m:e>
          </m:eqArr>
        </m:oMath>
      </m:oMathPara>
    </w:p>
    <w:p w14:paraId="4B8C4A6C" w14:textId="77777777" w:rsidR="00D741F0" w:rsidRPr="00601D62" w:rsidRDefault="00D741F0" w:rsidP="00D741F0">
      <w:pPr>
        <w:pStyle w:val="Newparagraph"/>
        <w:spacing w:line="360" w:lineRule="auto"/>
        <w:ind w:firstLine="0"/>
        <w:rPr>
          <w:lang w:val="en-US"/>
        </w:rPr>
      </w:pPr>
    </w:p>
    <w:p w14:paraId="6A92F95A" w14:textId="2A52636F" w:rsidR="00722B2D" w:rsidRPr="00722B2D" w:rsidRDefault="00601D62" w:rsidP="00CB6014">
      <w:pPr>
        <w:pStyle w:val="Paragraph"/>
        <w:spacing w:line="360" w:lineRule="auto"/>
        <w:ind w:firstLine="720"/>
      </w:pPr>
      <w:r>
        <w:t xml:space="preserve">While MNL models are commonly used in choice modelling, they are not well suited to uncover </w:t>
      </w:r>
      <w:commentRangeStart w:id="31"/>
      <w:commentRangeStart w:id="32"/>
      <w:r>
        <w:t>heterogeneity in preferences</w:t>
      </w:r>
      <w:commentRangeEnd w:id="31"/>
      <w:r w:rsidR="00773C7A">
        <w:rPr>
          <w:rStyle w:val="CommentReference"/>
          <w:sz w:val="24"/>
          <w:szCs w:val="24"/>
        </w:rPr>
        <w:commentReference w:id="31"/>
      </w:r>
      <w:commentRangeEnd w:id="32"/>
      <w:r w:rsidR="00AB4876">
        <w:rPr>
          <w:rStyle w:val="CommentReference"/>
        </w:rPr>
        <w:commentReference w:id="32"/>
      </w:r>
      <w:r>
        <w:t xml:space="preserve">, which is a central aim of our study. </w:t>
      </w:r>
      <w:r w:rsidR="00F67B41" w:rsidRPr="00F67B41">
        <w:rPr>
          <w:lang w:val="en-US"/>
        </w:rPr>
        <w:t xml:space="preserve">Recent </w:t>
      </w:r>
      <w:r w:rsidR="00DD6E25">
        <w:rPr>
          <w:lang w:val="en-US"/>
        </w:rPr>
        <w:t>housing studies</w:t>
      </w:r>
      <w:r w:rsidR="00F67B41" w:rsidRPr="00F67B41">
        <w:rPr>
          <w:lang w:val="en-US"/>
        </w:rPr>
        <w:t xml:space="preserve"> address this limitation by allowing utility coefficients to vary across individuals or groups</w:t>
      </w:r>
      <w:r w:rsidR="00DD6E25">
        <w:rPr>
          <w:lang w:val="en-US"/>
        </w:rPr>
        <w:t xml:space="preserve"> in their tests</w:t>
      </w:r>
      <w:r w:rsidR="00F67B41">
        <w:rPr>
          <w:lang w:val="en-US"/>
        </w:rPr>
        <w:t xml:space="preserve"> </w:t>
      </w:r>
      <w:r w:rsidR="00F67B41">
        <w:rPr>
          <w:lang w:val="en-US"/>
        </w:rPr>
        <w:fldChar w:fldCharType="begin"/>
      </w:r>
      <w:r w:rsidR="006B744D">
        <w:rPr>
          <w:lang w:val="en-US"/>
        </w:rPr>
        <w:instrText xml:space="preserve"> ADDIN ZOTERO_ITEM CSL_CITATION {"citationID":"wuWU5ytg","properties":{"unsorted":true,"formattedCitation":"(Caplan et al., 2021; Zhao et al., 2023; Ardeshiri et al., 2024; Aitken et al., 2024; Lee et al., 2025)","plainCitation":"(Caplan et al., 2021; Zhao et al., 2023; Ardeshiri et al., 2024; Aitken et al., 2024; Lee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B."},{"family":"Toll","given":"Kristopher"}],"issued":{"date-parts":[["2021",3]]},"citation-key":"caplanMeasuringHeterogeneousPreferences2021"}},{"id":2960,"uris":["http://zotero.org/users/3783483/items/3EY766UI"],"itemData":{"id":2960,"type":"article-journal","abstract":"Urban transportation systems involve thousands of individuals making choices between routes with multiple modes and transfers. For transportation system simulations to produce realistic results, modelers need to incorporate these users and their choices. Choice-based conjoint surveys provide an attractive solution for obtaining flexible utility models that can be used to predict choices for a wide variety of trips. In this study, we demonstrate an example using conjoint survey data of commuter mode choice in the Washington, D.C. metro area (N = 1651). We sample commuters who primarily drive and those that take transit. We examine preferences for different types of multimodal trips, including those with intramodal and intermodel transfers. We find that trips involving a bus transfer are the least preferred while both drivers and transit users both value metro similarly to driving. We also find that walking during transit trips is an important barrier, with the travel time penalty for walking being 60% higher than that of time in a vehicle. Our findings highlight the significance of accounting for differences in modal transfer types in transportation system simulations. Reducing arrival time uncertainty was not a significant factor in commuter mode choice, and commuters' value of time was similar across all vehicle types, suggesting that increasing the relative speed of transit modes may only have a marginal effect on commuter substitution away from personal vehicles.","container-title":"Systems Engineering","DOI":"10.1002/sys.21670","ISSN":"1520-6858","issue":"4","language":"en","note":"_eprint: https://onlinelibrary.wiley.com/doi/pdf/10.1002/sys.21670","page":"438-448","source":"Wiley Online Library","title":"Using conjoint analysis to incorporate heterogeneous preferences into multimodal transit trip simulations","volume":"26","author":[{"family":"Zhao","given":"Lujin"},{"family":"Szajnfarber","given":"Zoe"},{"family":"Broniatowski","given":"David"},{"family":"Helveston","given":"John Paul"}],"issued":{"date-parts":[["2023"]]},"citation-key":"zhaoUsingConjointAnalysis2023"}},{"id":4846,"uris":["http://zotero.org/users/3783483/items/TUE4V77N"],"itemData":{"id":4846,"type":"article-journal","abstract":"Exploring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6B744D" w:rsidRPr="00127537">
        <w:rPr>
          <w:lang w:val="sv-SE"/>
        </w:rPr>
        <w:instrText>n of a certain proportion of reused materials, provision of green facilities, availability of fu</w:instrText>
      </w:r>
      <w:r w:rsidR="006B744D" w:rsidRPr="006B744D">
        <w:rPr>
          <w:lang w:val="sv-SE"/>
        </w:rPr>
        <w:instrText xml:space="preserve">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F67B41">
        <w:rPr>
          <w:lang w:val="en-US"/>
        </w:rPr>
        <w:fldChar w:fldCharType="separate"/>
      </w:r>
      <w:r w:rsidR="00EF3A72" w:rsidRPr="00EF3A72">
        <w:rPr>
          <w:lang w:val="sv-SE"/>
        </w:rPr>
        <w:t>(Caplan et al., 2021; Zhao et al., 2023; Ardeshiri et al., 2024; Aitken et al., 2024; Lee et al., 2025)</w:t>
      </w:r>
      <w:r w:rsidR="00F67B41">
        <w:rPr>
          <w:lang w:val="en-US"/>
        </w:rPr>
        <w:fldChar w:fldCharType="end"/>
      </w:r>
      <w:r w:rsidR="00F67B41" w:rsidRPr="006B744D">
        <w:rPr>
          <w:lang w:val="sv-SE"/>
        </w:rPr>
        <w:t xml:space="preserve">. </w:t>
      </w:r>
      <w:r w:rsidR="00F67B41" w:rsidRPr="00F67B41">
        <w:rPr>
          <w:lang w:val="en-US"/>
        </w:rPr>
        <w:t>We follow</w:t>
      </w:r>
      <w:r w:rsidR="00C662D8">
        <w:rPr>
          <w:lang w:val="en-US"/>
        </w:rPr>
        <w:t>ed</w:t>
      </w:r>
      <w:r w:rsidR="00F67B41" w:rsidRPr="00F67B41">
        <w:rPr>
          <w:lang w:val="en-US"/>
        </w:rPr>
        <w:t xml:space="preserve"> this line of research and estimate mixed logit (ML) models, in which the utility coefficients β</w:t>
      </w:r>
      <w:proofErr w:type="spellStart"/>
      <w:r w:rsidR="00F67B41" w:rsidRPr="004A6381">
        <w:rPr>
          <w:i/>
          <w:iCs/>
          <w:lang w:val="en-US"/>
        </w:rPr>
        <w:t>i</w:t>
      </w:r>
      <w:proofErr w:type="spellEnd"/>
      <w:r w:rsidR="00F67B41" w:rsidRPr="00F67B41">
        <w:rPr>
          <w:lang w:val="en-US"/>
        </w:rPr>
        <w:t xml:space="preserve"> are allowed to vary randomly across 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F0CBB">
        <w:rPr>
          <w:lang w:val="en-US"/>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F0CBB">
        <w:rPr>
          <w:lang w:val="en-US"/>
        </w:rPr>
        <w:t>(McFadden &amp; Train, 2000)</w:t>
      </w:r>
      <w:r w:rsidR="006B744D">
        <w:rPr>
          <w:lang w:val="en-US"/>
        </w:rPr>
        <w:fldChar w:fldCharType="end"/>
      </w:r>
      <w:r>
        <w:rPr>
          <w:lang w:val="en-US"/>
        </w:rPr>
        <w:t xml:space="preserve">. </w:t>
      </w:r>
      <w:r w:rsidR="00722B2D">
        <w:t xml:space="preserve">Instead of assuming that all individuals share the same preference parameters, the mixed logit model allows each respondent to have their own vector of utility coefficients. These individual‐specific coefficients are treated as random draws from a population distribution with a mean vector </w:t>
      </w:r>
      <m:oMath>
        <m:r>
          <w:rPr>
            <w:rFonts w:ascii="Cambria Math" w:hAnsi="Cambria Math"/>
          </w:rPr>
          <m:t>β</m:t>
        </m:r>
      </m:oMath>
      <w:r w:rsidR="00722B2D">
        <w:t xml:space="preserve">and a covariance matrix </w:t>
      </w:r>
      <m:oMath>
        <m:r>
          <m:rPr>
            <m:sty m:val="p"/>
          </m:rPr>
          <w:rPr>
            <w:rFonts w:ascii="Cambria Math" w:hAnsi="Cambria Math"/>
          </w:rPr>
          <m:t>Σ</m:t>
        </m:r>
      </m:oMath>
      <w:r w:rsidR="00722B2D">
        <w:t>. The mean vector represents the average preferences in the sample, while the covariance matrix captures the extent to which preferences vary across individuals and the degree to which these random parameters may be correlated with one another.</w:t>
      </w:r>
    </w:p>
    <w:p w14:paraId="5D3A824B" w14:textId="39649359" w:rsidR="00C96CA5" w:rsidRDefault="00F67B41" w:rsidP="00F15126">
      <w:pPr>
        <w:pStyle w:val="Paragraph"/>
        <w:spacing w:line="360" w:lineRule="auto"/>
        <w:rPr>
          <w:lang w:val="en-US"/>
        </w:rPr>
      </w:pPr>
      <w:r w:rsidRPr="00F67B41">
        <w:rPr>
          <w:lang w:val="en-US"/>
        </w:rPr>
        <w:lastRenderedPageBreak/>
        <w:t xml:space="preserve">The mixed logit model captures heterogeneity by integrating over the distribution of random coefficients using </w:t>
      </w:r>
      <w:commentRangeStart w:id="33"/>
      <w:commentRangeStart w:id="34"/>
      <w:r w:rsidRPr="00F67B41">
        <w:rPr>
          <w:lang w:val="en-US"/>
        </w:rPr>
        <w:t>simulated maximum likelihood</w:t>
      </w:r>
      <w:commentRangeEnd w:id="33"/>
      <w:r w:rsidR="00773C7A">
        <w:rPr>
          <w:rStyle w:val="CommentReference"/>
          <w:sz w:val="24"/>
          <w:szCs w:val="24"/>
          <w:lang w:val="en-US"/>
        </w:rPr>
        <w:commentReference w:id="33"/>
      </w:r>
      <w:commentRangeEnd w:id="34"/>
      <w:r w:rsidR="00AB4876">
        <w:rPr>
          <w:rStyle w:val="CommentReference"/>
        </w:rPr>
        <w:commentReference w:id="34"/>
      </w:r>
    </w:p>
    <w:p w14:paraId="6DE53F8D" w14:textId="77777777" w:rsidR="0003508A" w:rsidRPr="0003508A" w:rsidRDefault="0003508A" w:rsidP="0003508A">
      <w:pPr>
        <w:pStyle w:val="Newparagraph"/>
        <w:rPr>
          <w:lang w:val="en-US"/>
        </w:rPr>
      </w:pPr>
    </w:p>
    <w:tbl>
      <w:tblPr>
        <w:tblStyle w:val="TableGrid"/>
        <w:tblW w:w="0" w:type="auto"/>
        <w:tblLook w:val="04A0" w:firstRow="1" w:lastRow="0" w:firstColumn="1" w:lastColumn="0" w:noHBand="0" w:noVBand="1"/>
      </w:tblPr>
      <w:tblGrid>
        <w:gridCol w:w="1615"/>
        <w:gridCol w:w="5310"/>
        <w:gridCol w:w="1564"/>
      </w:tblGrid>
      <w:tr w:rsidR="0003508A" w14:paraId="1CA8ECFD" w14:textId="77777777" w:rsidTr="0003508A">
        <w:tc>
          <w:tcPr>
            <w:tcW w:w="1615" w:type="dxa"/>
            <w:tcBorders>
              <w:top w:val="nil"/>
              <w:left w:val="nil"/>
              <w:bottom w:val="nil"/>
              <w:right w:val="nil"/>
            </w:tcBorders>
          </w:tcPr>
          <w:p w14:paraId="3D6CE43E" w14:textId="77777777" w:rsidR="0003508A" w:rsidRDefault="0003508A" w:rsidP="0003508A">
            <w:pPr>
              <w:pStyle w:val="Newparagraph"/>
              <w:ind w:firstLine="0"/>
              <w:rPr>
                <w:lang w:val="en-US"/>
              </w:rPr>
            </w:pPr>
          </w:p>
        </w:tc>
        <w:tc>
          <w:tcPr>
            <w:tcW w:w="5310" w:type="dxa"/>
            <w:tcBorders>
              <w:top w:val="nil"/>
              <w:left w:val="nil"/>
              <w:bottom w:val="nil"/>
              <w:right w:val="nil"/>
            </w:tcBorders>
          </w:tcPr>
          <w:p w14:paraId="157CF61C" w14:textId="78F290A9" w:rsidR="0003508A" w:rsidRPr="0003508A" w:rsidRDefault="00000000" w:rsidP="0003508A">
            <w:pPr>
              <w:pStyle w:val="Newparagraph"/>
              <w:ind w:firstLine="0"/>
              <w:jc w:val="center"/>
              <w:rPr>
                <w:lang w:val="en-US"/>
              </w:rPr>
            </w:pPr>
            <m:oMathPara>
              <m:oMathParaPr>
                <m:jc m:val="center"/>
              </m:oMathParaPr>
              <m:oMath>
                <m:sSub>
                  <m:sSubPr>
                    <m:ctrlPr>
                      <w:rPr>
                        <w:rFonts w:ascii="Cambria Math" w:hAnsi="Cambria Math"/>
                        <w:i/>
                        <w:lang w:val="en-US"/>
                      </w:rPr>
                    </m:ctrlPr>
                  </m:sSubPr>
                  <m:e>
                    <m:r>
                      <w:rPr>
                        <w:rStyle w:val="HTMLCode"/>
                        <w:rFonts w:ascii="Cambria Math" w:hAnsi="Cambria Math"/>
                      </w:rPr>
                      <m:t>P</m:t>
                    </m:r>
                  </m:e>
                  <m:sub>
                    <m:r>
                      <w:rPr>
                        <w:rFonts w:ascii="Cambria Math" w:hAnsi="Cambria Math"/>
                        <w:lang w:val="en-US"/>
                      </w:rPr>
                      <m:t>itj</m:t>
                    </m:r>
                  </m:sub>
                </m:sSub>
                <m:r>
                  <w:rPr>
                    <w:rFonts w:ascii="Cambria Math" w:hAnsi="Cambria Math"/>
                    <w:lang w:val="en-US"/>
                  </w:rPr>
                  <m:t xml:space="preserve">= </m:t>
                </m:r>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den>
                    </m:f>
                  </m:e>
                </m:nary>
                <m:r>
                  <w:rPr>
                    <w:rFonts w:ascii="Cambria Math" w:hAnsi="Cambria Math"/>
                    <w:lang w:val="en-US"/>
                  </w:rPr>
                  <m:t xml:space="preserve"> f</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i </m:t>
                        </m:r>
                      </m:sub>
                    </m:sSub>
                  </m:e>
                </m:d>
                <m:r>
                  <w:rPr>
                    <w:rFonts w:ascii="Cambria Math" w:hAnsi="Cambria Math"/>
                    <w:lang w:val="en-US"/>
                  </w:rPr>
                  <m:t xml:space="preserve"> β,</m:t>
                </m:r>
                <m:r>
                  <m:rPr>
                    <m:sty m:val="p"/>
                  </m:rPr>
                  <w:rPr>
                    <w:rFonts w:ascii="Cambria Math" w:hAnsi="Cambria Math"/>
                    <w:lang w:val="en-US"/>
                  </w:rPr>
                  <m:t>Σ) d</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oMath>
            </m:oMathPara>
          </w:p>
        </w:tc>
        <w:tc>
          <w:tcPr>
            <w:tcW w:w="1564" w:type="dxa"/>
            <w:tcBorders>
              <w:top w:val="nil"/>
              <w:left w:val="nil"/>
              <w:bottom w:val="nil"/>
              <w:right w:val="nil"/>
            </w:tcBorders>
            <w:vAlign w:val="center"/>
          </w:tcPr>
          <w:p w14:paraId="75FA4152" w14:textId="571C3411" w:rsidR="0003508A" w:rsidRDefault="0003508A" w:rsidP="0003508A">
            <w:pPr>
              <w:pStyle w:val="Newparagraph"/>
              <w:ind w:firstLine="0"/>
              <w:jc w:val="right"/>
              <w:rPr>
                <w:lang w:val="en-US"/>
              </w:rPr>
            </w:pPr>
            <w:r>
              <w:rPr>
                <w:lang w:val="en-US"/>
              </w:rPr>
              <w:t>(4)</w:t>
            </w:r>
          </w:p>
        </w:tc>
      </w:tr>
    </w:tbl>
    <w:p w14:paraId="69864644" w14:textId="2945E1C2" w:rsidR="00C96CA5" w:rsidRDefault="00C96CA5" w:rsidP="00F15126">
      <w:pPr>
        <w:pStyle w:val="Paragraph"/>
        <w:spacing w:line="360" w:lineRule="auto"/>
        <w:rPr>
          <w:lang w:val="en-US"/>
        </w:rPr>
      </w:pPr>
    </w:p>
    <w:p w14:paraId="609CA723" w14:textId="15F4C33A" w:rsidR="00F67B41" w:rsidRPr="00F67B41" w:rsidRDefault="00F67B41" w:rsidP="00722B2D">
      <w:pPr>
        <w:pStyle w:val="Paragraph"/>
        <w:spacing w:line="360" w:lineRule="auto"/>
        <w:rPr>
          <w:lang w:val="en-US"/>
        </w:rPr>
      </w:pPr>
      <w:r w:rsidRPr="00F67B41">
        <w:rPr>
          <w:lang w:val="en-US"/>
        </w:rPr>
        <w:t xml:space="preserve">Because this integral has </w:t>
      </w:r>
      <w:proofErr w:type="gramStart"/>
      <w:r w:rsidRPr="00F67B41">
        <w:rPr>
          <w:lang w:val="en-US"/>
        </w:rPr>
        <w:t>no</w:t>
      </w:r>
      <w:proofErr w:type="gramEnd"/>
      <w:r w:rsidRPr="00F67B41">
        <w:rPr>
          <w:lang w:val="en-US"/>
        </w:rPr>
        <w:t xml:space="preserve"> closed-form solution, </w:t>
      </w:r>
      <w:r w:rsidR="004639E6">
        <w:rPr>
          <w:lang w:val="en-US"/>
        </w:rPr>
        <w:t>it was approximated</w:t>
      </w:r>
      <w:r w:rsidRPr="00F67B41">
        <w:rPr>
          <w:lang w:val="en-US"/>
        </w:rPr>
        <w:t xml:space="preserve"> using simulation</w:t>
      </w:r>
      <w:r w:rsidR="00722B2D">
        <w:rPr>
          <w:lang w:val="en-US"/>
        </w:rPr>
        <w:t>.</w:t>
      </w:r>
      <w:r w:rsidR="00722B2D" w:rsidRPr="00722B2D">
        <w:t xml:space="preserve"> </w:t>
      </w:r>
      <w:r w:rsidR="00722B2D">
        <w:t xml:space="preserve">The simulated choice probability for an alternative is then obtained by averaging these draw-specific probabilities across all simulation draws. The log-likelihood function is constructed from these simulated probabilities by matching them to the alternatives </w:t>
      </w:r>
      <w:proofErr w:type="gramStart"/>
      <w:r w:rsidR="00722B2D">
        <w:t>actually chosen</w:t>
      </w:r>
      <w:proofErr w:type="gramEnd"/>
      <w:r w:rsidR="00722B2D">
        <w:t xml:space="preserve"> by each respondent across all choice tasks. This simulated log-likelihood is then maximized to recover the mean coefficients and covariance parameters of the mixed logit model. In our application, all non-monetary attributes were specified as random with </w:t>
      </w:r>
      <w:commentRangeStart w:id="35"/>
      <w:commentRangeStart w:id="36"/>
      <w:r w:rsidR="00722B2D">
        <w:t>normal distributions</w:t>
      </w:r>
      <w:commentRangeEnd w:id="35"/>
      <w:r w:rsidR="00C01B54">
        <w:rPr>
          <w:rStyle w:val="CommentReference"/>
          <w:sz w:val="24"/>
          <w:szCs w:val="24"/>
        </w:rPr>
        <w:commentReference w:id="35"/>
      </w:r>
      <w:commentRangeEnd w:id="36"/>
      <w:r w:rsidR="00AB4876">
        <w:rPr>
          <w:rStyle w:val="CommentReference"/>
        </w:rPr>
        <w:commentReference w:id="36"/>
      </w:r>
      <w:r w:rsidR="00722B2D">
        <w:t xml:space="preserve">, while </w:t>
      </w:r>
      <w:commentRangeStart w:id="37"/>
      <w:commentRangeStart w:id="38"/>
      <w:r w:rsidR="00722B2D">
        <w:t>the price coefficient was fixed</w:t>
      </w:r>
      <w:commentRangeEnd w:id="37"/>
      <w:r w:rsidR="00DE3509">
        <w:rPr>
          <w:rStyle w:val="CommentReference"/>
          <w:sz w:val="24"/>
          <w:szCs w:val="24"/>
        </w:rPr>
        <w:commentReference w:id="37"/>
      </w:r>
      <w:commentRangeEnd w:id="38"/>
      <w:r w:rsidR="00A0779B">
        <w:rPr>
          <w:rStyle w:val="CommentReference"/>
        </w:rPr>
        <w:commentReference w:id="38"/>
      </w:r>
      <w:r w:rsidR="00722B2D">
        <w:t xml:space="preserve"> to ensure consistent derivation of willingness to pay measures. We also allowed the random parameters to be fully correlated, enabling the model to capture systematic relationships in preferences across attributes.</w:t>
      </w:r>
      <w:r w:rsidR="00626695" w:rsidRPr="00626695">
        <w:rPr>
          <w:lang w:val="en-US"/>
        </w:rPr>
        <w:t xml:space="preserve"> </w:t>
      </w:r>
      <w:r w:rsidR="00626695">
        <w:rPr>
          <w:lang w:val="en-US"/>
        </w:rPr>
        <w:t>M</w:t>
      </w:r>
      <w:r w:rsidR="00626695" w:rsidRPr="00F67B41">
        <w:rPr>
          <w:lang w:val="en-US"/>
        </w:rPr>
        <w:t xml:space="preserve">odels </w:t>
      </w:r>
      <w:r w:rsidR="00626695">
        <w:rPr>
          <w:lang w:val="en-US"/>
        </w:rPr>
        <w:t>were</w:t>
      </w:r>
      <w:r w:rsidR="00626695" w:rsidRPr="00F67B41">
        <w:rPr>
          <w:lang w:val="en-US"/>
        </w:rPr>
        <w:t xml:space="preserve"> estimated in R using the </w:t>
      </w:r>
      <w:proofErr w:type="spellStart"/>
      <w:r w:rsidR="00626695" w:rsidRPr="00F67B41">
        <w:rPr>
          <w:lang w:val="en-US"/>
        </w:rPr>
        <w:t>logitr</w:t>
      </w:r>
      <w:proofErr w:type="spellEnd"/>
      <w:r w:rsidR="00626695" w:rsidRPr="00F67B41">
        <w:rPr>
          <w:lang w:val="en-US"/>
        </w:rPr>
        <w:t xml:space="preserve"> package</w:t>
      </w:r>
      <w:r w:rsidR="00626695">
        <w:rPr>
          <w:lang w:val="en-US"/>
        </w:rPr>
        <w:t xml:space="preserve"> </w:t>
      </w:r>
      <w:r w:rsidR="00626695">
        <w:rPr>
          <w:lang w:val="en-US"/>
        </w:rPr>
        <w:fldChar w:fldCharType="begin"/>
      </w:r>
      <w:r w:rsidR="00626695">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sidR="00626695">
        <w:rPr>
          <w:lang w:val="en-US"/>
        </w:rPr>
        <w:fldChar w:fldCharType="separate"/>
      </w:r>
      <w:r w:rsidR="00626695" w:rsidRPr="00EF3A72">
        <w:t>(Helveston, 2023)</w:t>
      </w:r>
      <w:r w:rsidR="00626695">
        <w:rPr>
          <w:lang w:val="en-US"/>
        </w:rPr>
        <w:fldChar w:fldCharType="end"/>
      </w:r>
      <w:r w:rsidR="00626695" w:rsidRPr="00F67B41">
        <w:rPr>
          <w:lang w:val="en-US"/>
        </w:rPr>
        <w:t xml:space="preserve"> </w:t>
      </w:r>
      <w:r w:rsidR="00626695">
        <w:rPr>
          <w:lang w:val="en-US"/>
        </w:rPr>
        <w:t>using</w:t>
      </w:r>
      <w:r w:rsidR="00626695" w:rsidRPr="00F67B41">
        <w:rPr>
          <w:lang w:val="en-US"/>
        </w:rPr>
        <w:t xml:space="preserve"> 100</w:t>
      </w:r>
      <w:r w:rsidR="00626695">
        <w:rPr>
          <w:lang w:val="en-US"/>
        </w:rPr>
        <w:t>0</w:t>
      </w:r>
      <w:r w:rsidR="00626695" w:rsidRPr="00F67B41">
        <w:rPr>
          <w:lang w:val="en-US"/>
        </w:rPr>
        <w:t xml:space="preserve"> Sobol draws and multiple random starting values to ensure convergence to the global maximum</w:t>
      </w:r>
      <w:r w:rsidR="00626695">
        <w:rPr>
          <w:lang w:val="en-US"/>
        </w:rPr>
        <w:t xml:space="preserve"> </w:t>
      </w:r>
      <w:r w:rsidR="00626695">
        <w:rPr>
          <w:lang w:val="en-US"/>
        </w:rPr>
        <w:fldChar w:fldCharType="begin"/>
      </w:r>
      <w:r w:rsidR="00626695">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626695">
        <w:rPr>
          <w:lang w:val="en-US"/>
        </w:rPr>
        <w:fldChar w:fldCharType="separate"/>
      </w:r>
      <w:r w:rsidR="00626695" w:rsidRPr="00EF3A72">
        <w:t>(Train, 2003)</w:t>
      </w:r>
      <w:r w:rsidR="00626695">
        <w:rPr>
          <w:lang w:val="en-US"/>
        </w:rPr>
        <w:fldChar w:fldCharType="end"/>
      </w:r>
      <w:r w:rsidR="00626695" w:rsidRPr="00F67B41">
        <w:rPr>
          <w:lang w:val="en-US"/>
        </w:rPr>
        <w:t>.</w:t>
      </w:r>
    </w:p>
    <w:p w14:paraId="74C4D41C" w14:textId="07818F39" w:rsidR="00F67B41" w:rsidRDefault="00F67B41" w:rsidP="00F15126">
      <w:pPr>
        <w:pStyle w:val="Paragraph"/>
        <w:spacing w:line="360" w:lineRule="auto"/>
        <w:rPr>
          <w:lang w:val="en-US"/>
        </w:rPr>
      </w:pPr>
      <w:r w:rsidRPr="00F67B41">
        <w:rPr>
          <w:lang w:val="en-US"/>
        </w:rPr>
        <w:t>We then use our price coefficient to compute monetary trade-offs for non-cost attributes. First, we estimate</w:t>
      </w:r>
      <w:r w:rsidR="00C662D8">
        <w:rPr>
          <w:lang w:val="en-US"/>
        </w:rPr>
        <w:t>d</w:t>
      </w:r>
      <w:r w:rsidRPr="00F67B41">
        <w:rPr>
          <w:lang w:val="en-US"/>
        </w:rPr>
        <w:t xml:space="preserve"> </w:t>
      </w:r>
      <w:commentRangeStart w:id="39"/>
      <w:commentRangeStart w:id="40"/>
      <w:r w:rsidRPr="00F67B41">
        <w:rPr>
          <w:lang w:val="en-US"/>
        </w:rPr>
        <w:t>marginal rate of substitution (MRS)</w:t>
      </w:r>
      <w:commentRangeEnd w:id="39"/>
      <w:r w:rsidR="00DE3509" w:rsidRPr="00F67B41">
        <w:rPr>
          <w:rStyle w:val="CommentReference"/>
          <w:sz w:val="24"/>
          <w:szCs w:val="24"/>
          <w:lang w:val="en-US"/>
        </w:rPr>
        <w:commentReference w:id="39"/>
      </w:r>
      <w:commentRangeEnd w:id="40"/>
      <w:r w:rsidR="00A0779B">
        <w:rPr>
          <w:rStyle w:val="CommentReference"/>
        </w:rPr>
        <w:commentReference w:id="40"/>
      </w:r>
      <w:r w:rsidRPr="00F67B41">
        <w:rPr>
          <w:lang w:val="en-US"/>
        </w:rPr>
        <w:t xml:space="preserve"> for each attribute, where the MRS for attribute</w:t>
      </w:r>
      <w:r w:rsidRPr="00DD6E25">
        <w:rPr>
          <w:i/>
          <w:iCs/>
          <w:lang w:val="en-US"/>
        </w:rPr>
        <w:t xml:space="preserve"> k</w:t>
      </w:r>
      <w:r w:rsidRPr="00F67B41">
        <w:rPr>
          <w:lang w:val="en-US"/>
        </w:rPr>
        <w:t xml:space="preserve"> </w:t>
      </w:r>
      <w:r w:rsidR="00C662D8">
        <w:rPr>
          <w:lang w:val="en-US"/>
        </w:rPr>
        <w:t>was</w:t>
      </w:r>
      <w:r w:rsidRPr="00F67B41">
        <w:rPr>
          <w:lang w:val="en-US"/>
        </w:rPr>
        <w:t xml:space="preserve"> calculated as:</w:t>
      </w:r>
    </w:p>
    <w:p w14:paraId="13AB8B8E" w14:textId="0E6C780F" w:rsidR="00351932" w:rsidRPr="00D741F0" w:rsidRDefault="00000000" w:rsidP="00AF6A8D">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den>
              </m:f>
              <m:r>
                <w:rPr>
                  <w:rFonts w:ascii="Cambria Math" w:hAnsi="Cambria Math"/>
                  <w:lang w:val="en-US"/>
                </w:rPr>
                <m:t>#(5)</m:t>
              </m:r>
            </m:e>
          </m:eqArr>
        </m:oMath>
      </m:oMathPara>
    </w:p>
    <w:p w14:paraId="6DE72C2A" w14:textId="77777777" w:rsidR="00D741F0" w:rsidRPr="00D741F0" w:rsidRDefault="00D741F0" w:rsidP="00AF6A8D">
      <w:pPr>
        <w:pStyle w:val="Newparagraph"/>
        <w:spacing w:line="360" w:lineRule="auto"/>
        <w:rPr>
          <w:lang w:val="en-US"/>
        </w:rPr>
      </w:pPr>
    </w:p>
    <w:p w14:paraId="51B05115" w14:textId="2DC48231" w:rsidR="00CF1623" w:rsidRDefault="00E422B8" w:rsidP="00F15126">
      <w:pPr>
        <w:pStyle w:val="Paragraph"/>
        <w:spacing w:line="360" w:lineRule="auto"/>
        <w:rPr>
          <w:lang w:val="en-US"/>
        </w:rPr>
      </w:pPr>
      <w:r w:rsidRPr="00F67B41">
        <w:rPr>
          <w:lang w:val="en-US"/>
        </w:rPr>
        <w:t>W</w:t>
      </w:r>
      <w:r w:rsidR="00F67B41" w:rsidRPr="00F67B41">
        <w:rPr>
          <w:lang w:val="en-US"/>
        </w:rPr>
        <w:t>here</w:t>
      </w:r>
      <w:r>
        <w:rPr>
          <w:lang w:val="en-US"/>
        </w:rPr>
        <w:t xml:space="preserve"> </w:t>
      </w:r>
      <m:oMath>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oMath>
      <w:r>
        <w:rPr>
          <w:lang w:val="en-US"/>
        </w:rPr>
        <w:t xml:space="preserve"> </w:t>
      </w:r>
      <w:r w:rsidR="009D53A5" w:rsidRPr="009D53A5">
        <w:rPr>
          <w:i/>
          <w:iCs/>
          <w:lang w:val="en-US"/>
        </w:rPr>
        <w:t>price</w:t>
      </w:r>
      <w:r w:rsidR="00F67B41" w:rsidRPr="00F67B41">
        <w:rPr>
          <w:lang w:val="en-US"/>
        </w:rPr>
        <w:t xml:space="preserve"> is the estimated coefficient on the </w:t>
      </w:r>
      <w:r w:rsidR="009D53A5">
        <w:rPr>
          <w:lang w:val="en-US"/>
        </w:rPr>
        <w:t>price</w:t>
      </w:r>
      <w:r w:rsidR="00F67B41" w:rsidRPr="00F67B41">
        <w:rPr>
          <w:lang w:val="en-US"/>
        </w:rPr>
        <w:t xml:space="preserve"> attribute.</w:t>
      </w:r>
      <w:r w:rsidR="00DD6E25">
        <w:rPr>
          <w:lang w:val="en-US"/>
        </w:rPr>
        <w:t xml:space="preserve">  </w:t>
      </w:r>
      <w:commentRangeStart w:id="41"/>
      <w:commentRangeStart w:id="42"/>
      <w:r w:rsidR="00DD6E25">
        <w:rPr>
          <w:lang w:val="en-US"/>
        </w:rPr>
        <w:t xml:space="preserve">To account for interaction terms with socio-demographic variables, the MRS for attribute </w:t>
      </w:r>
      <w:r w:rsidR="00DD6E25" w:rsidRPr="00DD6E25">
        <w:rPr>
          <w:i/>
          <w:iCs/>
          <w:lang w:val="en-US"/>
        </w:rPr>
        <w:t>k</w:t>
      </w:r>
      <w:r w:rsidR="00DD6E25">
        <w:rPr>
          <w:lang w:val="en-US"/>
        </w:rPr>
        <w:t xml:space="preserve"> and</w:t>
      </w:r>
      <w:r w:rsidR="00F67B41" w:rsidRPr="00F67B41">
        <w:rPr>
          <w:lang w:val="en-US"/>
        </w:rPr>
        <w:t xml:space="preserve"> </w:t>
      </w:r>
      <w:r w:rsidR="00DD6E25">
        <w:rPr>
          <w:lang w:val="en-US"/>
        </w:rPr>
        <w:t xml:space="preserve">individual characteristic </w:t>
      </w:r>
      <w:r w:rsidR="00DD6E25" w:rsidRPr="00DD6E25">
        <w:rPr>
          <w:i/>
          <w:iCs/>
          <w:lang w:val="en-US"/>
        </w:rPr>
        <w:t>z</w:t>
      </w:r>
      <w:r w:rsidR="00DD6E25">
        <w:rPr>
          <w:lang w:val="en-US"/>
        </w:rPr>
        <w:t xml:space="preserve"> was calculated as:</w:t>
      </w:r>
      <w:commentRangeEnd w:id="41"/>
      <w:r w:rsidR="00DE3509">
        <w:rPr>
          <w:rStyle w:val="CommentReference"/>
          <w:sz w:val="24"/>
          <w:szCs w:val="24"/>
          <w:lang w:val="en-US"/>
        </w:rPr>
        <w:commentReference w:id="41"/>
      </w:r>
      <w:commentRangeEnd w:id="42"/>
      <w:r w:rsidR="00A0779B">
        <w:rPr>
          <w:rStyle w:val="CommentReference"/>
        </w:rPr>
        <w:commentReference w:id="42"/>
      </w:r>
    </w:p>
    <w:p w14:paraId="0F91B76C" w14:textId="45BD96EF" w:rsidR="00CF1623" w:rsidRPr="00D741F0" w:rsidRDefault="00000000" w:rsidP="00F15126">
      <w:pPr>
        <w:pStyle w:val="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price,z </m:t>
                      </m:r>
                    </m:sub>
                  </m:sSub>
                </m:den>
              </m:f>
              <m:r>
                <w:rPr>
                  <w:rFonts w:ascii="Cambria Math" w:hAnsi="Cambria Math"/>
                  <w:lang w:val="en-US"/>
                </w:rPr>
                <m:t>#(6)</m:t>
              </m:r>
            </m:e>
          </m:eqArr>
        </m:oMath>
      </m:oMathPara>
    </w:p>
    <w:p w14:paraId="420E9E14" w14:textId="77777777" w:rsidR="00D741F0" w:rsidRPr="00D741F0" w:rsidRDefault="00D741F0" w:rsidP="00D741F0">
      <w:pPr>
        <w:pStyle w:val="Newparagraph"/>
        <w:rPr>
          <w:lang w:val="en-US"/>
        </w:rPr>
      </w:pPr>
    </w:p>
    <w:p w14:paraId="05BA1A0F" w14:textId="77F59D11" w:rsidR="00F67B41" w:rsidRPr="00E422B8" w:rsidRDefault="004639E6" w:rsidP="00F15126">
      <w:pPr>
        <w:pStyle w:val="Paragraph"/>
        <w:spacing w:line="360" w:lineRule="auto"/>
        <w:rPr>
          <w:lang w:val="en-US"/>
        </w:rPr>
      </w:pPr>
      <w:r>
        <w:rPr>
          <w:lang w:val="en-US"/>
        </w:rPr>
        <w:t xml:space="preserve">We followed </w:t>
      </w:r>
      <w:r>
        <w:rPr>
          <w:lang w:val="en-US"/>
        </w:rPr>
        <w:fldChar w:fldCharType="begin"/>
      </w:r>
      <w:r>
        <w:rPr>
          <w:lang w:val="en-US"/>
        </w:rPr>
        <w:instrText xml:space="preserve"> ADDIN ZOTERO_ITEM CSL_CITATION {"citationID":"2dzwgFI9","properties":{"formattedCitation":"(Caplan et al., 2021)","plainCitation":"(Caplan et al., 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B."},{"family":"Toll","given":"Kristopher"}],"issued":{"date-parts":[["2021",3]]},"citation-key":"caplanMeasuringHeterogeneousPreferences2021"}}],"schema":"https://github.com/citation-style-language/schema/raw/master/csl-citation.json"} </w:instrText>
      </w:r>
      <w:r>
        <w:rPr>
          <w:lang w:val="en-US"/>
        </w:rPr>
        <w:fldChar w:fldCharType="separate"/>
      </w:r>
      <w:r w:rsidRPr="004639E6">
        <w:t xml:space="preserve">Caplan et al. </w:t>
      </w:r>
      <w:r>
        <w:t>(</w:t>
      </w:r>
      <w:r w:rsidRPr="004639E6">
        <w:t>2021)</w:t>
      </w:r>
      <w:r>
        <w:rPr>
          <w:lang w:val="en-US"/>
        </w:rPr>
        <w:fldChar w:fldCharType="end"/>
      </w:r>
      <w:r>
        <w:rPr>
          <w:lang w:val="en-US"/>
        </w:rPr>
        <w:t xml:space="preserve"> in methodology when estimating willingness to pay values.  As</w:t>
      </w:r>
      <w:r w:rsidR="00F67B41" w:rsidRPr="00F67B41">
        <w:rPr>
          <w:lang w:val="en-US"/>
        </w:rPr>
        <w:t xml:space="preserve"> the cost attribute </w:t>
      </w:r>
      <w:r w:rsidR="00C662D8">
        <w:rPr>
          <w:lang w:val="en-US"/>
        </w:rPr>
        <w:t>was</w:t>
      </w:r>
      <w:r w:rsidR="00F67B41" w:rsidRPr="00F67B41">
        <w:rPr>
          <w:lang w:val="en-US"/>
        </w:rPr>
        <w:t xml:space="preserve"> specified as a percentage change from the respondent’s expected housing cost in 10 percent intervals, we convert</w:t>
      </w:r>
      <w:r w:rsidR="00C662D8">
        <w:rPr>
          <w:lang w:val="en-US"/>
        </w:rPr>
        <w:t>ed</w:t>
      </w:r>
      <w:r w:rsidR="00F67B41" w:rsidRPr="00F67B41">
        <w:rPr>
          <w:lang w:val="en-US"/>
        </w:rPr>
        <w:t xml:space="preserve"> marginal rates of substitution (MRS) into marginal willingness to pay (MWTP) in monetary terms by </w:t>
      </w:r>
      <w:proofErr w:type="gramStart"/>
      <w:r w:rsidR="00F67B41" w:rsidRPr="00F67B41">
        <w:rPr>
          <w:lang w:val="en-US"/>
        </w:rPr>
        <w:t>scaling with</w:t>
      </w:r>
      <w:proofErr w:type="gramEnd"/>
      <w:r w:rsidR="00F67B41" w:rsidRPr="00F67B41">
        <w:rPr>
          <w:lang w:val="en-US"/>
        </w:rPr>
        <w:t xml:space="preserve"> 10 percent of the mean reported monthly housing cost:</w:t>
      </w:r>
    </w:p>
    <w:p w14:paraId="3CC4CCA5" w14:textId="694FCB81" w:rsidR="00351932" w:rsidRPr="00D741F0" w:rsidRDefault="00000000" w:rsidP="00F15126">
      <w:pPr>
        <w:pStyle w:val="Paragraph"/>
        <w:spacing w:line="360" w:lineRule="auto"/>
        <w:ind w:firstLine="720"/>
        <w:jc w:val="center"/>
      </w:pPr>
      <m:oMathPara>
        <m:oMath>
          <m:eqArr>
            <m:eqArrPr>
              <m:maxDist m:val="1"/>
              <m:ctrlPr>
                <w:rPr>
                  <w:rFonts w:ascii="Cambria Math" w:eastAsia="Cambria" w:hAnsi="Cambria Math" w:cs="Cambria"/>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eastAsia="Cambria" w:hAnsi="Cambria Math" w:cs="Cambria"/>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eastAsia="Cambria" w:hAnsi="Cambria Math" w:cs="Cambria"/>
                      <w:vertAlign w:val="subscript"/>
                    </w:rPr>
                    <m:t xml:space="preserve"> </m:t>
                  </m:r>
                </m:e>
                <m:sub>
                  <m:r>
                    <w:rPr>
                      <w:rFonts w:ascii="Cambria Math" w:hAnsi="Cambria Math"/>
                    </w:rPr>
                    <m:t>k</m:t>
                  </m:r>
                </m:sub>
              </m:sSub>
              <m:r>
                <m:rPr>
                  <m:sty m:val="p"/>
                </m:rPr>
                <w:rPr>
                  <w:rFonts w:ascii="Cambria Math" w:eastAsia="Cambria" w:hAnsi="Cambria Math" w:cs="Cambria"/>
                </w:rPr>
                <m:t xml:space="preserve">× </m:t>
              </m:r>
              <m:r>
                <m:rPr>
                  <m:sty m:val="p"/>
                </m:rPr>
                <w:rPr>
                  <w:rFonts w:ascii="Cambria Math" w:hAnsi="Cambria Math"/>
                </w:rPr>
                <m:t xml:space="preserve">0.10 </m:t>
              </m:r>
              <m:r>
                <m:rPr>
                  <m:sty m:val="p"/>
                </m:rPr>
                <w:rPr>
                  <w:rFonts w:ascii="Cambria Math" w:eastAsia="Cambria" w:hAnsi="Cambria Math" w:cs="Cambria"/>
                </w:rPr>
                <m:t xml:space="preserve">× </m:t>
              </m:r>
              <m:r>
                <w:rPr>
                  <w:rFonts w:ascii="Cambria Math" w:eastAsia="Cambria" w:hAnsi="Cambria Math" w:cs="Cambria"/>
                </w:rPr>
                <m:t>Planned Cost</m:t>
              </m:r>
              <m:r>
                <w:rPr>
                  <w:rFonts w:ascii="Cambria Math" w:hAnsi="Cambria Math"/>
                </w:rPr>
                <m:t>#(</m:t>
              </m:r>
              <m:r>
                <w:rPr>
                  <w:rFonts w:ascii="Cambria Math" w:eastAsia="Cambria" w:hAnsi="Cambria Math" w:cs="Cambria"/>
                </w:rPr>
                <m:t>7)</m:t>
              </m:r>
            </m:e>
          </m:eqArr>
        </m:oMath>
      </m:oMathPara>
    </w:p>
    <w:p w14:paraId="5B2B5748" w14:textId="77777777" w:rsidR="00D741F0" w:rsidRPr="00D741F0" w:rsidRDefault="00D741F0" w:rsidP="00D741F0">
      <w:pPr>
        <w:pStyle w:val="Newparagraph"/>
      </w:pPr>
    </w:p>
    <w:p w14:paraId="383364D5" w14:textId="5A6DC1BE" w:rsidR="00E7672F" w:rsidRDefault="00F67B41" w:rsidP="00354AA1">
      <w:pPr>
        <w:pStyle w:val="Paragraph"/>
        <w:spacing w:line="360" w:lineRule="auto"/>
        <w:rPr>
          <w:lang w:val="en-US"/>
        </w:rPr>
      </w:pPr>
      <w:r w:rsidRPr="00F67B41">
        <w:rPr>
          <w:lang w:val="en-US"/>
        </w:rPr>
        <w:t xml:space="preserve">where </w:t>
      </w:r>
      <w:r w:rsidR="00776582" w:rsidRPr="00776582">
        <w:rPr>
          <w:i/>
          <w:iCs/>
          <w:lang w:val="en-US"/>
        </w:rPr>
        <w:t>Planned Cost</w:t>
      </w:r>
      <w:r w:rsidR="00CB6014">
        <w:rPr>
          <w:lang w:val="en-US"/>
        </w:rPr>
        <w:t xml:space="preserve"> </w:t>
      </w:r>
      <w:r w:rsidRPr="00F67B41">
        <w:rPr>
          <w:lang w:val="en-US"/>
        </w:rPr>
        <w:t xml:space="preserve">denotes the </w:t>
      </w:r>
      <w:proofErr w:type="gramStart"/>
      <w:r w:rsidRPr="00F67B41">
        <w:rPr>
          <w:lang w:val="en-US"/>
        </w:rPr>
        <w:t>mean</w:t>
      </w:r>
      <w:proofErr w:type="gramEnd"/>
      <w:r w:rsidRPr="00F67B41">
        <w:rPr>
          <w:lang w:val="en-US"/>
        </w:rPr>
        <w:t xml:space="preserve"> of </w:t>
      </w:r>
      <w:proofErr w:type="gramStart"/>
      <w:r w:rsidRPr="00F67B41">
        <w:rPr>
          <w:lang w:val="en-US"/>
        </w:rPr>
        <w:t>respondents’</w:t>
      </w:r>
      <w:proofErr w:type="gramEnd"/>
      <w:r w:rsidRPr="00F67B41">
        <w:rPr>
          <w:lang w:val="en-US"/>
        </w:rPr>
        <w:t xml:space="preserve"> </w:t>
      </w:r>
      <w:r w:rsidR="00CB6014">
        <w:rPr>
          <w:lang w:val="en-US"/>
        </w:rPr>
        <w:t xml:space="preserve">stated </w:t>
      </w:r>
      <w:r w:rsidRPr="00F67B41">
        <w:rPr>
          <w:lang w:val="en-US"/>
        </w:rPr>
        <w:t>planned monthly housing cos</w:t>
      </w:r>
      <w:r w:rsidR="00CB6014">
        <w:rPr>
          <w:lang w:val="en-US"/>
        </w:rPr>
        <w:t xml:space="preserve">t, </w:t>
      </w:r>
      <w:commentRangeStart w:id="43"/>
      <w:commentRangeStart w:id="44"/>
      <w:r w:rsidR="009D53A5">
        <w:rPr>
          <w:lang w:val="en-US"/>
        </w:rPr>
        <w:t>captured in the</w:t>
      </w:r>
      <w:r w:rsidR="00CB6014">
        <w:rPr>
          <w:lang w:val="en-US"/>
        </w:rPr>
        <w:t xml:space="preserve"> DCE questionnaire</w:t>
      </w:r>
      <w:commentRangeEnd w:id="43"/>
      <w:r w:rsidR="00DE3509" w:rsidRPr="00F67B41">
        <w:rPr>
          <w:rStyle w:val="CommentReference"/>
          <w:sz w:val="24"/>
          <w:szCs w:val="24"/>
          <w:lang w:val="en-US"/>
        </w:rPr>
        <w:commentReference w:id="43"/>
      </w:r>
      <w:commentRangeEnd w:id="44"/>
      <w:r w:rsidR="00A0779B">
        <w:rPr>
          <w:rStyle w:val="CommentReference"/>
        </w:rPr>
        <w:commentReference w:id="44"/>
      </w:r>
      <w:r w:rsidRPr="00F67B41">
        <w:rPr>
          <w:lang w:val="en-US"/>
        </w:rPr>
        <w:t xml:space="preserve">. These MWTP </w:t>
      </w:r>
      <w:r w:rsidR="00CB6014">
        <w:rPr>
          <w:lang w:val="en-US"/>
        </w:rPr>
        <w:t>e</w:t>
      </w:r>
      <w:r w:rsidRPr="00F67B41">
        <w:rPr>
          <w:lang w:val="en-US"/>
        </w:rPr>
        <w:t xml:space="preserve">stimates represent the amount, in SEK per month, that respondents are willing to pay for improvements in each housing attribute, relative to their </w:t>
      </w:r>
      <w:r w:rsidR="00DD6E25">
        <w:rPr>
          <w:lang w:val="en-US"/>
        </w:rPr>
        <w:t>planned future housing costs</w:t>
      </w:r>
      <w:r w:rsidRPr="00F67B41">
        <w:rPr>
          <w:lang w:val="en-US"/>
        </w:rPr>
        <w:t>.</w:t>
      </w:r>
      <w:r w:rsidR="00E422B8">
        <w:rPr>
          <w:lang w:val="en-US"/>
        </w:rPr>
        <w:t xml:space="preserve">  </w:t>
      </w:r>
    </w:p>
    <w:p w14:paraId="45991E88" w14:textId="28EAD244" w:rsidR="00F72FA0" w:rsidRPr="00F72FA0" w:rsidRDefault="00F72FA0" w:rsidP="00862A8D">
      <w:pPr>
        <w:pStyle w:val="Paragraph"/>
        <w:spacing w:line="360" w:lineRule="auto"/>
        <w:ind w:firstLine="720"/>
      </w:pPr>
      <w:r>
        <w:t>We first estimated mixed logit models separately for homeowners and renters to identify preference patterns across housing tenure. Positive (negative) coefficients indicate increases (decreases) in average utility relative to the reference level of each attribute. Reference levels were defined as the least preferred option, such that estimated coefficients are expected to be positive where improvements are valued.</w:t>
      </w:r>
    </w:p>
    <w:p w14:paraId="558EB202" w14:textId="77777777" w:rsidR="00F72FA0" w:rsidRDefault="00F72FA0" w:rsidP="00862A8D">
      <w:pPr>
        <w:pStyle w:val="Paragraph"/>
        <w:spacing w:line="360" w:lineRule="auto"/>
        <w:ind w:firstLine="720"/>
      </w:pPr>
      <w:r>
        <w:t xml:space="preserve">Next, we estimated interaction models to examine whether preferences vary systematically across key socio-demographic characteristics: gender, age, and self-reported health. For each characteristic, a separate mixed logit model was estimated in which all attribute levels were interacted with an indicator variable for the relevant group. For example, in the gender model, a dummy variable equal to one for men was interacted with each attribute. In this specification, the main effects represent preferences for the reference group (women), while the interaction terms indicate how the preferences of the comparison group (men) deviate from those of the reference group. Analogous models were estimated for age, using a dummy equal to one for respondents above the sample median age, and for health, using a dummy equal to one </w:t>
      </w:r>
      <w:r>
        <w:lastRenderedPageBreak/>
        <w:t xml:space="preserve">for respondents reporting “good” or better health.  </w:t>
      </w:r>
    </w:p>
    <w:p w14:paraId="1A9D9A25" w14:textId="77777777" w:rsidR="00EB0019" w:rsidRDefault="00F72FA0" w:rsidP="00862A8D">
      <w:pPr>
        <w:pStyle w:val="Paragraph"/>
        <w:spacing w:line="360" w:lineRule="auto"/>
        <w:ind w:firstLine="720"/>
      </w:pPr>
      <w:r>
        <w:t xml:space="preserve">To aid interpretation, we converted the estimated coefficients into MWTP values using the approach described above. MWTP expresses the monetary value respondents place on marginal improvements in each attribute, relative to its reference level. For models including interactions, MWTP values were computed separately for each subgroup using the appropriate combination of main and interaction coefficients. These estimates provide an interpretable monetary metric for comparing preferences across socio-demographic groups. </w:t>
      </w:r>
    </w:p>
    <w:p w14:paraId="7ED7DC36" w14:textId="7EC73FEA" w:rsidR="00F72FA0" w:rsidRDefault="00C3035D" w:rsidP="00862A8D">
      <w:pPr>
        <w:pStyle w:val="Paragraph"/>
        <w:spacing w:line="360" w:lineRule="auto"/>
        <w:ind w:firstLine="720"/>
      </w:pPr>
      <w:r>
        <w:t>To assess significance, w</w:t>
      </w:r>
      <w:r w:rsidR="00EB0019">
        <w:t>e computed M</w:t>
      </w:r>
      <w:r>
        <w:t>RS</w:t>
      </w:r>
      <w:r w:rsidR="00EB0019">
        <w:t xml:space="preserve"> </w:t>
      </w:r>
      <w:r>
        <w:t xml:space="preserve">confidence intervals </w:t>
      </w:r>
      <w:r w:rsidR="00EB0019">
        <w:t xml:space="preserve">using the delta method, allowing formal tests of whether </w:t>
      </w:r>
      <w:r>
        <w:t xml:space="preserve">MRS, and subsequent MWTP </w:t>
      </w:r>
      <w:r w:rsidR="00EB0019">
        <w:t>estimates</w:t>
      </w:r>
      <w:r>
        <w:t>,</w:t>
      </w:r>
      <w:r w:rsidR="00EB0019">
        <w:t xml:space="preserve"> differ from zero</w:t>
      </w:r>
      <w:r>
        <w:t xml:space="preserve"> </w:t>
      </w:r>
      <w:r>
        <w:fldChar w:fldCharType="begin"/>
      </w:r>
      <w:r>
        <w:instrText xml:space="preserve"> ADDIN ZOTERO_ITEM CSL_CITATION {"citationID":"tQFy6r2G","properties":{"formattedCitation":"(Wooldridge,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insights.","ISBN":"978-0-262-29679-3","language":"en","note":"Google-Books-ID: hSs3AgAAQBAJ","number-of-pages":"1095","publisher":"MIT Press","source":"Google Books","title":"Econometric Analysis of Cross Section and Panel Data, second edition","author":[{"family":"Wooldridge","given":"Jeffrey M."}],"issued":{"date-parts":[["2010",10,1]]},"citation-key":"wooldridgeEconometricAnalysisCross2010"}}],"schema":"https://github.com/citation-style-language/schema/raw/master/csl-citation.json"} </w:instrText>
      </w:r>
      <w:r>
        <w:fldChar w:fldCharType="separate"/>
      </w:r>
      <w:r w:rsidRPr="00C3035D">
        <w:t>(Wooldridge, 2010)</w:t>
      </w:r>
      <w:r>
        <w:fldChar w:fldCharType="end"/>
      </w:r>
      <w:r w:rsidR="00EB0019">
        <w:t xml:space="preserve">. As the </w:t>
      </w:r>
      <w:r>
        <w:t xml:space="preserve">MRS </w:t>
      </w:r>
      <w:r w:rsidR="00EB0019">
        <w:t xml:space="preserve">is based on a non-linear function of multiple estimated coefficients, the delta method is necessary </w:t>
      </w:r>
      <w:r>
        <w:t>as</w:t>
      </w:r>
      <w:r w:rsidR="00EB0019">
        <w:t xml:space="preserve"> variance cannot be obtained directly from the model output. </w:t>
      </w:r>
      <w:commentRangeStart w:id="45"/>
      <w:commentRangeStart w:id="46"/>
      <w:r w:rsidR="00EB0019">
        <w:t>However, even when delta-method significance is reported, a conservative interpretation is warranted: if the coefficient (or combination of coefficients) generating an MWTP estimate is not statistically significant, then the corresponding MWTP should be viewed as an estimated trade-off rather than strict evidence of a robust preference. The delta method thus provides a consistent, statistically grounded basis for inference while maintaining the intuitive interpretability of MWTP values</w:t>
      </w:r>
      <w:r w:rsidR="00F72FA0">
        <w:t>.</w:t>
      </w:r>
      <w:commentRangeEnd w:id="45"/>
      <w:r w:rsidR="00EB553B">
        <w:rPr>
          <w:rStyle w:val="CommentReference"/>
          <w:sz w:val="24"/>
          <w:szCs w:val="24"/>
        </w:rPr>
        <w:commentReference w:id="45"/>
      </w:r>
      <w:commentRangeEnd w:id="46"/>
      <w:r w:rsidR="00A0779B">
        <w:rPr>
          <w:rStyle w:val="CommentReference"/>
        </w:rPr>
        <w:commentReference w:id="46"/>
      </w:r>
    </w:p>
    <w:p w14:paraId="186E84CE" w14:textId="5B559F94" w:rsidR="00C25739" w:rsidRPr="009578AB" w:rsidRDefault="00C25739" w:rsidP="00F15126">
      <w:pPr>
        <w:pStyle w:val="Heading2"/>
        <w:rPr>
          <w:lang w:val="en-US"/>
        </w:rPr>
      </w:pPr>
      <w:r w:rsidRPr="009578AB">
        <w:rPr>
          <w:lang w:val="en-US"/>
        </w:rPr>
        <w:t>Ethics</w:t>
      </w:r>
    </w:p>
    <w:p w14:paraId="62E98B41" w14:textId="77777777" w:rsidR="00C25739" w:rsidRPr="009578AB" w:rsidRDefault="00C25739" w:rsidP="00F15126">
      <w:pPr>
        <w:pStyle w:val="Paragraph"/>
        <w:spacing w:line="360" w:lineRule="auto"/>
        <w:rPr>
          <w:lang w:val="en-US"/>
        </w:rPr>
      </w:pPr>
      <w:r w:rsidRPr="009578AB">
        <w:rPr>
          <w:lang w:val="en-US"/>
        </w:rPr>
        <w:t>The Prospective RELOC-AGE study was approved by the Swedish Ethical Review Authority (</w:t>
      </w:r>
      <w:proofErr w:type="spellStart"/>
      <w:r w:rsidRPr="009578AB">
        <w:rPr>
          <w:lang w:val="en-US"/>
        </w:rPr>
        <w:t>Dnr</w:t>
      </w:r>
      <w:proofErr w:type="spellEnd"/>
      <w:r w:rsidRPr="009578AB">
        <w:rPr>
          <w:lang w:val="en-US"/>
        </w:rPr>
        <w:t xml:space="preserve"> 2020–03457),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5CF0AECB" w14:textId="77777777" w:rsidR="00C25739" w:rsidRPr="00C25739" w:rsidRDefault="00C25739" w:rsidP="00F15126">
      <w:pPr>
        <w:pStyle w:val="Newparagraph"/>
        <w:spacing w:line="360" w:lineRule="auto"/>
        <w:rPr>
          <w:lang w:val="en-US"/>
        </w:rPr>
      </w:pPr>
    </w:p>
    <w:p w14:paraId="5C40B146" w14:textId="77777777" w:rsidR="00F67B41" w:rsidRDefault="00F67B41" w:rsidP="00F15126">
      <w:pPr>
        <w:pStyle w:val="Heading1"/>
        <w:rPr>
          <w:lang w:val="en-US"/>
        </w:rPr>
      </w:pPr>
      <w:r>
        <w:rPr>
          <w:lang w:val="en-US"/>
        </w:rPr>
        <w:lastRenderedPageBreak/>
        <w:t>Results</w:t>
      </w:r>
    </w:p>
    <w:p w14:paraId="73DAB55C" w14:textId="66A73089" w:rsidR="00C276D2" w:rsidRPr="00C276D2" w:rsidRDefault="00E422B8" w:rsidP="00F15126">
      <w:pPr>
        <w:pStyle w:val="Heading2"/>
        <w:rPr>
          <w:lang w:val="en-US"/>
        </w:rPr>
      </w:pPr>
      <w:r>
        <w:rPr>
          <w:lang w:val="en-US"/>
        </w:rPr>
        <w:t>Sample characteristics</w:t>
      </w:r>
    </w:p>
    <w:p w14:paraId="38DDBE58" w14:textId="3EC8F6CF" w:rsidR="00F67B41" w:rsidRDefault="00F67B41" w:rsidP="00F15126">
      <w:pPr>
        <w:pStyle w:val="Paragraph"/>
        <w:spacing w:line="360" w:lineRule="auto"/>
        <w:rPr>
          <w:lang w:val="en-US"/>
        </w:rPr>
      </w:pPr>
      <w:r w:rsidRPr="009578AB">
        <w:rPr>
          <w:lang w:val="en-US"/>
        </w:rPr>
        <w:t xml:space="preserve">Table 2 provides descriptive statistics for the study sample, disaggregated by housing tenure. Of the 957 respondents, 790 were homeowners and 167 were renters. The sample was slightly majority female (55.3%), with most participants aged 65–74 years (43.5%) followed by those aged 75+ (36.5%). </w:t>
      </w:r>
      <w:r w:rsidR="00B46971" w:rsidRPr="009578AB">
        <w:rPr>
          <w:lang w:val="en-US"/>
        </w:rPr>
        <w:t>Most</w:t>
      </w:r>
      <w:r w:rsidRPr="009578AB">
        <w:rPr>
          <w:lang w:val="en-US"/>
        </w:rPr>
        <w:t xml:space="preserve"> respondents were partnered (60.6%), retired (77.1%), and lived in apartment or condominium housing (63.0%). Most had attained at least three years of university education (47.6%</w:t>
      </w:r>
      <w:r w:rsidR="0007102B" w:rsidRPr="009578AB">
        <w:rPr>
          <w:lang w:val="en-US"/>
        </w:rPr>
        <w:t>) and</w:t>
      </w:r>
      <w:r w:rsidRPr="009578AB">
        <w:rPr>
          <w:lang w:val="en-US"/>
        </w:rPr>
        <w:t xml:space="preserve"> lived in city or town locations (62.2%). </w:t>
      </w:r>
      <w:r w:rsidR="0007102B">
        <w:rPr>
          <w:lang w:val="en-US"/>
        </w:rPr>
        <w:t>Most</w:t>
      </w:r>
      <w:r>
        <w:rPr>
          <w:lang w:val="en-US"/>
        </w:rPr>
        <w:t xml:space="preserve"> respondents described their health as “Good” or better (82%). </w:t>
      </w:r>
      <w:r w:rsidRPr="009578AB">
        <w:rPr>
          <w:lang w:val="en-US"/>
        </w:rPr>
        <w:t>Households predominantly consisted of one or two members (95.2%), with 3.8% reporting three or more. The mean monthly household income was 46,700 SEK, and the average planned monthly housing cost was 10,500 SEK.</w:t>
      </w:r>
    </w:p>
    <w:p w14:paraId="329E2A67" w14:textId="77777777" w:rsidR="00EA0C07" w:rsidRDefault="00EA0C07" w:rsidP="00F15126">
      <w:pPr>
        <w:pStyle w:val="Heading1"/>
        <w:jc w:val="center"/>
        <w:rPr>
          <w:noProof/>
          <w:lang w:val="en-US"/>
        </w:rPr>
      </w:pPr>
    </w:p>
    <w:p w14:paraId="52BAB3F0" w14:textId="072E5BD1" w:rsidR="00EA0C07" w:rsidRDefault="00EA0C07" w:rsidP="00F15126">
      <w:pPr>
        <w:pStyle w:val="Caption"/>
        <w:keepNext/>
        <w:spacing w:line="360" w:lineRule="auto"/>
        <w:jc w:val="center"/>
      </w:pPr>
      <w:r>
        <w:t xml:space="preserve">Table </w:t>
      </w:r>
      <w:fldSimple w:instr=" SEQ Table \* ARABIC ">
        <w:r w:rsidR="00482C8F">
          <w:rPr>
            <w:noProof/>
          </w:rPr>
          <w:t>2</w:t>
        </w:r>
      </w:fldSimple>
      <w:r w:rsidR="00B46971">
        <w:rPr>
          <w:noProof/>
        </w:rPr>
        <w:t xml:space="preserve"> –</w:t>
      </w:r>
      <w:r w:rsidR="00E422B8">
        <w:rPr>
          <w:noProof/>
        </w:rPr>
        <w:t xml:space="preserve">Sample </w:t>
      </w:r>
      <w:r w:rsidR="00CB6014">
        <w:rPr>
          <w:noProof/>
        </w:rPr>
        <w:t>characteristics</w:t>
      </w:r>
      <w:r w:rsidR="00E422B8">
        <w:rPr>
          <w:noProof/>
        </w:rPr>
        <w:t xml:space="preserve"> by tenure type (N = 790 for homeowners, N = 167 for renters)</w:t>
      </w:r>
    </w:p>
    <w:p w14:paraId="2DDC0FBC" w14:textId="0A305A10" w:rsidR="00F67B41" w:rsidRDefault="00F67B41" w:rsidP="00F15126">
      <w:pPr>
        <w:pStyle w:val="Heading1"/>
        <w:jc w:val="center"/>
        <w:rPr>
          <w:noProof/>
          <w:lang w:val="en-US"/>
        </w:rPr>
      </w:pPr>
      <w:r w:rsidRPr="00AD6721">
        <w:rPr>
          <w:noProof/>
          <w:lang w:val="en-US"/>
        </w:rPr>
        <w:drawing>
          <wp:inline distT="0" distB="0" distL="0" distR="0" wp14:anchorId="6023F270" wp14:editId="7FD7207B">
            <wp:extent cx="5148580" cy="7181527"/>
            <wp:effectExtent l="0" t="0" r="0" b="635"/>
            <wp:docPr id="1239225990" name="Picture 1" descr="A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5990" name="Picture 1" descr="A paper with numbers and text&#10;&#10;AI-generated content may be incorrect."/>
                    <pic:cNvPicPr/>
                  </pic:nvPicPr>
                  <pic:blipFill rotWithShape="1">
                    <a:blip r:embed="rId16"/>
                    <a:srcRect t="4365"/>
                    <a:stretch>
                      <a:fillRect/>
                    </a:stretch>
                  </pic:blipFill>
                  <pic:spPr bwMode="auto">
                    <a:xfrm>
                      <a:off x="0" y="0"/>
                      <a:ext cx="5161664" cy="7199777"/>
                    </a:xfrm>
                    <a:prstGeom prst="rect">
                      <a:avLst/>
                    </a:prstGeom>
                    <a:ln>
                      <a:noFill/>
                    </a:ln>
                    <a:extLst>
                      <a:ext uri="{53640926-AAD7-44D8-BBD7-CCE9431645EC}">
                        <a14:shadowObscured xmlns:a14="http://schemas.microsoft.com/office/drawing/2010/main"/>
                      </a:ext>
                    </a:extLst>
                  </pic:spPr>
                </pic:pic>
              </a:graphicData>
            </a:graphic>
          </wp:inline>
        </w:drawing>
      </w:r>
      <w:r w:rsidR="00E422B8">
        <w:rPr>
          <w:noProof/>
          <w:lang w:val="en-US"/>
        </w:rPr>
        <w:t xml:space="preserve"> </w:t>
      </w:r>
    </w:p>
    <w:p w14:paraId="6E5469FF" w14:textId="517E3F7A" w:rsidR="00F67B41" w:rsidRDefault="00E422B8" w:rsidP="00F15126">
      <w:pPr>
        <w:pStyle w:val="Heading2"/>
        <w:rPr>
          <w:lang w:val="en-US"/>
        </w:rPr>
      </w:pPr>
      <w:r>
        <w:rPr>
          <w:lang w:val="en-US"/>
        </w:rPr>
        <w:t>Standard model</w:t>
      </w:r>
      <w:r w:rsidR="00765149">
        <w:rPr>
          <w:lang w:val="en-US"/>
        </w:rPr>
        <w:t xml:space="preserve"> results</w:t>
      </w:r>
    </w:p>
    <w:p w14:paraId="402AE8B1" w14:textId="232E886E" w:rsidR="00603112" w:rsidRPr="00603112" w:rsidRDefault="00603112" w:rsidP="00603112">
      <w:pPr>
        <w:pStyle w:val="Paragraph"/>
        <w:spacing w:line="360" w:lineRule="auto"/>
      </w:pPr>
      <w:r>
        <w:t xml:space="preserve">Table 3 presents the results from the standard mixed logit models estimated separately </w:t>
      </w:r>
      <w:r>
        <w:lastRenderedPageBreak/>
        <w:t xml:space="preserve">for renters and homeowners. Across both tenure groups, the estimated coefficients display the expected signs and are generally highly statistically significant. For all non-price attributes, the mean coefficients are positive, indicating that respondents systematically prefer locations with closer proximity to green areas, shops, and public transportation, as well as access to reserved parking, relative to their respective reference levels. The negative and significant price coefficient aligns with theoretical expectations, confirming that higher monthly housing costs reduce utility. </w:t>
      </w:r>
      <w:commentRangeStart w:id="47"/>
      <w:commentRangeStart w:id="48"/>
      <w:r>
        <w:t xml:space="preserve">The standard deviation estimates for </w:t>
      </w:r>
      <w:r w:rsidR="002D5164">
        <w:t>many</w:t>
      </w:r>
      <w:r>
        <w:t xml:space="preserve"> random parameters are statistically significant, which provides strong evidence of unobserved preference heterogeneity in the sample. </w:t>
      </w:r>
      <w:commentRangeEnd w:id="47"/>
      <w:r w:rsidR="00F238E2" w:rsidRPr="00603112">
        <w:rPr>
          <w:rStyle w:val="CommentReference"/>
          <w:sz w:val="24"/>
          <w:szCs w:val="24"/>
        </w:rPr>
        <w:commentReference w:id="47"/>
      </w:r>
      <w:commentRangeEnd w:id="48"/>
      <w:r w:rsidR="00A0779B">
        <w:rPr>
          <w:rStyle w:val="CommentReference"/>
        </w:rPr>
        <w:commentReference w:id="48"/>
      </w:r>
    </w:p>
    <w:p w14:paraId="38ED67B4" w14:textId="5158F044" w:rsidR="00EA0C07" w:rsidRDefault="00EA0C07" w:rsidP="00F15126">
      <w:pPr>
        <w:pStyle w:val="Caption"/>
        <w:keepNext/>
        <w:spacing w:line="360" w:lineRule="auto"/>
        <w:jc w:val="center"/>
      </w:pPr>
      <w:r>
        <w:t xml:space="preserve">Table </w:t>
      </w:r>
      <w:fldSimple w:instr=" SEQ Table \* ARABIC ">
        <w:r w:rsidR="00482C8F">
          <w:rPr>
            <w:noProof/>
          </w:rPr>
          <w:t>3</w:t>
        </w:r>
      </w:fldSimple>
      <w:r w:rsidR="00CD24E7">
        <w:rPr>
          <w:noProof/>
        </w:rPr>
        <w:t xml:space="preserve"> – Mixed logit results: Renters and Owners</w:t>
      </w:r>
    </w:p>
    <w:p w14:paraId="7B8DD72E" w14:textId="4E7BAE14" w:rsidR="00181B5C" w:rsidRPr="00181B5C" w:rsidRDefault="00400D56" w:rsidP="00F15126">
      <w:pPr>
        <w:pStyle w:val="Paragraph"/>
        <w:spacing w:line="360" w:lineRule="auto"/>
        <w:jc w:val="center"/>
        <w:rPr>
          <w:lang w:val="en-US"/>
        </w:rPr>
      </w:pPr>
      <w:r w:rsidRPr="00400D56">
        <w:rPr>
          <w:noProof/>
          <w:lang w:val="en-US"/>
        </w:rPr>
        <w:drawing>
          <wp:inline distT="0" distB="0" distL="0" distR="0" wp14:anchorId="79D21625" wp14:editId="5AE939CB">
            <wp:extent cx="4963218" cy="4801270"/>
            <wp:effectExtent l="0" t="0" r="8890" b="0"/>
            <wp:docPr id="1972994640"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4640" name="Picture 1" descr="A table of numbers and symbols&#10;&#10;AI-generated content may be incorrect."/>
                    <pic:cNvPicPr/>
                  </pic:nvPicPr>
                  <pic:blipFill>
                    <a:blip r:embed="rId17"/>
                    <a:stretch>
                      <a:fillRect/>
                    </a:stretch>
                  </pic:blipFill>
                  <pic:spPr>
                    <a:xfrm>
                      <a:off x="0" y="0"/>
                      <a:ext cx="4963218" cy="4801270"/>
                    </a:xfrm>
                    <a:prstGeom prst="rect">
                      <a:avLst/>
                    </a:prstGeom>
                  </pic:spPr>
                </pic:pic>
              </a:graphicData>
            </a:graphic>
          </wp:inline>
        </w:drawing>
      </w:r>
    </w:p>
    <w:p w14:paraId="5650F75D" w14:textId="30B7CCD3" w:rsidR="00EA0C07" w:rsidRDefault="00603112" w:rsidP="00F15126">
      <w:pPr>
        <w:pStyle w:val="Paragraph"/>
        <w:spacing w:line="360" w:lineRule="auto"/>
      </w:pPr>
      <w:r>
        <w:t xml:space="preserve">Monetary valuations derived from these coefficients are reported in Table 4.  MRS are first computed as the ratio of each attribute coefficient to the price coefficient, which are then translated into </w:t>
      </w:r>
      <w:commentRangeStart w:id="49"/>
      <w:commentRangeStart w:id="50"/>
      <w:r>
        <w:t>MWTP estimates</w:t>
      </w:r>
      <w:commentRangeEnd w:id="49"/>
      <w:r w:rsidR="00F238E2">
        <w:rPr>
          <w:rStyle w:val="CommentReference"/>
          <w:sz w:val="24"/>
          <w:szCs w:val="24"/>
        </w:rPr>
        <w:commentReference w:id="49"/>
      </w:r>
      <w:commentRangeEnd w:id="50"/>
      <w:r w:rsidR="00A0779B">
        <w:rPr>
          <w:rStyle w:val="CommentReference"/>
        </w:rPr>
        <w:commentReference w:id="50"/>
      </w:r>
      <w:r>
        <w:t xml:space="preserve"> by scaling with 10 percent of each tenure group’s average planned housing cost per Equation 7. This yields interpretable monthly SEK </w:t>
      </w:r>
      <w:r>
        <w:lastRenderedPageBreak/>
        <w:t>values that quantify preference across the sample.</w:t>
      </w:r>
    </w:p>
    <w:p w14:paraId="39224189" w14:textId="77777777" w:rsidR="00603112" w:rsidRPr="00603112" w:rsidRDefault="00603112" w:rsidP="00603112">
      <w:pPr>
        <w:pStyle w:val="Newparagraph"/>
      </w:pPr>
    </w:p>
    <w:p w14:paraId="003A2DE7" w14:textId="79FF3377" w:rsidR="00EA0C07" w:rsidRDefault="00EA0C07" w:rsidP="00F15126">
      <w:pPr>
        <w:pStyle w:val="Caption"/>
        <w:keepNext/>
        <w:spacing w:line="360" w:lineRule="auto"/>
        <w:jc w:val="center"/>
      </w:pPr>
      <w:r>
        <w:t xml:space="preserve">Table </w:t>
      </w:r>
      <w:fldSimple w:instr=" SEQ Table \* ARABIC ">
        <w:r w:rsidR="00482C8F">
          <w:rPr>
            <w:noProof/>
          </w:rPr>
          <w:t>4</w:t>
        </w:r>
      </w:fldSimple>
      <w:r w:rsidR="003A2931">
        <w:rPr>
          <w:noProof/>
        </w:rPr>
        <w:t xml:space="preserve"> – MWTP Estimates: Renters and Owners</w:t>
      </w:r>
    </w:p>
    <w:p w14:paraId="7468C4E7" w14:textId="24F0AA1E" w:rsidR="00181B5C" w:rsidRPr="00181B5C" w:rsidRDefault="00400D56" w:rsidP="00F15126">
      <w:pPr>
        <w:pStyle w:val="Paragraph"/>
        <w:spacing w:line="360" w:lineRule="auto"/>
        <w:jc w:val="center"/>
        <w:rPr>
          <w:lang w:val="en-US"/>
        </w:rPr>
      </w:pPr>
      <w:r w:rsidRPr="00400D56">
        <w:rPr>
          <w:noProof/>
          <w:lang w:val="en-US"/>
        </w:rPr>
        <w:drawing>
          <wp:inline distT="0" distB="0" distL="0" distR="0" wp14:anchorId="3FBB0C20" wp14:editId="26DA6B97">
            <wp:extent cx="5344271" cy="3448531"/>
            <wp:effectExtent l="0" t="0" r="8890" b="0"/>
            <wp:docPr id="719610787" name="Picture 1" descr="A table of numbers and a number of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0787" name="Picture 1" descr="A table of numbers and a number of cars&#10;&#10;AI-generated content may be incorrect."/>
                    <pic:cNvPicPr/>
                  </pic:nvPicPr>
                  <pic:blipFill>
                    <a:blip r:embed="rId18"/>
                    <a:stretch>
                      <a:fillRect/>
                    </a:stretch>
                  </pic:blipFill>
                  <pic:spPr>
                    <a:xfrm>
                      <a:off x="0" y="0"/>
                      <a:ext cx="5344271" cy="3448531"/>
                    </a:xfrm>
                    <a:prstGeom prst="rect">
                      <a:avLst/>
                    </a:prstGeom>
                  </pic:spPr>
                </pic:pic>
              </a:graphicData>
            </a:graphic>
          </wp:inline>
        </w:drawing>
      </w:r>
    </w:p>
    <w:p w14:paraId="0BE92240" w14:textId="25F562F4" w:rsidR="00603112" w:rsidRDefault="00603112" w:rsidP="003E61F3">
      <w:pPr>
        <w:pStyle w:val="Paragraph"/>
        <w:spacing w:line="360" w:lineRule="auto"/>
        <w:ind w:firstLine="720"/>
        <w:rPr>
          <w:lang w:val="en-US"/>
        </w:rPr>
      </w:pPr>
      <w:r>
        <w:t xml:space="preserve">Among homeowners, the MWTP values indicate substantial willingness to pay for improved accessibility and amenities. For example, homeowners are willing to pay </w:t>
      </w:r>
      <w:r w:rsidR="00E803A2">
        <w:t>397</w:t>
      </w:r>
      <w:r>
        <w:t xml:space="preserve"> SEK per month </w:t>
      </w:r>
      <w:commentRangeStart w:id="51"/>
      <w:commentRangeStart w:id="52"/>
      <w:r>
        <w:t>to avoid living 15 km from the nearest green area</w:t>
      </w:r>
      <w:commentRangeEnd w:id="51"/>
      <w:r w:rsidR="00F238E2">
        <w:rPr>
          <w:rStyle w:val="CommentReference"/>
          <w:sz w:val="24"/>
          <w:szCs w:val="24"/>
        </w:rPr>
        <w:commentReference w:id="51"/>
      </w:r>
      <w:commentRangeEnd w:id="52"/>
      <w:r w:rsidR="00A0779B">
        <w:rPr>
          <w:rStyle w:val="CommentReference"/>
        </w:rPr>
        <w:commentReference w:id="52"/>
      </w:r>
      <w:r>
        <w:t xml:space="preserve"> and </w:t>
      </w:r>
      <w:r w:rsidR="00E803A2">
        <w:t>598</w:t>
      </w:r>
      <w:r>
        <w:t xml:space="preserve"> SEK per month to live within 500 meters of shops. Parking amenities are highly valued, with MWTP estimates of </w:t>
      </w:r>
      <w:r w:rsidR="00E803A2">
        <w:t>587</w:t>
      </w:r>
      <w:r>
        <w:t xml:space="preserve"> SEK for a reserved parking space and </w:t>
      </w:r>
      <w:r w:rsidR="00E803A2">
        <w:t>478</w:t>
      </w:r>
      <w:r>
        <w:t xml:space="preserve"> SEK for a reserved garage compared to no reserved parking.</w:t>
      </w:r>
    </w:p>
    <w:p w14:paraId="1B80A792" w14:textId="121F8400" w:rsidR="00181B5C" w:rsidRPr="00181B5C" w:rsidRDefault="00181B5C" w:rsidP="003E61F3">
      <w:pPr>
        <w:pStyle w:val="Paragraph"/>
        <w:spacing w:line="360" w:lineRule="auto"/>
        <w:ind w:firstLine="720"/>
        <w:rPr>
          <w:lang w:val="en-US"/>
        </w:rPr>
      </w:pPr>
      <w:r w:rsidRPr="00181B5C">
        <w:rPr>
          <w:lang w:val="en-US"/>
        </w:rPr>
        <w:t xml:space="preserve">Turning to renters, Table </w:t>
      </w:r>
      <w:r>
        <w:rPr>
          <w:lang w:val="en-US"/>
        </w:rPr>
        <w:t xml:space="preserve">4 </w:t>
      </w:r>
      <w:r w:rsidRPr="00181B5C">
        <w:rPr>
          <w:lang w:val="en-US"/>
        </w:rPr>
        <w:t xml:space="preserve">reveals similar preference patterns but with </w:t>
      </w:r>
      <w:commentRangeStart w:id="53"/>
      <w:commentRangeStart w:id="54"/>
      <w:r w:rsidRPr="00181B5C">
        <w:rPr>
          <w:lang w:val="en-US"/>
        </w:rPr>
        <w:t>generally lower MWTP magnitudes</w:t>
      </w:r>
      <w:commentRangeEnd w:id="53"/>
      <w:r w:rsidR="00F238E2" w:rsidRPr="00181B5C">
        <w:rPr>
          <w:rStyle w:val="CommentReference"/>
          <w:sz w:val="24"/>
          <w:szCs w:val="24"/>
          <w:lang w:val="en-US"/>
        </w:rPr>
        <w:commentReference w:id="53"/>
      </w:r>
      <w:commentRangeEnd w:id="54"/>
      <w:r w:rsidR="00AB4876">
        <w:rPr>
          <w:rStyle w:val="CommentReference"/>
        </w:rPr>
        <w:commentReference w:id="54"/>
      </w:r>
      <w:r w:rsidRPr="00181B5C">
        <w:rPr>
          <w:lang w:val="en-US"/>
        </w:rPr>
        <w:t xml:space="preserve">. Renters are willing to pay </w:t>
      </w:r>
      <w:r w:rsidR="00E803A2">
        <w:rPr>
          <w:lang w:val="en-US"/>
        </w:rPr>
        <w:t>346</w:t>
      </w:r>
      <w:r w:rsidRPr="00181B5C">
        <w:rPr>
          <w:lang w:val="en-US"/>
        </w:rPr>
        <w:t xml:space="preserve"> SEK per month to reside within 500 m of green space and </w:t>
      </w:r>
      <w:r w:rsidR="00E803A2">
        <w:rPr>
          <w:lang w:val="en-US"/>
        </w:rPr>
        <w:t>408</w:t>
      </w:r>
      <w:r w:rsidRPr="00181B5C">
        <w:rPr>
          <w:lang w:val="en-US"/>
        </w:rPr>
        <w:t xml:space="preserve"> SEK for proximity to shops within 500</w:t>
      </w:r>
      <w:r w:rsidR="00C10C56">
        <w:rPr>
          <w:lang w:val="en-US"/>
        </w:rPr>
        <w:t xml:space="preserve"> meters</w:t>
      </w:r>
      <w:r w:rsidR="001C5700">
        <w:rPr>
          <w:lang w:val="en-US"/>
        </w:rPr>
        <w:t xml:space="preserve">. These </w:t>
      </w:r>
      <w:r w:rsidRPr="00181B5C">
        <w:rPr>
          <w:lang w:val="en-US"/>
        </w:rPr>
        <w:t>values remain economically meaningful yet modestly below those of owners. Renters also show strong preferences for parking access, although their MWTP for a reserved garage (</w:t>
      </w:r>
      <w:r w:rsidR="00E803A2">
        <w:rPr>
          <w:lang w:val="en-US"/>
        </w:rPr>
        <w:t>254</w:t>
      </w:r>
      <w:r w:rsidRPr="00181B5C">
        <w:rPr>
          <w:lang w:val="en-US"/>
        </w:rPr>
        <w:t xml:space="preserve"> SEK) or space (</w:t>
      </w:r>
      <w:r w:rsidR="00E803A2">
        <w:rPr>
          <w:lang w:val="en-US"/>
        </w:rPr>
        <w:t>249</w:t>
      </w:r>
      <w:r w:rsidRPr="00181B5C">
        <w:rPr>
          <w:lang w:val="en-US"/>
        </w:rPr>
        <w:t xml:space="preserve"> SEK) is roughly half that of homeowners.</w:t>
      </w:r>
    </w:p>
    <w:p w14:paraId="06630401" w14:textId="413774B2" w:rsidR="00687915" w:rsidRDefault="00127537" w:rsidP="00F15126">
      <w:pPr>
        <w:pStyle w:val="Heading2"/>
        <w:rPr>
          <w:lang w:val="en-US"/>
        </w:rPr>
      </w:pPr>
      <w:commentRangeStart w:id="55"/>
      <w:commentRangeStart w:id="56"/>
      <w:r>
        <w:rPr>
          <w:lang w:val="en-US"/>
        </w:rPr>
        <w:lastRenderedPageBreak/>
        <w:t>Heterogeneity</w:t>
      </w:r>
      <w:commentRangeEnd w:id="55"/>
      <w:r w:rsidR="00F238E2">
        <w:rPr>
          <w:rStyle w:val="CommentReference"/>
          <w:sz w:val="24"/>
          <w:szCs w:val="28"/>
          <w:lang w:val="en-US"/>
        </w:rPr>
        <w:commentReference w:id="55"/>
      </w:r>
      <w:commentRangeEnd w:id="56"/>
      <w:r w:rsidR="00A0779B">
        <w:rPr>
          <w:rStyle w:val="CommentReference"/>
          <w:rFonts w:cs="Times New Roman"/>
          <w:b w:val="0"/>
          <w:bCs w:val="0"/>
          <w:i w:val="0"/>
          <w:iCs w:val="0"/>
        </w:rPr>
        <w:commentReference w:id="56"/>
      </w:r>
      <w:r>
        <w:rPr>
          <w:lang w:val="en-US"/>
        </w:rPr>
        <w:t xml:space="preserve"> model results</w:t>
      </w:r>
    </w:p>
    <w:p w14:paraId="06F65A83" w14:textId="49916031" w:rsidR="00CE2518" w:rsidRDefault="00CE2518" w:rsidP="00F96361">
      <w:pPr>
        <w:pStyle w:val="Heading3"/>
        <w:rPr>
          <w:sz w:val="36"/>
          <w:szCs w:val="36"/>
        </w:rPr>
      </w:pPr>
      <w:r>
        <w:t xml:space="preserve">Age </w:t>
      </w:r>
      <w:r w:rsidR="00A001F9">
        <w:t>Model</w:t>
      </w:r>
      <w:r w:rsidR="00F96361">
        <w:t>s</w:t>
      </w:r>
    </w:p>
    <w:p w14:paraId="4E42AF5C" w14:textId="11CCBBEC" w:rsidR="00CE2518" w:rsidRPr="001C5700" w:rsidRDefault="001C5700" w:rsidP="00F15126">
      <w:pPr>
        <w:pStyle w:val="Paragraph"/>
        <w:spacing w:line="360" w:lineRule="auto"/>
        <w:ind w:firstLine="720"/>
        <w:rPr>
          <w:lang w:val="en-US"/>
        </w:rPr>
      </w:pPr>
      <w:r>
        <w:rPr>
          <w:lang w:val="en-US"/>
        </w:rPr>
        <w:t xml:space="preserve">Table 5 </w:t>
      </w:r>
      <w:r w:rsidR="00E85E77">
        <w:rPr>
          <w:lang w:val="en-US"/>
        </w:rPr>
        <w:t xml:space="preserve">tabulates </w:t>
      </w:r>
      <w:r w:rsidR="003C589C">
        <w:rPr>
          <w:lang w:val="en-US"/>
        </w:rPr>
        <w:t xml:space="preserve">the </w:t>
      </w:r>
      <w:r w:rsidR="00E85E77">
        <w:rPr>
          <w:lang w:val="en-US"/>
        </w:rPr>
        <w:t xml:space="preserve">mixed logit results </w:t>
      </w:r>
      <w:r w:rsidR="002D5164">
        <w:rPr>
          <w:lang w:val="en-US"/>
        </w:rPr>
        <w:t xml:space="preserve">which include </w:t>
      </w:r>
      <w:r w:rsidR="00E85E77">
        <w:rPr>
          <w:lang w:val="en-US"/>
        </w:rPr>
        <w:t>age interactions with the attributes.</w:t>
      </w:r>
      <w:r>
        <w:rPr>
          <w:lang w:val="en-US"/>
        </w:rPr>
        <w:t xml:space="preserve">  </w:t>
      </w:r>
      <w:r w:rsidR="00CE2518" w:rsidRPr="001C5700">
        <w:rPr>
          <w:lang w:val="en-US"/>
        </w:rPr>
        <w:t xml:space="preserve">Among homeowners </w:t>
      </w:r>
      <w:r w:rsidR="00A001F9">
        <w:rPr>
          <w:lang w:val="en-US"/>
        </w:rPr>
        <w:t>below the median age of 72</w:t>
      </w:r>
      <w:r w:rsidR="00CE2518" w:rsidRPr="001C5700">
        <w:rPr>
          <w:lang w:val="en-US"/>
        </w:rPr>
        <w:t xml:space="preserve">, proximity to amenities generates strong and statistically significant utility gains. The baseline MWTPs </w:t>
      </w:r>
      <w:r w:rsidR="002D5164">
        <w:rPr>
          <w:lang w:val="en-US"/>
        </w:rPr>
        <w:t xml:space="preserve">for younger respondents </w:t>
      </w:r>
      <w:r w:rsidR="00CE2518" w:rsidRPr="001C5700">
        <w:rPr>
          <w:lang w:val="en-US"/>
        </w:rPr>
        <w:t xml:space="preserve">are </w:t>
      </w:r>
      <w:r w:rsidR="00A001F9">
        <w:rPr>
          <w:lang w:val="en-US"/>
        </w:rPr>
        <w:t>347</w:t>
      </w:r>
      <w:r w:rsidR="00CE2518" w:rsidRPr="001C5700">
        <w:rPr>
          <w:lang w:val="en-US"/>
        </w:rPr>
        <w:t xml:space="preserve"> SEK</w:t>
      </w:r>
      <w:r w:rsidR="003E61F3">
        <w:rPr>
          <w:lang w:val="en-US"/>
        </w:rPr>
        <w:t xml:space="preserve"> a </w:t>
      </w:r>
      <w:r w:rsidR="00CE2518" w:rsidRPr="001C5700">
        <w:rPr>
          <w:lang w:val="en-US"/>
        </w:rPr>
        <w:t xml:space="preserve">month for green space within 500 m (vs 15 km), </w:t>
      </w:r>
      <w:r w:rsidR="00A001F9">
        <w:rPr>
          <w:lang w:val="en-US"/>
        </w:rPr>
        <w:t>479</w:t>
      </w:r>
      <w:r w:rsidR="00CE2518" w:rsidRPr="001C5700">
        <w:rPr>
          <w:lang w:val="en-US"/>
        </w:rPr>
        <w:t xml:space="preserve"> SEK for shops within 500 m, and </w:t>
      </w:r>
      <w:r w:rsidR="00A001F9">
        <w:rPr>
          <w:lang w:val="en-US"/>
        </w:rPr>
        <w:t>463</w:t>
      </w:r>
      <w:r w:rsidR="00CE2518" w:rsidRPr="001C5700">
        <w:rPr>
          <w:lang w:val="en-US"/>
        </w:rPr>
        <w:t xml:space="preserve"> SEK for a reserved garage</w:t>
      </w:r>
      <w:r w:rsidR="003E61F3">
        <w:rPr>
          <w:lang w:val="en-US"/>
        </w:rPr>
        <w:t>.</w:t>
      </w:r>
    </w:p>
    <w:p w14:paraId="29F13292" w14:textId="7708F243" w:rsidR="00CE2518" w:rsidRPr="001C5700" w:rsidRDefault="00CE2518" w:rsidP="00F15126">
      <w:pPr>
        <w:pStyle w:val="Paragraph"/>
        <w:spacing w:line="360" w:lineRule="auto"/>
        <w:ind w:firstLine="720"/>
        <w:rPr>
          <w:lang w:val="en-US"/>
        </w:rPr>
      </w:pPr>
      <w:r w:rsidRPr="001C5700">
        <w:rPr>
          <w:lang w:val="en-US"/>
        </w:rPr>
        <w:t>For homeowners aged 7</w:t>
      </w:r>
      <w:r w:rsidR="00A001F9">
        <w:rPr>
          <w:lang w:val="en-US"/>
        </w:rPr>
        <w:t>2</w:t>
      </w:r>
      <w:r w:rsidRPr="001C5700">
        <w:rPr>
          <w:lang w:val="en-US"/>
        </w:rPr>
        <w:t xml:space="preserve"> and older, </w:t>
      </w:r>
      <w:r w:rsidR="00F17BD6">
        <w:rPr>
          <w:lang w:val="en-US"/>
        </w:rPr>
        <w:t xml:space="preserve">we see </w:t>
      </w:r>
      <w:r w:rsidR="0023271B">
        <w:rPr>
          <w:lang w:val="en-US"/>
        </w:rPr>
        <w:t xml:space="preserve">a positive and significant </w:t>
      </w:r>
      <w:r w:rsidR="0023271B" w:rsidRPr="002D5164">
        <w:rPr>
          <w:i/>
          <w:iCs/>
          <w:lang w:val="en-US"/>
        </w:rPr>
        <w:t>Price x Age</w:t>
      </w:r>
      <w:r w:rsidR="0023271B">
        <w:rPr>
          <w:lang w:val="en-US"/>
        </w:rPr>
        <w:t xml:space="preserve"> interaction term (1.51, p &lt; 0.01) suggesting the older adults are less price sensitive when it comes to valuing </w:t>
      </w:r>
      <w:r w:rsidR="00E85E77">
        <w:rPr>
          <w:lang w:val="en-US"/>
        </w:rPr>
        <w:t>attributes</w:t>
      </w:r>
      <w:r w:rsidR="0023271B">
        <w:rPr>
          <w:lang w:val="en-US"/>
        </w:rPr>
        <w:t>.</w:t>
      </w:r>
      <w:r w:rsidRPr="001C5700">
        <w:rPr>
          <w:lang w:val="en-US"/>
        </w:rPr>
        <w:t xml:space="preserve"> </w:t>
      </w:r>
      <w:r w:rsidR="0023271B">
        <w:rPr>
          <w:lang w:val="en-US"/>
        </w:rPr>
        <w:t>Older homeowners demonstrate</w:t>
      </w:r>
      <w:r w:rsidRPr="001C5700">
        <w:rPr>
          <w:lang w:val="en-US"/>
        </w:rPr>
        <w:t xml:space="preserve"> MWTP </w:t>
      </w:r>
      <w:r w:rsidR="0023271B">
        <w:rPr>
          <w:lang w:val="en-US"/>
        </w:rPr>
        <w:t xml:space="preserve">values </w:t>
      </w:r>
      <w:r w:rsidRPr="001C5700">
        <w:rPr>
          <w:lang w:val="en-US"/>
        </w:rPr>
        <w:t xml:space="preserve">for green space within 500 m </w:t>
      </w:r>
      <w:r w:rsidR="0023271B">
        <w:rPr>
          <w:lang w:val="en-US"/>
        </w:rPr>
        <w:t>of</w:t>
      </w:r>
      <w:r w:rsidRPr="001C5700">
        <w:rPr>
          <w:lang w:val="en-US"/>
        </w:rPr>
        <w:t xml:space="preserve"> </w:t>
      </w:r>
      <w:r w:rsidR="0023271B">
        <w:rPr>
          <w:lang w:val="en-US"/>
        </w:rPr>
        <w:t>350</w:t>
      </w:r>
      <w:r w:rsidRPr="001C5700">
        <w:rPr>
          <w:lang w:val="en-US"/>
        </w:rPr>
        <w:t xml:space="preserve"> SEK</w:t>
      </w:r>
      <w:r w:rsidR="00F17BD6">
        <w:rPr>
          <w:lang w:val="en-US"/>
        </w:rPr>
        <w:t xml:space="preserve"> a </w:t>
      </w:r>
      <w:r w:rsidRPr="001C5700">
        <w:rPr>
          <w:lang w:val="en-US"/>
        </w:rPr>
        <w:t xml:space="preserve">month, </w:t>
      </w:r>
      <w:commentRangeStart w:id="57"/>
      <w:commentRangeStart w:id="58"/>
      <w:r w:rsidRPr="001C5700">
        <w:rPr>
          <w:lang w:val="en-US"/>
        </w:rPr>
        <w:t>lower than th</w:t>
      </w:r>
      <w:r w:rsidR="00741BA3">
        <w:rPr>
          <w:lang w:val="en-US"/>
        </w:rPr>
        <w:t>e younger baseline group</w:t>
      </w:r>
      <w:commentRangeEnd w:id="57"/>
      <w:r w:rsidR="00A04839" w:rsidRPr="001C5700">
        <w:rPr>
          <w:rStyle w:val="CommentReference"/>
          <w:sz w:val="24"/>
          <w:szCs w:val="24"/>
          <w:lang w:val="en-US"/>
        </w:rPr>
        <w:commentReference w:id="57"/>
      </w:r>
      <w:commentRangeEnd w:id="58"/>
      <w:r w:rsidR="00A0779B">
        <w:rPr>
          <w:rStyle w:val="CommentReference"/>
        </w:rPr>
        <w:commentReference w:id="58"/>
      </w:r>
      <w:r w:rsidRPr="001C5700">
        <w:rPr>
          <w:lang w:val="en-US"/>
        </w:rPr>
        <w:t>.</w:t>
      </w:r>
      <w:r w:rsidRPr="001C5700">
        <w:rPr>
          <w:lang w:val="en-US"/>
        </w:rPr>
        <w:br/>
      </w:r>
      <w:commentRangeStart w:id="59"/>
      <w:commentRangeStart w:id="60"/>
      <w:r w:rsidRPr="001C5700">
        <w:rPr>
          <w:lang w:val="en-US"/>
        </w:rPr>
        <w:t xml:space="preserve">In contrast, the </w:t>
      </w:r>
      <w:r w:rsidR="00F318ED" w:rsidRPr="001C5700">
        <w:rPr>
          <w:lang w:val="en-US"/>
        </w:rPr>
        <w:t xml:space="preserve">coefficient </w:t>
      </w:r>
      <w:r w:rsidR="002D5164">
        <w:rPr>
          <w:i/>
          <w:iCs/>
          <w:lang w:val="en-US"/>
        </w:rPr>
        <w:t>T</w:t>
      </w:r>
      <w:r w:rsidR="00F318ED" w:rsidRPr="00F17BD6">
        <w:rPr>
          <w:i/>
          <w:iCs/>
          <w:lang w:val="en-US"/>
        </w:rPr>
        <w:t>ransit</w:t>
      </w:r>
      <w:r w:rsidRPr="00F17BD6">
        <w:rPr>
          <w:i/>
          <w:iCs/>
          <w:lang w:val="en-US"/>
        </w:rPr>
        <w:t xml:space="preserve"> stop × </w:t>
      </w:r>
      <w:r w:rsidR="0023271B">
        <w:rPr>
          <w:i/>
          <w:iCs/>
          <w:lang w:val="en-US"/>
        </w:rPr>
        <w:t>Age</w:t>
      </w:r>
      <w:r w:rsidRPr="00F17BD6">
        <w:rPr>
          <w:i/>
          <w:iCs/>
          <w:lang w:val="en-US"/>
        </w:rPr>
        <w:t>+</w:t>
      </w:r>
      <w:r w:rsidRPr="001C5700">
        <w:rPr>
          <w:lang w:val="en-US"/>
        </w:rPr>
        <w:t xml:space="preserve"> is positive (0.</w:t>
      </w:r>
      <w:r w:rsidR="0023271B">
        <w:rPr>
          <w:lang w:val="en-US"/>
        </w:rPr>
        <w:t>50</w:t>
      </w:r>
      <w:r w:rsidRPr="001C5700">
        <w:rPr>
          <w:lang w:val="en-US"/>
        </w:rPr>
        <w:t>, p &lt; 0.0</w:t>
      </w:r>
      <w:r w:rsidR="0023271B">
        <w:rPr>
          <w:lang w:val="en-US"/>
        </w:rPr>
        <w:t>1</w:t>
      </w:r>
      <w:r w:rsidRPr="001C5700">
        <w:rPr>
          <w:lang w:val="en-US"/>
        </w:rPr>
        <w:t>), suggesting that the oldest homeowners place greater value on transit accessibility</w:t>
      </w:r>
      <w:commentRangeEnd w:id="59"/>
      <w:r w:rsidR="00A04839" w:rsidRPr="001C5700">
        <w:rPr>
          <w:rStyle w:val="CommentReference"/>
          <w:sz w:val="24"/>
          <w:szCs w:val="24"/>
          <w:lang w:val="en-US"/>
        </w:rPr>
        <w:commentReference w:id="59"/>
      </w:r>
      <w:commentRangeEnd w:id="60"/>
      <w:r w:rsidR="00A0779B">
        <w:rPr>
          <w:rStyle w:val="CommentReference"/>
        </w:rPr>
        <w:commentReference w:id="60"/>
      </w:r>
      <w:r w:rsidRPr="001C5700">
        <w:rPr>
          <w:lang w:val="en-US"/>
        </w:rPr>
        <w:t xml:space="preserve">. Their MWTP for a 600 m transit stop is approximately </w:t>
      </w:r>
      <w:r w:rsidR="00F17BD6">
        <w:rPr>
          <w:lang w:val="en-US"/>
        </w:rPr>
        <w:t>1</w:t>
      </w:r>
      <w:r w:rsidR="0023271B">
        <w:rPr>
          <w:lang w:val="en-US"/>
        </w:rPr>
        <w:t>22</w:t>
      </w:r>
      <w:r w:rsidRPr="001C5700">
        <w:rPr>
          <w:lang w:val="en-US"/>
        </w:rPr>
        <w:t xml:space="preserve"> SEK</w:t>
      </w:r>
      <w:r w:rsidR="00F17BD6">
        <w:rPr>
          <w:lang w:val="en-US"/>
        </w:rPr>
        <w:t xml:space="preserve"> a </w:t>
      </w:r>
      <w:r w:rsidRPr="001C5700">
        <w:rPr>
          <w:lang w:val="en-US"/>
        </w:rPr>
        <w:t xml:space="preserve">month, compared with </w:t>
      </w:r>
      <w:r w:rsidR="0023271B">
        <w:rPr>
          <w:lang w:val="en-US"/>
        </w:rPr>
        <w:t>13</w:t>
      </w:r>
      <w:r w:rsidRPr="001C5700">
        <w:rPr>
          <w:lang w:val="en-US"/>
        </w:rPr>
        <w:t xml:space="preserve"> SEK for younger respondents.</w:t>
      </w:r>
      <w:r w:rsidR="00F318ED">
        <w:rPr>
          <w:lang w:val="en-US"/>
        </w:rPr>
        <w:t xml:space="preserve">  </w:t>
      </w:r>
      <w:r w:rsidRPr="001C5700">
        <w:rPr>
          <w:lang w:val="en-US"/>
        </w:rPr>
        <w:t xml:space="preserve">These results imply that while overall preference patterns are stable across age groups, the relative importance of green space and public transport accessibility shifts modestly among </w:t>
      </w:r>
      <w:proofErr w:type="gramStart"/>
      <w:r w:rsidRPr="001C5700">
        <w:rPr>
          <w:lang w:val="en-US"/>
        </w:rPr>
        <w:t>homeowners</w:t>
      </w:r>
      <w:proofErr w:type="gramEnd"/>
      <w:r w:rsidRPr="001C5700">
        <w:rPr>
          <w:lang w:val="en-US"/>
        </w:rPr>
        <w:t xml:space="preserve"> </w:t>
      </w:r>
      <w:r w:rsidR="0023271B">
        <w:rPr>
          <w:lang w:val="en-US"/>
        </w:rPr>
        <w:t>above median age.</w:t>
      </w:r>
    </w:p>
    <w:p w14:paraId="7CCA91D4" w14:textId="520F6952" w:rsidR="00CE2518" w:rsidRPr="00CE2518" w:rsidRDefault="00CE2518" w:rsidP="00F15126">
      <w:pPr>
        <w:pStyle w:val="Paragraph"/>
        <w:spacing w:line="360" w:lineRule="auto"/>
        <w:ind w:firstLine="720"/>
        <w:rPr>
          <w:lang w:val="en-US"/>
        </w:rPr>
      </w:pPr>
      <w:r w:rsidRPr="001C5700">
        <w:rPr>
          <w:lang w:val="en-US"/>
        </w:rPr>
        <w:t>Among renters under 7</w:t>
      </w:r>
      <w:r w:rsidR="0023271B">
        <w:rPr>
          <w:lang w:val="en-US"/>
        </w:rPr>
        <w:t>2</w:t>
      </w:r>
      <w:r w:rsidRPr="001C5700">
        <w:rPr>
          <w:lang w:val="en-US"/>
        </w:rPr>
        <w:t xml:space="preserve">, MWTPs mirror those of homeowners in relative terms: </w:t>
      </w:r>
      <w:r w:rsidR="0023271B">
        <w:rPr>
          <w:lang w:val="en-US"/>
        </w:rPr>
        <w:t>475</w:t>
      </w:r>
      <w:r w:rsidRPr="001C5700">
        <w:rPr>
          <w:lang w:val="en-US"/>
        </w:rPr>
        <w:t xml:space="preserve"> SEK for green space within 500 m, </w:t>
      </w:r>
      <w:r w:rsidR="0023271B">
        <w:rPr>
          <w:lang w:val="en-US"/>
        </w:rPr>
        <w:t>475</w:t>
      </w:r>
      <w:r w:rsidRPr="001C5700">
        <w:rPr>
          <w:lang w:val="en-US"/>
        </w:rPr>
        <w:t xml:space="preserve"> SEK for shops within 500 m, and 2</w:t>
      </w:r>
      <w:r w:rsidR="0023271B">
        <w:rPr>
          <w:lang w:val="en-US"/>
        </w:rPr>
        <w:t>43</w:t>
      </w:r>
      <w:r w:rsidRPr="001C5700">
        <w:rPr>
          <w:lang w:val="en-US"/>
        </w:rPr>
        <w:t>–</w:t>
      </w:r>
      <w:r w:rsidR="0023271B">
        <w:rPr>
          <w:lang w:val="en-US"/>
        </w:rPr>
        <w:t>263</w:t>
      </w:r>
      <w:r w:rsidRPr="001C5700">
        <w:rPr>
          <w:lang w:val="en-US"/>
        </w:rPr>
        <w:t xml:space="preserve"> SEK for parking amenities.</w:t>
      </w:r>
      <w:r w:rsidR="00F318ED">
        <w:rPr>
          <w:lang w:val="en-US"/>
        </w:rPr>
        <w:t xml:space="preserve">  </w:t>
      </w:r>
      <w:r w:rsidR="00F17BD6">
        <w:rPr>
          <w:lang w:val="en-US"/>
        </w:rPr>
        <w:t xml:space="preserve">We observe that </w:t>
      </w:r>
      <w:r w:rsidR="0023271B">
        <w:rPr>
          <w:lang w:val="en-US"/>
        </w:rPr>
        <w:t xml:space="preserve">older </w:t>
      </w:r>
      <w:r w:rsidRPr="001C5700">
        <w:rPr>
          <w:lang w:val="en-US"/>
        </w:rPr>
        <w:t xml:space="preserve">renters </w:t>
      </w:r>
      <w:commentRangeStart w:id="61"/>
      <w:commentRangeStart w:id="62"/>
      <w:r w:rsidRPr="001C5700">
        <w:rPr>
          <w:lang w:val="en-US"/>
        </w:rPr>
        <w:t>aged</w:t>
      </w:r>
      <w:commentRangeEnd w:id="61"/>
      <w:r w:rsidR="00A04839" w:rsidRPr="001C5700">
        <w:rPr>
          <w:rStyle w:val="CommentReference"/>
          <w:sz w:val="24"/>
          <w:szCs w:val="24"/>
          <w:lang w:val="en-US"/>
        </w:rPr>
        <w:commentReference w:id="61"/>
      </w:r>
      <w:commentRangeEnd w:id="62"/>
      <w:r w:rsidR="00A0779B">
        <w:rPr>
          <w:rStyle w:val="CommentReference"/>
        </w:rPr>
        <w:commentReference w:id="62"/>
      </w:r>
      <w:r w:rsidRPr="001C5700">
        <w:rPr>
          <w:lang w:val="en-US"/>
        </w:rPr>
        <w:t xml:space="preserve"> </w:t>
      </w:r>
      <w:r w:rsidR="00F17BD6">
        <w:rPr>
          <w:lang w:val="en-US"/>
        </w:rPr>
        <w:t>proximity to shops to a lesser extent than their younger counterpart</w:t>
      </w:r>
      <w:r w:rsidR="008404AB">
        <w:rPr>
          <w:lang w:val="en-US"/>
        </w:rPr>
        <w:t xml:space="preserve"> with a MWTP of </w:t>
      </w:r>
      <w:r w:rsidR="0023271B">
        <w:rPr>
          <w:lang w:val="en-US"/>
        </w:rPr>
        <w:t>381</w:t>
      </w:r>
      <w:r w:rsidR="008404AB">
        <w:rPr>
          <w:lang w:val="en-US"/>
        </w:rPr>
        <w:t xml:space="preserve"> SEK compared to </w:t>
      </w:r>
      <w:r w:rsidR="0023271B">
        <w:rPr>
          <w:lang w:val="en-US"/>
        </w:rPr>
        <w:t>475</w:t>
      </w:r>
      <w:r w:rsidR="008404AB">
        <w:rPr>
          <w:lang w:val="en-US"/>
        </w:rPr>
        <w:t xml:space="preserve"> SEK</w:t>
      </w:r>
      <w:r w:rsidRPr="001C5700">
        <w:rPr>
          <w:lang w:val="en-US"/>
        </w:rPr>
        <w:t xml:space="preserve">. Other interactions, including those for green space, transit, and parking, are statistically insignificant, although </w:t>
      </w:r>
      <w:r w:rsidR="000807B7">
        <w:rPr>
          <w:lang w:val="en-US"/>
        </w:rPr>
        <w:t xml:space="preserve">delta method confidence intervals </w:t>
      </w:r>
      <w:r w:rsidRPr="001C5700">
        <w:rPr>
          <w:lang w:val="en-US"/>
        </w:rPr>
        <w:t>MWTP values remain positive, suggesting continued but more</w:t>
      </w:r>
      <w:r w:rsidRPr="00CE2518">
        <w:rPr>
          <w:lang w:val="en-US"/>
        </w:rPr>
        <w:t xml:space="preserve"> modest preferences for these amenities.</w:t>
      </w:r>
    </w:p>
    <w:p w14:paraId="68110C0E" w14:textId="7E2A78E0" w:rsidR="00CE2518" w:rsidRPr="00CE2518" w:rsidRDefault="00CE2518" w:rsidP="00F15126">
      <w:pPr>
        <w:pStyle w:val="Paragraph"/>
        <w:spacing w:line="360" w:lineRule="auto"/>
        <w:ind w:firstLine="720"/>
        <w:rPr>
          <w:lang w:val="en-US"/>
        </w:rPr>
      </w:pPr>
      <w:commentRangeStart w:id="63"/>
      <w:commentRangeStart w:id="64"/>
      <w:r w:rsidRPr="00CE2518">
        <w:rPr>
          <w:lang w:val="en-US"/>
        </w:rPr>
        <w:t>Both specifications demonstrate good fit</w:t>
      </w:r>
      <w:commentRangeEnd w:id="63"/>
      <w:r w:rsidR="00A220A3" w:rsidRPr="00CE2518">
        <w:rPr>
          <w:rStyle w:val="CommentReference"/>
          <w:sz w:val="24"/>
          <w:szCs w:val="24"/>
          <w:lang w:val="en-US"/>
        </w:rPr>
        <w:commentReference w:id="63"/>
      </w:r>
      <w:commentRangeEnd w:id="64"/>
      <w:r w:rsidR="00A0779B">
        <w:rPr>
          <w:rStyle w:val="CommentReference"/>
        </w:rPr>
        <w:commentReference w:id="64"/>
      </w:r>
      <w:r w:rsidRPr="00CE2518">
        <w:rPr>
          <w:lang w:val="en-US"/>
        </w:rPr>
        <w:t>. The homeowner model yields a log-likelihood of −</w:t>
      </w:r>
      <w:r w:rsidR="0023271B">
        <w:rPr>
          <w:lang w:val="en-US"/>
        </w:rPr>
        <w:t>3143.01</w:t>
      </w:r>
      <w:r w:rsidRPr="00CE2518">
        <w:rPr>
          <w:lang w:val="en-US"/>
        </w:rPr>
        <w:t xml:space="preserve"> (McFadden R² = 0.3</w:t>
      </w:r>
      <w:r w:rsidR="0023271B">
        <w:rPr>
          <w:lang w:val="en-US"/>
        </w:rPr>
        <w:t>6</w:t>
      </w:r>
      <w:r w:rsidRPr="00CE2518">
        <w:rPr>
          <w:lang w:val="en-US"/>
        </w:rPr>
        <w:t>), and the renter model −</w:t>
      </w:r>
      <w:r w:rsidR="0023271B">
        <w:rPr>
          <w:lang w:val="en-US"/>
        </w:rPr>
        <w:t>623.13</w:t>
      </w:r>
      <w:r w:rsidRPr="00CE2518">
        <w:rPr>
          <w:lang w:val="en-US"/>
        </w:rPr>
        <w:t xml:space="preserve"> (R² = 0.</w:t>
      </w:r>
      <w:r w:rsidR="0023271B">
        <w:rPr>
          <w:lang w:val="en-US"/>
        </w:rPr>
        <w:t>38</w:t>
      </w:r>
      <w:r w:rsidRPr="00CE2518">
        <w:rPr>
          <w:lang w:val="en-US"/>
        </w:rPr>
        <w:t>). Likelihood-ratio tests reject the null of no interaction effects (p &lt; 0.001 for both models), confirming that age heterogeneity contributes significantly to explaining observed choice behavior.</w:t>
      </w:r>
      <w:r w:rsidR="003E61F3">
        <w:rPr>
          <w:lang w:val="en-US"/>
        </w:rPr>
        <w:t xml:space="preserve"> </w:t>
      </w:r>
    </w:p>
    <w:p w14:paraId="0A5B690A" w14:textId="407BB6F7" w:rsidR="00EA0C07" w:rsidRPr="00CE2518" w:rsidRDefault="00EA0C07" w:rsidP="00F15126">
      <w:pPr>
        <w:pStyle w:val="Paragraph"/>
        <w:spacing w:line="360" w:lineRule="auto"/>
        <w:ind w:firstLine="720"/>
        <w:rPr>
          <w:lang w:val="en-US"/>
        </w:rPr>
      </w:pPr>
    </w:p>
    <w:p w14:paraId="6FD94BBE" w14:textId="57EEDA5C" w:rsidR="00EA0C07" w:rsidRDefault="00EA0C07" w:rsidP="00F15126">
      <w:pPr>
        <w:pStyle w:val="Caption"/>
        <w:keepNext/>
        <w:spacing w:line="360" w:lineRule="auto"/>
        <w:jc w:val="center"/>
      </w:pPr>
      <w:r>
        <w:lastRenderedPageBreak/>
        <w:t xml:space="preserve">Table </w:t>
      </w:r>
      <w:fldSimple w:instr=" SEQ Table \* ARABIC ">
        <w:r w:rsidR="00482C8F">
          <w:rPr>
            <w:noProof/>
          </w:rPr>
          <w:t>5</w:t>
        </w:r>
      </w:fldSimple>
      <w:r w:rsidRPr="0089607B">
        <w:t>- Interaction Regression</w:t>
      </w:r>
      <w:r>
        <w:t xml:space="preserve"> - </w:t>
      </w:r>
      <w:r w:rsidR="00A001F9">
        <w:t>Age</w:t>
      </w:r>
    </w:p>
    <w:p w14:paraId="0668B5BB" w14:textId="4205F654" w:rsidR="00127537" w:rsidRDefault="007E6433" w:rsidP="00A001F9">
      <w:pPr>
        <w:pStyle w:val="Paragraph"/>
        <w:spacing w:line="360" w:lineRule="auto"/>
        <w:jc w:val="center"/>
        <w:rPr>
          <w:lang w:val="en-US"/>
        </w:rPr>
      </w:pPr>
      <w:r w:rsidRPr="007E6433">
        <w:rPr>
          <w:noProof/>
          <w:lang w:val="en-US"/>
        </w:rPr>
        <w:drawing>
          <wp:inline distT="0" distB="0" distL="0" distR="0" wp14:anchorId="79C7C835" wp14:editId="6970FD79">
            <wp:extent cx="5396865" cy="6329680"/>
            <wp:effectExtent l="0" t="0" r="0" b="0"/>
            <wp:docPr id="599495517" name="Picture 1"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95517" name="Picture 1" descr="A table of numbers and a few words&#10;&#10;AI-generated content may be incorrect."/>
                    <pic:cNvPicPr/>
                  </pic:nvPicPr>
                  <pic:blipFill>
                    <a:blip r:embed="rId19"/>
                    <a:stretch>
                      <a:fillRect/>
                    </a:stretch>
                  </pic:blipFill>
                  <pic:spPr>
                    <a:xfrm>
                      <a:off x="0" y="0"/>
                      <a:ext cx="5396865" cy="6329680"/>
                    </a:xfrm>
                    <a:prstGeom prst="rect">
                      <a:avLst/>
                    </a:prstGeom>
                  </pic:spPr>
                </pic:pic>
              </a:graphicData>
            </a:graphic>
          </wp:inline>
        </w:drawing>
      </w:r>
    </w:p>
    <w:p w14:paraId="567B3CE3" w14:textId="77777777" w:rsidR="00EA0C07" w:rsidRDefault="00EA0C07" w:rsidP="00F15126">
      <w:pPr>
        <w:pStyle w:val="Newparagraph"/>
        <w:spacing w:line="360" w:lineRule="auto"/>
        <w:rPr>
          <w:lang w:val="en-US"/>
        </w:rPr>
      </w:pPr>
    </w:p>
    <w:p w14:paraId="42A0FCC7" w14:textId="77777777" w:rsidR="00CE2518" w:rsidRDefault="00CE2518" w:rsidP="00F15126">
      <w:pPr>
        <w:pStyle w:val="Heading3"/>
        <w:rPr>
          <w:lang w:val="en-US"/>
        </w:rPr>
      </w:pPr>
    </w:p>
    <w:p w14:paraId="7EE53280" w14:textId="77777777" w:rsidR="00CE2518" w:rsidRDefault="00CE2518" w:rsidP="00F15126">
      <w:pPr>
        <w:pStyle w:val="Heading3"/>
        <w:rPr>
          <w:lang w:val="en-US"/>
        </w:rPr>
      </w:pPr>
    </w:p>
    <w:p w14:paraId="631A7CAB" w14:textId="77777777" w:rsidR="00CE2518" w:rsidRDefault="00CE2518" w:rsidP="00F15126">
      <w:pPr>
        <w:pStyle w:val="Heading3"/>
        <w:rPr>
          <w:lang w:val="en-US"/>
        </w:rPr>
      </w:pPr>
    </w:p>
    <w:p w14:paraId="1410AB26" w14:textId="77777777" w:rsidR="00CE2518" w:rsidRDefault="00CE2518" w:rsidP="00F15126">
      <w:pPr>
        <w:pStyle w:val="Heading3"/>
        <w:rPr>
          <w:lang w:val="en-US"/>
        </w:rPr>
      </w:pPr>
    </w:p>
    <w:p w14:paraId="50672C56" w14:textId="77777777" w:rsidR="00CE2518" w:rsidRDefault="00CE2518" w:rsidP="00F15126">
      <w:pPr>
        <w:pStyle w:val="Heading3"/>
        <w:rPr>
          <w:lang w:val="en-US"/>
        </w:rPr>
      </w:pPr>
    </w:p>
    <w:p w14:paraId="6676867B" w14:textId="06A4B787" w:rsidR="00CE2518" w:rsidRDefault="00CE2518" w:rsidP="00F15126">
      <w:pPr>
        <w:spacing w:line="360" w:lineRule="auto"/>
        <w:rPr>
          <w:rFonts w:cs="Arial"/>
          <w:bCs/>
          <w:i/>
          <w:szCs w:val="26"/>
          <w:lang w:val="en-US"/>
        </w:rPr>
      </w:pPr>
      <w:r>
        <w:rPr>
          <w:lang w:val="en-US"/>
        </w:rPr>
        <w:br w:type="page"/>
      </w:r>
    </w:p>
    <w:p w14:paraId="78215C1A" w14:textId="77777777" w:rsidR="00CE2518" w:rsidRDefault="00CE2518" w:rsidP="00F15126">
      <w:pPr>
        <w:pStyle w:val="Heading3"/>
        <w:rPr>
          <w:lang w:val="en-US"/>
        </w:rPr>
      </w:pPr>
    </w:p>
    <w:p w14:paraId="090E5A23" w14:textId="77777777" w:rsidR="00CE2518" w:rsidRDefault="00CE2518" w:rsidP="00F15126">
      <w:pPr>
        <w:pStyle w:val="Heading3"/>
        <w:rPr>
          <w:lang w:val="en-US"/>
        </w:rPr>
      </w:pPr>
    </w:p>
    <w:p w14:paraId="76A192F9" w14:textId="7215416A" w:rsidR="008404AB" w:rsidRPr="00E85E77" w:rsidRDefault="00EA0C07" w:rsidP="00E85E77">
      <w:pPr>
        <w:pStyle w:val="Heading3"/>
        <w:rPr>
          <w:lang w:val="en-US"/>
        </w:rPr>
      </w:pPr>
      <w:r>
        <w:rPr>
          <w:lang w:val="en-US"/>
        </w:rPr>
        <w:t>Gender</w:t>
      </w:r>
      <w:r w:rsidR="00E85E77">
        <w:rPr>
          <w:lang w:val="en-US"/>
        </w:rPr>
        <w:t xml:space="preserve"> models</w:t>
      </w:r>
    </w:p>
    <w:p w14:paraId="5563AEFC" w14:textId="57A4426A" w:rsidR="00CE2518" w:rsidRPr="00F318ED" w:rsidRDefault="00720BD4" w:rsidP="00B26932">
      <w:pPr>
        <w:pStyle w:val="Paragraph"/>
        <w:spacing w:line="360" w:lineRule="auto"/>
        <w:ind w:firstLine="720"/>
        <w:rPr>
          <w:lang w:val="en-US"/>
        </w:rPr>
      </w:pPr>
      <w:r>
        <w:rPr>
          <w:lang w:val="en-US"/>
        </w:rPr>
        <w:t xml:space="preserve">As shown in Table 6, </w:t>
      </w:r>
      <w:r w:rsidR="00CE2518" w:rsidRPr="00CE2518">
        <w:rPr>
          <w:lang w:val="en-US"/>
        </w:rPr>
        <w:t>female homeowners</w:t>
      </w:r>
      <w:r>
        <w:rPr>
          <w:lang w:val="en-US"/>
        </w:rPr>
        <w:t xml:space="preserve"> show </w:t>
      </w:r>
      <w:r w:rsidR="00CE2518" w:rsidRPr="00CE2518">
        <w:rPr>
          <w:lang w:val="en-US"/>
        </w:rPr>
        <w:t xml:space="preserve">strong and statistically significant preferences for proximity-based amenities. The corresponding MWTPs are </w:t>
      </w:r>
      <w:r w:rsidR="000131B8">
        <w:rPr>
          <w:lang w:val="en-US"/>
        </w:rPr>
        <w:t>47</w:t>
      </w:r>
      <w:r w:rsidR="00E90FC7">
        <w:rPr>
          <w:lang w:val="en-US"/>
        </w:rPr>
        <w:t>8</w:t>
      </w:r>
      <w:r w:rsidR="00CE2518" w:rsidRPr="00CE2518">
        <w:rPr>
          <w:lang w:val="en-US"/>
        </w:rPr>
        <w:t xml:space="preserve"> SEK</w:t>
      </w:r>
      <w:r w:rsidR="000131B8">
        <w:rPr>
          <w:lang w:val="en-US"/>
        </w:rPr>
        <w:t xml:space="preserve"> a </w:t>
      </w:r>
      <w:r w:rsidR="00CE2518" w:rsidRPr="00CE2518">
        <w:rPr>
          <w:lang w:val="en-US"/>
        </w:rPr>
        <w:t xml:space="preserve">month for green space within 500 m, </w:t>
      </w:r>
      <w:r w:rsidR="000131B8">
        <w:rPr>
          <w:lang w:val="en-US"/>
        </w:rPr>
        <w:t>618</w:t>
      </w:r>
      <w:r w:rsidR="00CE2518" w:rsidRPr="00CE2518">
        <w:rPr>
          <w:lang w:val="en-US"/>
        </w:rPr>
        <w:t xml:space="preserve"> SEK for shops within 500 m, and 4</w:t>
      </w:r>
      <w:r w:rsidR="00E90FC7">
        <w:rPr>
          <w:lang w:val="en-US"/>
        </w:rPr>
        <w:t>30</w:t>
      </w:r>
      <w:r w:rsidR="00CE2518" w:rsidRPr="00CE2518">
        <w:rPr>
          <w:lang w:val="en-US"/>
        </w:rPr>
        <w:t>–5</w:t>
      </w:r>
      <w:r w:rsidR="00E90FC7">
        <w:rPr>
          <w:lang w:val="en-US"/>
        </w:rPr>
        <w:t>50</w:t>
      </w:r>
      <w:r w:rsidR="00CE2518" w:rsidRPr="00CE2518">
        <w:rPr>
          <w:lang w:val="en-US"/>
        </w:rPr>
        <w:t xml:space="preserve"> SEK for parking amenities.</w:t>
      </w:r>
      <w:r w:rsidR="00B26932">
        <w:rPr>
          <w:lang w:val="en-US"/>
        </w:rPr>
        <w:t xml:space="preserve">  M</w:t>
      </w:r>
      <w:r w:rsidR="00CE2518" w:rsidRPr="00F318ED">
        <w:rPr>
          <w:lang w:val="en-US"/>
        </w:rPr>
        <w:t>ale homeowners</w:t>
      </w:r>
      <w:r w:rsidR="00B26932">
        <w:rPr>
          <w:lang w:val="en-US"/>
        </w:rPr>
        <w:t xml:space="preserve"> prioritize proximity to shops, with MWTP values 75 SEK greater than female homeowners.  Parking availability is also prioritized by male homeowners, </w:t>
      </w:r>
      <w:r w:rsidR="00EB4796">
        <w:rPr>
          <w:lang w:val="en-US"/>
        </w:rPr>
        <w:t>who demonstrate much stronger preferences for reserved parking facilities than women (5</w:t>
      </w:r>
      <w:r w:rsidR="000131B8">
        <w:rPr>
          <w:lang w:val="en-US"/>
        </w:rPr>
        <w:t>18</w:t>
      </w:r>
      <w:r w:rsidR="00EB4796">
        <w:rPr>
          <w:lang w:val="en-US"/>
        </w:rPr>
        <w:t>-6</w:t>
      </w:r>
      <w:r w:rsidR="000131B8">
        <w:rPr>
          <w:lang w:val="en-US"/>
        </w:rPr>
        <w:t>2</w:t>
      </w:r>
      <w:r w:rsidR="00EB4796">
        <w:rPr>
          <w:lang w:val="en-US"/>
        </w:rPr>
        <w:t>4 SEK vs 4</w:t>
      </w:r>
      <w:r w:rsidR="00E90FC7">
        <w:rPr>
          <w:lang w:val="en-US"/>
        </w:rPr>
        <w:t>30</w:t>
      </w:r>
      <w:r w:rsidR="00EB4796">
        <w:rPr>
          <w:lang w:val="en-US"/>
        </w:rPr>
        <w:t>-5</w:t>
      </w:r>
      <w:r w:rsidR="00E90FC7">
        <w:rPr>
          <w:lang w:val="en-US"/>
        </w:rPr>
        <w:t>50</w:t>
      </w:r>
      <w:r w:rsidR="00EB4796">
        <w:rPr>
          <w:lang w:val="en-US"/>
        </w:rPr>
        <w:t xml:space="preserve"> SEK).</w:t>
      </w:r>
      <w:r w:rsidR="00EB4796" w:rsidRPr="00F318ED">
        <w:rPr>
          <w:lang w:val="en-US"/>
        </w:rPr>
        <w:t xml:space="preserve"> </w:t>
      </w:r>
      <w:r w:rsidR="00EB4796">
        <w:rPr>
          <w:lang w:val="en-US"/>
        </w:rPr>
        <w:t>Compared to female homeowners, males value proximity to green spaces to a lesser extent with a MWTP value of 3</w:t>
      </w:r>
      <w:r w:rsidR="000131B8">
        <w:rPr>
          <w:lang w:val="en-US"/>
        </w:rPr>
        <w:t>1</w:t>
      </w:r>
      <w:r w:rsidR="00E90FC7">
        <w:rPr>
          <w:lang w:val="en-US"/>
        </w:rPr>
        <w:t>3</w:t>
      </w:r>
      <w:r w:rsidR="00EB4796">
        <w:rPr>
          <w:lang w:val="en-US"/>
        </w:rPr>
        <w:t xml:space="preserve"> SEK</w:t>
      </w:r>
      <w:r w:rsidR="000131B8">
        <w:rPr>
          <w:lang w:val="en-US"/>
        </w:rPr>
        <w:t xml:space="preserve"> a month</w:t>
      </w:r>
      <w:r w:rsidR="00EB4796">
        <w:rPr>
          <w:lang w:val="en-US"/>
        </w:rPr>
        <w:t>.</w:t>
      </w:r>
    </w:p>
    <w:p w14:paraId="0908CC6A" w14:textId="024FBCC9" w:rsidR="00CE2518" w:rsidRPr="00CE2518" w:rsidRDefault="00CE2518" w:rsidP="00F15126">
      <w:pPr>
        <w:pStyle w:val="Paragraph"/>
        <w:spacing w:line="360" w:lineRule="auto"/>
        <w:ind w:firstLine="720"/>
        <w:rPr>
          <w:lang w:val="en-US"/>
        </w:rPr>
      </w:pPr>
      <w:r w:rsidRPr="00CE2518">
        <w:rPr>
          <w:lang w:val="en-US"/>
        </w:rPr>
        <w:t xml:space="preserve">Among renters, coefficient estimates reveal no statistically significant gender interactions. The main effects for female renters indicate positive and significant preferences for proximity to green space and shops, with corresponding MWTPs of </w:t>
      </w:r>
      <w:r w:rsidR="000131B8">
        <w:rPr>
          <w:lang w:val="en-US"/>
        </w:rPr>
        <w:t>32</w:t>
      </w:r>
      <w:r w:rsidR="00E90FC7">
        <w:rPr>
          <w:lang w:val="en-US"/>
        </w:rPr>
        <w:t>4</w:t>
      </w:r>
      <w:r w:rsidR="000131B8">
        <w:rPr>
          <w:lang w:val="en-US"/>
        </w:rPr>
        <w:t xml:space="preserve"> and 366</w:t>
      </w:r>
      <w:r w:rsidRPr="00CE2518">
        <w:rPr>
          <w:lang w:val="en-US"/>
        </w:rPr>
        <w:t xml:space="preserve"> SEK</w:t>
      </w:r>
      <w:r w:rsidR="00EB4796">
        <w:rPr>
          <w:lang w:val="en-US"/>
        </w:rPr>
        <w:t xml:space="preserve"> a </w:t>
      </w:r>
      <w:r w:rsidRPr="00CE2518">
        <w:rPr>
          <w:lang w:val="en-US"/>
        </w:rPr>
        <w:t>month</w:t>
      </w:r>
      <w:r w:rsidR="000131B8">
        <w:rPr>
          <w:lang w:val="en-US"/>
        </w:rPr>
        <w:t>, respectively</w:t>
      </w:r>
      <w:r w:rsidRPr="00CE2518">
        <w:rPr>
          <w:lang w:val="en-US"/>
        </w:rPr>
        <w:t xml:space="preserve">. Male renters’ coefficients are directionally similar, though MWP magnitudes are modestly higher </w:t>
      </w:r>
      <w:r w:rsidR="00EB4796" w:rsidRPr="00CE2518">
        <w:rPr>
          <w:lang w:val="en-US"/>
        </w:rPr>
        <w:t>(</w:t>
      </w:r>
      <w:r w:rsidR="000131B8">
        <w:rPr>
          <w:lang w:val="en-US"/>
        </w:rPr>
        <w:t>381</w:t>
      </w:r>
      <w:r w:rsidRPr="00CE2518">
        <w:rPr>
          <w:lang w:val="en-US"/>
        </w:rPr>
        <w:t xml:space="preserve"> SEK for green space and </w:t>
      </w:r>
      <w:r w:rsidR="000131B8">
        <w:rPr>
          <w:lang w:val="en-US"/>
        </w:rPr>
        <w:t>5</w:t>
      </w:r>
      <w:r w:rsidR="00E90FC7">
        <w:rPr>
          <w:lang w:val="en-US"/>
        </w:rPr>
        <w:t>10</w:t>
      </w:r>
      <w:r w:rsidRPr="00CE2518">
        <w:rPr>
          <w:lang w:val="en-US"/>
        </w:rPr>
        <w:t xml:space="preserve"> SEK for shops), indicating consistent but not statistically distinct preferences.</w:t>
      </w:r>
    </w:p>
    <w:p w14:paraId="5337D314" w14:textId="46572154" w:rsidR="00CE2518" w:rsidRPr="00CE2518" w:rsidRDefault="00CE2518" w:rsidP="00F15126">
      <w:pPr>
        <w:pStyle w:val="Paragraph"/>
        <w:spacing w:line="360" w:lineRule="auto"/>
        <w:ind w:firstLine="720"/>
        <w:rPr>
          <w:lang w:val="en-US"/>
        </w:rPr>
      </w:pPr>
      <w:r w:rsidRPr="00CE2518">
        <w:rPr>
          <w:lang w:val="en-US"/>
        </w:rPr>
        <w:t xml:space="preserve">The results suggest that gender differences in housing preferences are limited in statistical terms, though systematic patterns are evident. Among homeowners, men show weaker preferences for green space but stronger preferences for shop proximity relative to women. Parking MWTPs are </w:t>
      </w:r>
      <w:r w:rsidR="00711216">
        <w:rPr>
          <w:lang w:val="en-US"/>
        </w:rPr>
        <w:t xml:space="preserve">demonstratively </w:t>
      </w:r>
      <w:r w:rsidRPr="00CE2518">
        <w:rPr>
          <w:lang w:val="en-US"/>
        </w:rPr>
        <w:t xml:space="preserve">higher for men while transit accessibility appears </w:t>
      </w:r>
      <w:r w:rsidR="003C589C" w:rsidRPr="00CE2518">
        <w:rPr>
          <w:lang w:val="en-US"/>
        </w:rPr>
        <w:t>gender neutral</w:t>
      </w:r>
      <w:r w:rsidRPr="00CE2518">
        <w:rPr>
          <w:lang w:val="en-US"/>
        </w:rPr>
        <w:t>. The consistency of results across tenure groups indicates that gendered patterns in housing choice are modest in magnitude, with significant variation only for specific amenity types.</w:t>
      </w:r>
    </w:p>
    <w:p w14:paraId="21BD08FF" w14:textId="26EE6CA5" w:rsidR="00EA0C07" w:rsidRPr="00CE2518" w:rsidRDefault="00EA0C07" w:rsidP="00F15126">
      <w:pPr>
        <w:pStyle w:val="Newparagraph"/>
        <w:spacing w:line="360" w:lineRule="auto"/>
        <w:jc w:val="center"/>
      </w:pPr>
    </w:p>
    <w:p w14:paraId="2CD4A90D" w14:textId="4665F437" w:rsidR="00EA0C07" w:rsidRDefault="00EA0C07" w:rsidP="00F15126">
      <w:pPr>
        <w:pStyle w:val="Newparagraph"/>
        <w:spacing w:line="360" w:lineRule="auto"/>
        <w:jc w:val="center"/>
      </w:pPr>
    </w:p>
    <w:p w14:paraId="75662CB0" w14:textId="5F7AAEBD" w:rsidR="00EA0C07" w:rsidRDefault="00EA0C07" w:rsidP="00F15126">
      <w:pPr>
        <w:pStyle w:val="Caption"/>
        <w:keepNext/>
        <w:spacing w:line="360" w:lineRule="auto"/>
        <w:jc w:val="center"/>
      </w:pPr>
      <w:r>
        <w:lastRenderedPageBreak/>
        <w:t xml:space="preserve">Table </w:t>
      </w:r>
      <w:fldSimple w:instr=" SEQ Table \* ARABIC ">
        <w:r w:rsidR="00482C8F">
          <w:rPr>
            <w:noProof/>
          </w:rPr>
          <w:t>6</w:t>
        </w:r>
      </w:fldSimple>
      <w:r>
        <w:t xml:space="preserve"> - Interaction Regression - Sex</w:t>
      </w:r>
    </w:p>
    <w:p w14:paraId="4B512CE9" w14:textId="1DBD0DCA" w:rsidR="00EA0C07" w:rsidRDefault="007E6433" w:rsidP="000131B8">
      <w:pPr>
        <w:pStyle w:val="Newparagraph"/>
        <w:spacing w:line="360" w:lineRule="auto"/>
        <w:ind w:firstLine="0"/>
        <w:jc w:val="center"/>
        <w:rPr>
          <w:lang w:val="en-US"/>
        </w:rPr>
      </w:pPr>
      <w:r w:rsidRPr="007E6433">
        <w:rPr>
          <w:noProof/>
          <w:lang w:val="en-US"/>
        </w:rPr>
        <w:drawing>
          <wp:inline distT="0" distB="0" distL="0" distR="0" wp14:anchorId="78C6CC74" wp14:editId="56BCC522">
            <wp:extent cx="5396865" cy="6336030"/>
            <wp:effectExtent l="0" t="0" r="0" b="7620"/>
            <wp:docPr id="592990142"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90142" name="Picture 1" descr="A table of numbers with numbers&#10;&#10;AI-generated content may be incorrect."/>
                    <pic:cNvPicPr/>
                  </pic:nvPicPr>
                  <pic:blipFill>
                    <a:blip r:embed="rId20"/>
                    <a:stretch>
                      <a:fillRect/>
                    </a:stretch>
                  </pic:blipFill>
                  <pic:spPr>
                    <a:xfrm>
                      <a:off x="0" y="0"/>
                      <a:ext cx="5396865" cy="6336030"/>
                    </a:xfrm>
                    <a:prstGeom prst="rect">
                      <a:avLst/>
                    </a:prstGeom>
                  </pic:spPr>
                </pic:pic>
              </a:graphicData>
            </a:graphic>
          </wp:inline>
        </w:drawing>
      </w:r>
    </w:p>
    <w:p w14:paraId="73BBA90B" w14:textId="77777777" w:rsidR="00EA0C07" w:rsidRDefault="00EA0C07" w:rsidP="00F15126">
      <w:pPr>
        <w:pStyle w:val="Newparagraph"/>
        <w:spacing w:line="360" w:lineRule="auto"/>
        <w:jc w:val="center"/>
        <w:rPr>
          <w:lang w:val="en-US"/>
        </w:rPr>
      </w:pPr>
    </w:p>
    <w:p w14:paraId="31816C53" w14:textId="77777777" w:rsidR="00CE2518" w:rsidRDefault="00CE2518" w:rsidP="00F15126">
      <w:pPr>
        <w:pStyle w:val="Newparagraph"/>
        <w:spacing w:line="360" w:lineRule="auto"/>
        <w:jc w:val="center"/>
        <w:rPr>
          <w:lang w:val="en-US"/>
        </w:rPr>
      </w:pPr>
    </w:p>
    <w:p w14:paraId="117D3A22" w14:textId="0BEBC89D" w:rsidR="00CE2518" w:rsidRDefault="00CE2518" w:rsidP="00F15126">
      <w:pPr>
        <w:spacing w:line="360" w:lineRule="auto"/>
        <w:rPr>
          <w:lang w:val="en-US"/>
        </w:rPr>
      </w:pPr>
      <w:r>
        <w:rPr>
          <w:lang w:val="en-US"/>
        </w:rPr>
        <w:br w:type="page"/>
      </w:r>
    </w:p>
    <w:p w14:paraId="005111A8" w14:textId="77777777" w:rsidR="00CE2518" w:rsidRDefault="00CE2518" w:rsidP="00F15126">
      <w:pPr>
        <w:pStyle w:val="Newparagraph"/>
        <w:spacing w:line="360" w:lineRule="auto"/>
        <w:jc w:val="center"/>
        <w:rPr>
          <w:lang w:val="en-US"/>
        </w:rPr>
      </w:pPr>
    </w:p>
    <w:p w14:paraId="1C94DBCC" w14:textId="437062F6" w:rsidR="00EA0C07" w:rsidRDefault="00EA0C07" w:rsidP="00F15126">
      <w:pPr>
        <w:pStyle w:val="Heading3"/>
        <w:rPr>
          <w:lang w:val="en-US"/>
        </w:rPr>
      </w:pPr>
      <w:r>
        <w:rPr>
          <w:lang w:val="en-US"/>
        </w:rPr>
        <w:t>Health</w:t>
      </w:r>
      <w:r w:rsidR="00F96361">
        <w:rPr>
          <w:lang w:val="en-US"/>
        </w:rPr>
        <w:t xml:space="preserve"> models</w:t>
      </w:r>
    </w:p>
    <w:p w14:paraId="5EC6171A" w14:textId="447D9FA0" w:rsidR="00CE2518" w:rsidRPr="00F318ED" w:rsidRDefault="00F128EC" w:rsidP="00F128EC">
      <w:pPr>
        <w:pStyle w:val="Paragraph"/>
        <w:spacing w:line="360" w:lineRule="auto"/>
        <w:rPr>
          <w:lang w:val="en-US"/>
        </w:rPr>
      </w:pPr>
      <w:r>
        <w:t xml:space="preserve">In </w:t>
      </w:r>
      <w:r>
        <w:rPr>
          <w:lang w:val="en-US"/>
        </w:rPr>
        <w:t xml:space="preserve">Table 7, we present the results for tests including interactions terms of attributes and health </w:t>
      </w:r>
      <w:r>
        <w:t>(coded as 1 for "good" or better health; reference = fair/poor)</w:t>
      </w:r>
      <w:r>
        <w:rPr>
          <w:lang w:val="en-US"/>
        </w:rPr>
        <w:t xml:space="preserve">.  </w:t>
      </w:r>
      <w:r w:rsidR="00CE2518" w:rsidRPr="00F318ED">
        <w:rPr>
          <w:lang w:val="en-US"/>
        </w:rPr>
        <w:t xml:space="preserve">For homeowners, </w:t>
      </w:r>
      <w:r>
        <w:rPr>
          <w:lang w:val="en-US"/>
        </w:rPr>
        <w:t>those reporting good or better health place less importance on distance to transportation, expressing MWTP values that are about one third of those with fair/poor health (</w:t>
      </w:r>
      <w:r w:rsidR="00BB3AA7">
        <w:rPr>
          <w:lang w:val="en-US"/>
        </w:rPr>
        <w:t>47</w:t>
      </w:r>
      <w:r>
        <w:rPr>
          <w:lang w:val="en-US"/>
        </w:rPr>
        <w:t xml:space="preserve"> SEK vs </w:t>
      </w:r>
      <w:r w:rsidR="00BB3AA7">
        <w:rPr>
          <w:lang w:val="en-US"/>
        </w:rPr>
        <w:t>164</w:t>
      </w:r>
      <w:r>
        <w:rPr>
          <w:lang w:val="en-US"/>
        </w:rPr>
        <w:t xml:space="preserve"> SEK).  </w:t>
      </w:r>
      <w:r w:rsidR="00BB3AA7">
        <w:rPr>
          <w:lang w:val="en-US"/>
        </w:rPr>
        <w:t>However, those reporting better health value proximity to green space</w:t>
      </w:r>
      <w:r w:rsidR="00CE2518" w:rsidRPr="00F318ED">
        <w:rPr>
          <w:lang w:val="en-US"/>
        </w:rPr>
        <w:t xml:space="preserve"> </w:t>
      </w:r>
      <w:r w:rsidR="00BB3AA7">
        <w:rPr>
          <w:lang w:val="en-US"/>
        </w:rPr>
        <w:t>to a greater extent, with MWTP values of 416 SEK a month compared to 29</w:t>
      </w:r>
      <w:r w:rsidR="00E90FC7">
        <w:rPr>
          <w:lang w:val="en-US"/>
        </w:rPr>
        <w:t>3</w:t>
      </w:r>
      <w:r w:rsidR="00BB3AA7">
        <w:rPr>
          <w:lang w:val="en-US"/>
        </w:rPr>
        <w:t xml:space="preserve"> SEK a month.</w:t>
      </w:r>
    </w:p>
    <w:p w14:paraId="2049F37A" w14:textId="14FD7280" w:rsidR="00CE2518" w:rsidRPr="00CE2518" w:rsidRDefault="00CE2518" w:rsidP="00F15126">
      <w:pPr>
        <w:pStyle w:val="Paragraph"/>
        <w:spacing w:line="360" w:lineRule="auto"/>
        <w:ind w:firstLine="720"/>
        <w:rPr>
          <w:lang w:val="en-US"/>
        </w:rPr>
      </w:pPr>
      <w:r w:rsidRPr="00CE2518">
        <w:rPr>
          <w:lang w:val="en-US"/>
        </w:rPr>
        <w:t xml:space="preserve">Among renters, </w:t>
      </w:r>
      <w:r w:rsidR="00BB3AA7">
        <w:rPr>
          <w:lang w:val="en-US"/>
        </w:rPr>
        <w:t>lesser value is placed on proximity to transportation, with those in better health demonstrating MWTP values of 93 SEK compared to 25</w:t>
      </w:r>
      <w:r w:rsidR="00E90FC7">
        <w:rPr>
          <w:lang w:val="en-US"/>
        </w:rPr>
        <w:t>2</w:t>
      </w:r>
      <w:r w:rsidR="00BB3AA7">
        <w:rPr>
          <w:lang w:val="en-US"/>
        </w:rPr>
        <w:t xml:space="preserve"> SEK a month.  Other interaction terms do not meet conventional measures of </w:t>
      </w:r>
      <w:r w:rsidR="00F96361">
        <w:rPr>
          <w:lang w:val="en-US"/>
        </w:rPr>
        <w:t>significance</w:t>
      </w:r>
      <w:r w:rsidR="00BB3AA7">
        <w:rPr>
          <w:lang w:val="en-US"/>
        </w:rPr>
        <w:t xml:space="preserve">. </w:t>
      </w:r>
      <w:r w:rsidRPr="00CE2518">
        <w:rPr>
          <w:lang w:val="en-US"/>
        </w:rPr>
        <w:t xml:space="preserve"> Nonetheless, MWTPs suggest similar patterns: renters in good health exhibit somewhat higher valuations for green space</w:t>
      </w:r>
      <w:r w:rsidR="00BB3AA7">
        <w:rPr>
          <w:lang w:val="en-US"/>
        </w:rPr>
        <w:t xml:space="preserve">, </w:t>
      </w:r>
      <w:r w:rsidRPr="00CE2518">
        <w:rPr>
          <w:lang w:val="en-US"/>
        </w:rPr>
        <w:t xml:space="preserve">whereas those in poorer health show </w:t>
      </w:r>
      <w:r w:rsidR="00F96361">
        <w:rPr>
          <w:lang w:val="en-US"/>
        </w:rPr>
        <w:t>suppressed</w:t>
      </w:r>
      <w:r w:rsidRPr="00CE2518">
        <w:rPr>
          <w:lang w:val="en-US"/>
        </w:rPr>
        <w:t xml:space="preserve"> MWTP for </w:t>
      </w:r>
      <w:r w:rsidR="00BB3AA7">
        <w:rPr>
          <w:lang w:val="en-US"/>
        </w:rPr>
        <w:t>transit stop proximity</w:t>
      </w:r>
      <w:r w:rsidRPr="00CE2518">
        <w:rPr>
          <w:lang w:val="en-US"/>
        </w:rPr>
        <w:t xml:space="preserve">. </w:t>
      </w:r>
    </w:p>
    <w:p w14:paraId="02221C6A" w14:textId="77777777" w:rsidR="00CE2518" w:rsidRPr="00CE2518" w:rsidRDefault="00CE2518" w:rsidP="00F15126">
      <w:pPr>
        <w:pStyle w:val="Newparagraph"/>
        <w:spacing w:line="360" w:lineRule="auto"/>
      </w:pPr>
    </w:p>
    <w:p w14:paraId="1795B825" w14:textId="6B5003D0" w:rsidR="00EA0C07" w:rsidRPr="00EA0C07" w:rsidRDefault="00EA0C07" w:rsidP="00F15126">
      <w:pPr>
        <w:pStyle w:val="Newparagraph"/>
        <w:spacing w:line="360" w:lineRule="auto"/>
        <w:jc w:val="center"/>
        <w:rPr>
          <w:lang w:val="en-US"/>
        </w:rPr>
      </w:pPr>
    </w:p>
    <w:p w14:paraId="3769DD58" w14:textId="09155B26" w:rsidR="00BB3AA7" w:rsidRDefault="00BB3AA7" w:rsidP="00BB3AA7">
      <w:pPr>
        <w:pStyle w:val="Caption"/>
        <w:keepNext/>
        <w:spacing w:line="360" w:lineRule="auto"/>
        <w:jc w:val="center"/>
      </w:pPr>
      <w:r>
        <w:lastRenderedPageBreak/>
        <w:t>Table 7 - Interaction Regression - Health</w:t>
      </w:r>
    </w:p>
    <w:p w14:paraId="31E3A8E5" w14:textId="2966FDFF" w:rsidR="00EA0C07" w:rsidRDefault="007E6433" w:rsidP="00F15126">
      <w:pPr>
        <w:pStyle w:val="Heading2"/>
        <w:rPr>
          <w:lang w:val="en-US"/>
        </w:rPr>
      </w:pPr>
      <w:r w:rsidRPr="007E6433">
        <w:rPr>
          <w:noProof/>
          <w:lang w:val="en-US"/>
        </w:rPr>
        <w:drawing>
          <wp:inline distT="0" distB="0" distL="0" distR="0" wp14:anchorId="6F2AEED5" wp14:editId="0097EF3B">
            <wp:extent cx="5396865" cy="5690235"/>
            <wp:effectExtent l="0" t="0" r="0" b="5715"/>
            <wp:docPr id="271860078" name="Picture 1" descr="A table of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0078" name="Picture 1" descr="A table of numbers and equations&#10;&#10;AI-generated content may be incorrect."/>
                    <pic:cNvPicPr/>
                  </pic:nvPicPr>
                  <pic:blipFill>
                    <a:blip r:embed="rId21"/>
                    <a:stretch>
                      <a:fillRect/>
                    </a:stretch>
                  </pic:blipFill>
                  <pic:spPr>
                    <a:xfrm>
                      <a:off x="0" y="0"/>
                      <a:ext cx="5396865" cy="5690235"/>
                    </a:xfrm>
                    <a:prstGeom prst="rect">
                      <a:avLst/>
                    </a:prstGeom>
                  </pic:spPr>
                </pic:pic>
              </a:graphicData>
            </a:graphic>
          </wp:inline>
        </w:drawing>
      </w:r>
    </w:p>
    <w:p w14:paraId="544BCC22" w14:textId="480A6768" w:rsidR="00CE2518" w:rsidRDefault="00CE2518" w:rsidP="00F15126">
      <w:pPr>
        <w:spacing w:line="360" w:lineRule="auto"/>
        <w:rPr>
          <w:rFonts w:cs="Arial"/>
          <w:b/>
          <w:bCs/>
          <w:i/>
          <w:iCs/>
          <w:szCs w:val="28"/>
          <w:lang w:val="en-US"/>
        </w:rPr>
      </w:pPr>
      <w:r>
        <w:rPr>
          <w:lang w:val="en-US"/>
        </w:rPr>
        <w:br w:type="page"/>
      </w:r>
    </w:p>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3BC336B0" w14:textId="1F9DD747" w:rsidR="00AD4EE0" w:rsidRDefault="00804F25" w:rsidP="00AD4EE0">
      <w:pPr>
        <w:pStyle w:val="Heading2"/>
        <w:rPr>
          <w:lang w:val="en-US"/>
        </w:rPr>
      </w:pPr>
      <w:r>
        <w:rPr>
          <w:lang w:val="en-US"/>
        </w:rPr>
        <w:t>Discussion</w:t>
      </w:r>
      <w:bookmarkEnd w:id="9"/>
    </w:p>
    <w:p w14:paraId="1036E510" w14:textId="7FF20141" w:rsidR="001045EE" w:rsidRDefault="001045EE" w:rsidP="00482C8F">
      <w:pPr>
        <w:pStyle w:val="Paragraph"/>
        <w:spacing w:line="360" w:lineRule="auto"/>
        <w:ind w:firstLine="720"/>
      </w:pPr>
      <w:r>
        <w:t xml:space="preserve">This study provides new evidence on how older adults in Sweden value housing and neighbourhood attributes when considering relocation. Using a discrete choice experiment embedded in the RELOC-AGE project, we identify strong preferences for neighbourhood accessibility and reveal meaningful heterogeneity across tenure, age, gender, and health. The findings extend prior behavioural housing research by quantifying trade-offs older adults are willing to make, rather than relying on descriptive or </w:t>
      </w:r>
      <w:commentRangeStart w:id="65"/>
      <w:commentRangeStart w:id="66"/>
      <w:r>
        <w:t>revealed-preference approaches</w:t>
      </w:r>
      <w:commentRangeEnd w:id="65"/>
      <w:r w:rsidR="00703BAC">
        <w:rPr>
          <w:rStyle w:val="CommentReference"/>
          <w:sz w:val="24"/>
          <w:szCs w:val="24"/>
        </w:rPr>
        <w:commentReference w:id="65"/>
      </w:r>
      <w:commentRangeEnd w:id="66"/>
      <w:r w:rsidR="00A0779B">
        <w:rPr>
          <w:rStyle w:val="CommentReference"/>
        </w:rPr>
        <w:commentReference w:id="66"/>
      </w:r>
      <w:r>
        <w:t>.</w:t>
      </w:r>
    </w:p>
    <w:p w14:paraId="1B40F53E" w14:textId="60DCE14A" w:rsidR="00482C8F" w:rsidRPr="00482C8F" w:rsidRDefault="001045EE" w:rsidP="00482C8F">
      <w:pPr>
        <w:pStyle w:val="Paragraph"/>
        <w:spacing w:line="360" w:lineRule="auto"/>
        <w:ind w:firstLine="720"/>
        <w:rPr>
          <w:lang w:val="en-US"/>
        </w:rPr>
      </w:pPr>
      <w:r>
        <w:t>Across all subgroups, proximity to daily amenities, particularly shops, services, and green areas, is highly valued. Willingness</w:t>
      </w:r>
      <w:r w:rsidR="003C589C">
        <w:t xml:space="preserve"> </w:t>
      </w:r>
      <w:r>
        <w:t>to</w:t>
      </w:r>
      <w:r w:rsidR="003C589C">
        <w:t xml:space="preserve"> </w:t>
      </w:r>
      <w:r>
        <w:t xml:space="preserve">pay estimates for these attributes are substantial, confirming that neighbourhood accessibility is central to residential utility in later life. These results align with findings from the United States and the Netherlands (Caplan et al., 2021; </w:t>
      </w:r>
      <w:proofErr w:type="spellStart"/>
      <w:r>
        <w:t>Ossokina</w:t>
      </w:r>
      <w:proofErr w:type="spellEnd"/>
      <w:r>
        <w:t xml:space="preserve"> &amp; </w:t>
      </w:r>
      <w:proofErr w:type="spellStart"/>
      <w:r>
        <w:t>Arentze</w:t>
      </w:r>
      <w:proofErr w:type="spellEnd"/>
      <w:r>
        <w:t xml:space="preserve">, 2022), while contributing new evidence from a Scandinavian context where empirical valuation studies remain limited. Access to services and green space appears to function as essential infrastructure supporting independence, physical activity, and social participation rather than as optional amenities. </w:t>
      </w:r>
      <w:r w:rsidR="00482C8F" w:rsidRPr="00482C8F">
        <w:rPr>
          <w:lang w:val="en-US"/>
        </w:rPr>
        <w:t xml:space="preserve">Age-related differences in preferences are present but modest in magnitude. Among homeowners, older respondents place relatively greater value on proximity to public transport and slightly </w:t>
      </w:r>
      <w:r>
        <w:rPr>
          <w:lang w:val="en-US"/>
        </w:rPr>
        <w:t>higher</w:t>
      </w:r>
      <w:r w:rsidR="00482C8F" w:rsidRPr="00482C8F">
        <w:rPr>
          <w:lang w:val="en-US"/>
        </w:rPr>
        <w:t xml:space="preserve"> value on proximity to green space compared to younger counterparts. This </w:t>
      </w:r>
      <w:proofErr w:type="gramStart"/>
      <w:r w:rsidR="00482C8F" w:rsidRPr="00482C8F">
        <w:rPr>
          <w:lang w:val="en-US"/>
        </w:rPr>
        <w:t>shift is consistent with</w:t>
      </w:r>
      <w:proofErr w:type="gramEnd"/>
      <w:r w:rsidR="00482C8F" w:rsidRPr="00482C8F">
        <w:rPr>
          <w:lang w:val="en-US"/>
        </w:rPr>
        <w:t xml:space="preserve"> increasing reliance on public transport as driving ability declines, while the </w:t>
      </w:r>
      <w:r>
        <w:rPr>
          <w:lang w:val="en-US"/>
        </w:rPr>
        <w:t>increased</w:t>
      </w:r>
      <w:r w:rsidR="00482C8F" w:rsidRPr="00482C8F">
        <w:rPr>
          <w:lang w:val="en-US"/>
        </w:rPr>
        <w:t xml:space="preserve"> valuation of green space </w:t>
      </w:r>
      <w:r>
        <w:rPr>
          <w:lang w:val="en-US"/>
        </w:rPr>
        <w:t>may</w:t>
      </w:r>
      <w:r w:rsidR="00482C8F" w:rsidRPr="00482C8F">
        <w:rPr>
          <w:lang w:val="en-US"/>
        </w:rPr>
        <w:t xml:space="preserve"> reflect </w:t>
      </w:r>
      <w:r>
        <w:rPr>
          <w:lang w:val="en-US"/>
        </w:rPr>
        <w:t>greater</w:t>
      </w:r>
      <w:r w:rsidR="00482C8F" w:rsidRPr="00482C8F">
        <w:rPr>
          <w:lang w:val="en-US"/>
        </w:rPr>
        <w:t xml:space="preserve"> appreciation. Among renters, age-related interactions are weaker, with statistically significant differences observed primarily for proximity to shops. Overall, these findings suggest that ageing influences the relative importance of attributes rather than reversing underlying preference patterns.</w:t>
      </w:r>
    </w:p>
    <w:p w14:paraId="260D1ACD" w14:textId="77777777" w:rsidR="00482C8F" w:rsidRPr="00482C8F" w:rsidRDefault="00482C8F" w:rsidP="00482C8F">
      <w:pPr>
        <w:pStyle w:val="Paragraph"/>
        <w:spacing w:line="360" w:lineRule="auto"/>
        <w:ind w:firstLine="720"/>
        <w:rPr>
          <w:lang w:val="en-US"/>
        </w:rPr>
      </w:pPr>
      <w:r w:rsidRPr="00482C8F">
        <w:rPr>
          <w:lang w:val="en-US"/>
        </w:rPr>
        <w:t xml:space="preserve">Gender differences in housing preferences are limited and concentrated among homeowners. Male homeowners exhibit stronger preferences for parking amenities and proximity to shops, while female homeowners place relatively greater value on green space. Among renters, gender interactions are not statistically significant, and MWTP estimates are directionally similar across men and women. These results indicate that </w:t>
      </w:r>
      <w:r w:rsidRPr="00482C8F">
        <w:rPr>
          <w:lang w:val="en-US"/>
        </w:rPr>
        <w:lastRenderedPageBreak/>
        <w:t>gendered patterns in housing preferences exist but are modest and attribute-specific, rather than systematic across all dimensions of residential choice.</w:t>
      </w:r>
    </w:p>
    <w:p w14:paraId="5FC9E4B1" w14:textId="77777777" w:rsidR="00482C8F" w:rsidRPr="00482C8F" w:rsidRDefault="00482C8F" w:rsidP="00482C8F">
      <w:pPr>
        <w:pStyle w:val="Paragraph"/>
        <w:spacing w:line="360" w:lineRule="auto"/>
        <w:ind w:firstLine="720"/>
        <w:rPr>
          <w:lang w:val="en-US"/>
        </w:rPr>
      </w:pPr>
      <w:r w:rsidRPr="00482C8F">
        <w:rPr>
          <w:lang w:val="en-US"/>
        </w:rPr>
        <w:t>Health status also shapes housing preferences in intuitive ways, though most interaction effects are not statistically strong. Respondents reporting fair or poor health place greater value on proximity to public transport, while those in better health exhibit higher valuations for green space. These patterns are consistent with differing mobility needs and opportunities for outdoor engagement. However, given the limited statistical significance of many interaction terms, these findings should be interpreted as indicative tendencies rather than definitive subgroup differences.</w:t>
      </w:r>
    </w:p>
    <w:p w14:paraId="303E71D4" w14:textId="2D69F101" w:rsidR="00482C8F" w:rsidRPr="00482C8F" w:rsidRDefault="00482C8F" w:rsidP="00482C8F">
      <w:pPr>
        <w:pStyle w:val="Paragraph"/>
        <w:spacing w:line="360" w:lineRule="auto"/>
        <w:ind w:firstLine="720"/>
        <w:rPr>
          <w:lang w:val="en-US"/>
        </w:rPr>
      </w:pPr>
      <w:r w:rsidRPr="00482C8F">
        <w:rPr>
          <w:lang w:val="en-US"/>
        </w:rPr>
        <w:t>From a policy perspective, the results highlight the centrality of mobility and accessibility in later-life housing decisions. Both public and private transport access play a critical role in sustaining autonomy and independence, regardless of age, gender, or health</w:t>
      </w:r>
      <w:r w:rsidR="001045EE">
        <w:rPr>
          <w:lang w:val="en-US"/>
        </w:rPr>
        <w:t xml:space="preserve">. </w:t>
      </w:r>
      <w:r w:rsidR="001045EE">
        <w:t xml:space="preserve">The slightly higher MWTP for green space among the oldest respondents suggests that access to nearby green areas remains valued in advanced old age, reinforcing the importance of maintaining such amenities within close reach of housing.  </w:t>
      </w:r>
      <w:r w:rsidRPr="00482C8F">
        <w:rPr>
          <w:lang w:val="en-US"/>
        </w:rPr>
        <w:t>Improving the accessibility and usability of green environments</w:t>
      </w:r>
      <w:r w:rsidR="001045EE">
        <w:rPr>
          <w:lang w:val="en-US"/>
        </w:rPr>
        <w:t xml:space="preserve">, </w:t>
      </w:r>
      <w:r w:rsidRPr="00482C8F">
        <w:rPr>
          <w:lang w:val="en-US"/>
        </w:rPr>
        <w:t>through level pathways, seating, lighting, and safe crossings</w:t>
      </w:r>
      <w:r w:rsidR="001045EE">
        <w:rPr>
          <w:lang w:val="en-US"/>
        </w:rPr>
        <w:t xml:space="preserve">, </w:t>
      </w:r>
      <w:r w:rsidRPr="00482C8F">
        <w:rPr>
          <w:lang w:val="en-US"/>
        </w:rPr>
        <w:t>may help ensure that the health and wellbeing benefits of green space remain available across the ageing spectrum.</w:t>
      </w:r>
    </w:p>
    <w:p w14:paraId="66A19B98" w14:textId="05BC6CF5" w:rsidR="00482C8F" w:rsidRPr="00482C8F" w:rsidRDefault="00482C8F" w:rsidP="00482C8F">
      <w:pPr>
        <w:pStyle w:val="Paragraph"/>
        <w:spacing w:line="360" w:lineRule="auto"/>
        <w:ind w:firstLine="720"/>
        <w:rPr>
          <w:lang w:val="en-US"/>
        </w:rPr>
      </w:pPr>
      <w:r w:rsidRPr="00482C8F">
        <w:rPr>
          <w:lang w:val="en-US"/>
        </w:rPr>
        <w:t>In comparison with previous studies, our findings align closely with evidence from the Netherlands showing strong preferences for proximity to shops and public transport among older adults (</w:t>
      </w:r>
      <w:proofErr w:type="spellStart"/>
      <w:r w:rsidRPr="00482C8F">
        <w:rPr>
          <w:lang w:val="en-US"/>
        </w:rPr>
        <w:t>Ossokina</w:t>
      </w:r>
      <w:proofErr w:type="spellEnd"/>
      <w:r w:rsidRPr="00482C8F">
        <w:rPr>
          <w:lang w:val="en-US"/>
        </w:rPr>
        <w:t xml:space="preserve"> &amp; </w:t>
      </w:r>
      <w:proofErr w:type="spellStart"/>
      <w:r w:rsidRPr="00482C8F">
        <w:rPr>
          <w:lang w:val="en-US"/>
        </w:rPr>
        <w:t>Arentze</w:t>
      </w:r>
      <w:proofErr w:type="spellEnd"/>
      <w:r w:rsidRPr="00482C8F">
        <w:rPr>
          <w:lang w:val="en-US"/>
        </w:rPr>
        <w:t xml:space="preserve">, 2022). The present study extends this literature by incorporating both renters and homeowners within a Scandinavian welfare context and by focusing on individuals actively considering relocation. This strengthens the </w:t>
      </w:r>
      <w:r w:rsidR="001045EE" w:rsidRPr="00482C8F">
        <w:rPr>
          <w:lang w:val="en-US"/>
        </w:rPr>
        <w:t>behavioral</w:t>
      </w:r>
      <w:r w:rsidRPr="00482C8F">
        <w:rPr>
          <w:lang w:val="en-US"/>
        </w:rPr>
        <w:t xml:space="preserve"> relevance of the results and addresses an important gap in the existing evidence base.</w:t>
      </w:r>
    </w:p>
    <w:p w14:paraId="1DF9A391" w14:textId="703587FA" w:rsidR="00AD4EE0" w:rsidRPr="00AD4EE0" w:rsidRDefault="00B734FC" w:rsidP="00B734FC">
      <w:pPr>
        <w:pStyle w:val="Heading3"/>
        <w:rPr>
          <w:lang w:val="en-US"/>
        </w:rPr>
      </w:pPr>
      <w:r>
        <w:rPr>
          <w:lang w:val="en-US"/>
        </w:rPr>
        <w:t>Limitations</w:t>
      </w:r>
      <w:r w:rsidR="003C589C">
        <w:rPr>
          <w:lang w:val="en-US"/>
        </w:rPr>
        <w:t xml:space="preserve"> </w:t>
      </w:r>
    </w:p>
    <w:p w14:paraId="6FA68972" w14:textId="0BD41564" w:rsidR="003654C4" w:rsidRPr="003654C4" w:rsidRDefault="003654C4" w:rsidP="003654C4">
      <w:pPr>
        <w:pStyle w:val="Paragraph"/>
        <w:spacing w:line="360" w:lineRule="auto"/>
        <w:ind w:firstLine="720"/>
        <w:rPr>
          <w:lang w:val="en-US"/>
        </w:rPr>
      </w:pPr>
      <w:r w:rsidRPr="003654C4">
        <w:rPr>
          <w:lang w:val="en-US"/>
        </w:rPr>
        <w:t>Several limitations warrant consideration. First, the study sample comprises individuals already registered for relocation services. Although this can be viewed as a strength</w:t>
      </w:r>
      <w:r>
        <w:rPr>
          <w:lang w:val="en-US"/>
        </w:rPr>
        <w:t xml:space="preserve">, </w:t>
      </w:r>
      <w:r w:rsidRPr="003654C4">
        <w:rPr>
          <w:lang w:val="en-US"/>
        </w:rPr>
        <w:t>since these individuals are actively considering relocation and may therefore give more thoughtful responses to hypothetical housing choices</w:t>
      </w:r>
      <w:r>
        <w:rPr>
          <w:lang w:val="en-US"/>
        </w:rPr>
        <w:t xml:space="preserve">, </w:t>
      </w:r>
      <w:r w:rsidRPr="003654C4">
        <w:rPr>
          <w:lang w:val="en-US"/>
        </w:rPr>
        <w:t xml:space="preserve">they may differ from </w:t>
      </w:r>
      <w:r w:rsidRPr="003654C4">
        <w:rPr>
          <w:lang w:val="en-US"/>
        </w:rPr>
        <w:lastRenderedPageBreak/>
        <w:t xml:space="preserve">the broader older population in terms of motivation or socioeconomic characteristics. In addition, the sample is skewed toward higher levels of educational attainment, which limits the generalizability of the findings. The attribute set focuses primarily on locational factors and does not capture dwelling-level characteristics such as size, accessibility, or interior adaptability. Moreover, the monetary estimates are context-specific and may vary across housing markets. Finally, the cross-sectional design precludes an assessment of how preferences evolve over time. Future research would benefit from longitudinal and </w:t>
      </w:r>
      <w:proofErr w:type="gramStart"/>
      <w:r w:rsidRPr="003654C4">
        <w:rPr>
          <w:lang w:val="en-US"/>
        </w:rPr>
        <w:t>mixed-method</w:t>
      </w:r>
      <w:proofErr w:type="gramEnd"/>
      <w:r w:rsidRPr="003654C4">
        <w:rPr>
          <w:lang w:val="en-US"/>
        </w:rPr>
        <w:t xml:space="preserve"> approaches to better capture how changes in health, financial, and social circumstances shape residential choices.</w:t>
      </w:r>
    </w:p>
    <w:p w14:paraId="08A1FF6D" w14:textId="0B8B075F" w:rsidR="00AD4EE0" w:rsidRPr="00AD4EE0" w:rsidRDefault="00AD4EE0" w:rsidP="00AD4EE0">
      <w:pPr>
        <w:pStyle w:val="Heading2"/>
        <w:rPr>
          <w:lang w:val="en-US"/>
        </w:rPr>
      </w:pPr>
      <w:r w:rsidRPr="00AD4EE0">
        <w:rPr>
          <w:lang w:val="en-US"/>
        </w:rPr>
        <w:t>Conclusion</w:t>
      </w:r>
      <w:r>
        <w:rPr>
          <w:lang w:val="en-US"/>
        </w:rPr>
        <w:t xml:space="preserve"> </w:t>
      </w:r>
    </w:p>
    <w:p w14:paraId="1C0812A0" w14:textId="3B920BA0" w:rsidR="001045EE" w:rsidRPr="001045EE" w:rsidRDefault="001045EE" w:rsidP="001045EE">
      <w:pPr>
        <w:pStyle w:val="Paragraph"/>
        <w:spacing w:line="360" w:lineRule="auto"/>
        <w:ind w:firstLine="720"/>
        <w:rPr>
          <w:lang w:val="en-US"/>
        </w:rPr>
      </w:pPr>
      <w:r w:rsidRPr="001045EE">
        <w:rPr>
          <w:lang w:val="en-US"/>
        </w:rPr>
        <w:t xml:space="preserve">This study demonstrates that neighborhood accessibility is a central determinant of housing choice among older adults in Sweden. Proximity to shops, services, green space, public transport, and parking consistently increases residential utility, though the relative importance of these attributes varies systematically by age, </w:t>
      </w:r>
      <w:r>
        <w:rPr>
          <w:lang w:val="en-US"/>
        </w:rPr>
        <w:t>gender, health</w:t>
      </w:r>
      <w:r w:rsidRPr="001045EE">
        <w:rPr>
          <w:lang w:val="en-US"/>
        </w:rPr>
        <w:t>, and tenure. Older adults are far from a homogeneous group: while younger cohorts prioritize amenity-rich environments, the oldest respondents place greater emphasis on mobility autonomy and comfort-related features such as parking access.</w:t>
      </w:r>
    </w:p>
    <w:p w14:paraId="7CBF4502" w14:textId="2893AA63" w:rsidR="001045EE" w:rsidRPr="001045EE" w:rsidRDefault="001045EE" w:rsidP="001045EE">
      <w:pPr>
        <w:pStyle w:val="Paragraph"/>
        <w:spacing w:line="360" w:lineRule="auto"/>
        <w:ind w:firstLine="720"/>
        <w:rPr>
          <w:lang w:val="en-US"/>
        </w:rPr>
      </w:pPr>
      <w:r w:rsidRPr="001045EE">
        <w:rPr>
          <w:lang w:val="en-US"/>
        </w:rPr>
        <w:t>The persistence of strong preferences for both public and private mobility challenges simplified assumptions about transport needs in later life. Rather than substituting one mode for another, older adults appear to maintain mixed mobility strategies that evolve with health, geography, and personal circumstances. At the same time, income gradients in willingness to pay highlight the risk that market mechanisms may exacerbate spatial inequality, limiting access to supportive neighborhoods for lower-income older adults.</w:t>
      </w:r>
    </w:p>
    <w:p w14:paraId="50C76978" w14:textId="014230FD" w:rsidR="001045EE" w:rsidRPr="001045EE" w:rsidRDefault="001045EE" w:rsidP="001045EE">
      <w:pPr>
        <w:pStyle w:val="Paragraph"/>
        <w:spacing w:line="360" w:lineRule="auto"/>
        <w:ind w:firstLine="720"/>
        <w:rPr>
          <w:lang w:val="en-US"/>
        </w:rPr>
      </w:pPr>
      <w:r w:rsidRPr="001045EE">
        <w:rPr>
          <w:lang w:val="en-US"/>
        </w:rPr>
        <w:t xml:space="preserve">For policymakers and planners, the findings reinforce the importance of integrating housing, transport, and land-use planning. Age-friendly housing strategies should prioritize neighborhood context alongside dwelling design, ensuring that accessible housing is located within </w:t>
      </w:r>
      <w:r>
        <w:rPr>
          <w:lang w:val="en-US"/>
        </w:rPr>
        <w:t>reasonable</w:t>
      </w:r>
      <w:r w:rsidRPr="001045EE">
        <w:rPr>
          <w:lang w:val="en-US"/>
        </w:rPr>
        <w:t xml:space="preserve"> distances of essential services and green spaces. At the same time, policies must preserve affordability and tenure diversity in high-amenity locations to avoid reinforcing socioeconomic segregation in later life.</w:t>
      </w:r>
    </w:p>
    <w:p w14:paraId="0D25F14C" w14:textId="38DF22FC" w:rsidR="001045EE" w:rsidRPr="001045EE" w:rsidRDefault="001045EE" w:rsidP="001045EE">
      <w:pPr>
        <w:pStyle w:val="Paragraph"/>
        <w:spacing w:line="360" w:lineRule="auto"/>
        <w:ind w:firstLine="720"/>
        <w:rPr>
          <w:lang w:val="en-US"/>
        </w:rPr>
      </w:pPr>
      <w:r w:rsidRPr="001045EE">
        <w:rPr>
          <w:lang w:val="en-US"/>
        </w:rPr>
        <w:lastRenderedPageBreak/>
        <w:t>Beyond its substantive findings, the study illustrates the value of discrete choice methods for analyzing housing decisions among ageing populations. By quantifying trade-offs and heterogeneity, the approach provides actionable evidence to support more inclusive, flexible, and equitable housing strategies. As Sweden’s population continues to age, recognizing and planning for the diversity of later-life housing preferences will be essential for promoting independence, wellbeing, and social inclusion.</w:t>
      </w:r>
    </w:p>
    <w:p w14:paraId="7D242EC3" w14:textId="5B147D51" w:rsidR="00AD4EE0" w:rsidRDefault="00AD4EE0" w:rsidP="00AD4EE0">
      <w:pPr>
        <w:pStyle w:val="Paragraph"/>
        <w:spacing w:line="360" w:lineRule="auto"/>
        <w:ind w:firstLine="720"/>
        <w:rPr>
          <w:lang w:val="en-US"/>
        </w:rPr>
      </w:pPr>
    </w:p>
    <w:p w14:paraId="454A8C09" w14:textId="57EB036B" w:rsidR="00AD4EE0" w:rsidRDefault="00AD4EE0" w:rsidP="00482C8F">
      <w:pPr>
        <w:pStyle w:val="Paragraph"/>
        <w:spacing w:line="360" w:lineRule="auto"/>
        <w:ind w:firstLine="720"/>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Heading1"/>
        <w:rPr>
          <w:lang w:val="en-US" w:eastAsia="en-US"/>
        </w:rPr>
      </w:pPr>
      <w:r>
        <w:rPr>
          <w:lang w:val="en-US" w:eastAsia="en-US"/>
        </w:rPr>
        <w:t>References</w:t>
      </w:r>
    </w:p>
    <w:p w14:paraId="71D8B9D0" w14:textId="77777777" w:rsidR="00C735A0" w:rsidRPr="00C735A0" w:rsidRDefault="00BD68CC" w:rsidP="00C735A0">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C735A0" w:rsidRPr="00C735A0">
        <w:t xml:space="preserve">Abramsson, M., &amp; Andersson, E. K. (2012). Residential Mobility Patterns of Elderly—Leaving the House for an Apartment. </w:t>
      </w:r>
      <w:r w:rsidR="00C735A0" w:rsidRPr="00C735A0">
        <w:rPr>
          <w:i/>
          <w:iCs/>
        </w:rPr>
        <w:t>Housing Studies</w:t>
      </w:r>
      <w:r w:rsidR="00C735A0" w:rsidRPr="00C735A0">
        <w:t xml:space="preserve">, </w:t>
      </w:r>
      <w:r w:rsidR="00C735A0" w:rsidRPr="00C735A0">
        <w:rPr>
          <w:i/>
          <w:iCs/>
        </w:rPr>
        <w:t>27</w:t>
      </w:r>
      <w:r w:rsidR="00C735A0" w:rsidRPr="00C735A0">
        <w:t>(5), 582–604. https://doi.org/10.1080/02673037.2012.697553</w:t>
      </w:r>
    </w:p>
    <w:p w14:paraId="225D681C" w14:textId="77777777" w:rsidR="00C735A0" w:rsidRPr="00C735A0" w:rsidRDefault="00C735A0" w:rsidP="00C735A0">
      <w:pPr>
        <w:pStyle w:val="Bibliography"/>
      </w:pPr>
      <w:r w:rsidRPr="00C735A0">
        <w:t xml:space="preserve">Abramsson, M., &amp; Andersson, E. K. (2015). Changing locations: Central or peripheral moves of seniors? </w:t>
      </w:r>
      <w:r w:rsidRPr="00C735A0">
        <w:rPr>
          <w:i/>
          <w:iCs/>
        </w:rPr>
        <w:t>Journal of Housing and the Built Environment</w:t>
      </w:r>
      <w:r w:rsidRPr="00C735A0">
        <w:t xml:space="preserve">, </w:t>
      </w:r>
      <w:r w:rsidRPr="00C735A0">
        <w:rPr>
          <w:i/>
          <w:iCs/>
        </w:rPr>
        <w:t>30</w:t>
      </w:r>
      <w:r w:rsidRPr="00C735A0">
        <w:t>(4), 535–551. https://doi.org/10.1007/s10901-014-9427-0</w:t>
      </w:r>
    </w:p>
    <w:p w14:paraId="746FC446" w14:textId="77777777" w:rsidR="00C735A0" w:rsidRPr="00C735A0" w:rsidRDefault="00C735A0" w:rsidP="00C735A0">
      <w:pPr>
        <w:pStyle w:val="Bibliography"/>
      </w:pPr>
      <w:r w:rsidRPr="00C735A0">
        <w:t xml:space="preserve">Aitken, D., Willis, K., &amp; Gilroy, R. (2024). Do older homebuyers prefer dwellings with accessibility and adaptability features? Findings from an exploratory study. </w:t>
      </w:r>
      <w:r w:rsidRPr="00C735A0">
        <w:rPr>
          <w:i/>
          <w:iCs/>
        </w:rPr>
        <w:t>Housing Studies</w:t>
      </w:r>
      <w:r w:rsidRPr="00C735A0">
        <w:t xml:space="preserve">, </w:t>
      </w:r>
      <w:r w:rsidRPr="00C735A0">
        <w:rPr>
          <w:i/>
          <w:iCs/>
        </w:rPr>
        <w:t>39</w:t>
      </w:r>
      <w:r w:rsidRPr="00C735A0">
        <w:t>(3), 608–630. https://doi.org/10.1080/02673037.2022.2060944</w:t>
      </w:r>
    </w:p>
    <w:p w14:paraId="7EC9A3EB" w14:textId="77777777" w:rsidR="00C735A0" w:rsidRPr="00C735A0" w:rsidRDefault="00C735A0" w:rsidP="00C735A0">
      <w:pPr>
        <w:pStyle w:val="Bibliography"/>
      </w:pPr>
      <w:r w:rsidRPr="00CF427B">
        <w:rPr>
          <w:lang w:val="nb-NO"/>
        </w:rPr>
        <w:t xml:space="preserve">Alsnih, R., &amp; Hensher, D. A. (2003). </w:t>
      </w:r>
      <w:r w:rsidRPr="00C735A0">
        <w:t xml:space="preserve">The mobility and accessibility expectations of seniors in an aging population. </w:t>
      </w:r>
      <w:r w:rsidRPr="00C735A0">
        <w:rPr>
          <w:i/>
          <w:iCs/>
        </w:rPr>
        <w:t>Transportation Research Part A: Policy and Practice</w:t>
      </w:r>
      <w:r w:rsidRPr="00C735A0">
        <w:t xml:space="preserve">, </w:t>
      </w:r>
      <w:r w:rsidRPr="00C735A0">
        <w:rPr>
          <w:i/>
          <w:iCs/>
        </w:rPr>
        <w:t>37</w:t>
      </w:r>
      <w:r w:rsidRPr="00C735A0">
        <w:t>(10), 903–916. https://doi.org/10.1016/S0965-8564(03)00073-9</w:t>
      </w:r>
    </w:p>
    <w:p w14:paraId="18A25D31" w14:textId="77777777" w:rsidR="00C735A0" w:rsidRPr="00C735A0" w:rsidRDefault="00C735A0" w:rsidP="00C735A0">
      <w:pPr>
        <w:pStyle w:val="Bibliography"/>
      </w:pPr>
      <w:r w:rsidRPr="00C735A0">
        <w:t xml:space="preserve">Ardeshiri, A., Washington, L., Vij, A., Leishman, C., &amp; Beer, A. (2024). Housing preferences for owner-occupied versus investment properties in Sydney, Australia. </w:t>
      </w:r>
      <w:r w:rsidRPr="00C735A0">
        <w:rPr>
          <w:i/>
          <w:iCs/>
        </w:rPr>
        <w:t>Housing Studies</w:t>
      </w:r>
      <w:r w:rsidRPr="00C735A0">
        <w:t xml:space="preserve">, </w:t>
      </w:r>
      <w:r w:rsidRPr="00C735A0">
        <w:rPr>
          <w:i/>
          <w:iCs/>
        </w:rPr>
        <w:t>0</w:t>
      </w:r>
      <w:r w:rsidRPr="00C735A0">
        <w:t>(0), 1–23. https://doi.org/10.1080/02673037.2024.2428749</w:t>
      </w:r>
    </w:p>
    <w:p w14:paraId="27DDED28" w14:textId="77777777" w:rsidR="00C735A0" w:rsidRPr="00C735A0" w:rsidRDefault="00C735A0" w:rsidP="00C735A0">
      <w:pPr>
        <w:pStyle w:val="Bibliography"/>
      </w:pPr>
      <w:r w:rsidRPr="00C735A0">
        <w:t xml:space="preserve">Caplan, A. J., Akhundjanov, S. B., &amp; Toll, K. (2021). Measuring heterogeneous preferences for residential amenities. </w:t>
      </w:r>
      <w:r w:rsidRPr="00C735A0">
        <w:rPr>
          <w:i/>
          <w:iCs/>
        </w:rPr>
        <w:t>Regional Science and Urban Economics</w:t>
      </w:r>
      <w:r w:rsidRPr="00C735A0">
        <w:t xml:space="preserve">, </w:t>
      </w:r>
      <w:r w:rsidRPr="00C735A0">
        <w:rPr>
          <w:i/>
          <w:iCs/>
        </w:rPr>
        <w:t>87</w:t>
      </w:r>
      <w:r w:rsidRPr="00C735A0">
        <w:t>, 103646. https://doi.org/10.1016/j.regsciurbeco.2021.103646</w:t>
      </w:r>
    </w:p>
    <w:p w14:paraId="07DFCE88" w14:textId="77777777" w:rsidR="00C735A0" w:rsidRPr="00C735A0" w:rsidRDefault="00C735A0" w:rsidP="00C735A0">
      <w:pPr>
        <w:pStyle w:val="Bibliography"/>
      </w:pPr>
      <w:r w:rsidRPr="00C735A0">
        <w:t xml:space="preserve">Clark, W., Deurloo, M., &amp; Dieleman, F. (2006). Residential Mobility and Neighbourhood Outcomes. </w:t>
      </w:r>
      <w:r w:rsidRPr="00C735A0">
        <w:rPr>
          <w:i/>
          <w:iCs/>
        </w:rPr>
        <w:t>Housing Studies</w:t>
      </w:r>
      <w:r w:rsidRPr="00C735A0">
        <w:t xml:space="preserve">, </w:t>
      </w:r>
      <w:r w:rsidRPr="00C735A0">
        <w:rPr>
          <w:i/>
          <w:iCs/>
        </w:rPr>
        <w:t>21</w:t>
      </w:r>
      <w:r w:rsidRPr="00C735A0">
        <w:t>(3), 323–342. https://doi.org/10.1080/02673030600585946</w:t>
      </w:r>
    </w:p>
    <w:p w14:paraId="3002F752" w14:textId="77777777" w:rsidR="00C735A0" w:rsidRPr="00C735A0" w:rsidRDefault="00C735A0" w:rsidP="00C735A0">
      <w:pPr>
        <w:pStyle w:val="Bibliography"/>
      </w:pPr>
      <w:r w:rsidRPr="00C735A0">
        <w:lastRenderedPageBreak/>
        <w:t xml:space="preserve">Cohen-Cline, H., Turkheimer, E., &amp; Duncan, G. E. (2015). Access to green space, physical activity and mental health: A twin study. </w:t>
      </w:r>
      <w:r w:rsidRPr="00C735A0">
        <w:rPr>
          <w:i/>
          <w:iCs/>
        </w:rPr>
        <w:t>Journal of Epidemiology and Community Health</w:t>
      </w:r>
      <w:r w:rsidRPr="00C735A0">
        <w:t xml:space="preserve">, </w:t>
      </w:r>
      <w:r w:rsidRPr="00C735A0">
        <w:rPr>
          <w:i/>
          <w:iCs/>
        </w:rPr>
        <w:t>69</w:t>
      </w:r>
      <w:r w:rsidRPr="00C735A0">
        <w:t>(6), 523–529. https://doi.org/10.1136/jech-2014-204667</w:t>
      </w:r>
    </w:p>
    <w:p w14:paraId="7CD6DC4D" w14:textId="77777777" w:rsidR="00C735A0" w:rsidRPr="00C735A0" w:rsidRDefault="00C735A0" w:rsidP="00C735A0">
      <w:pPr>
        <w:pStyle w:val="Bibliography"/>
      </w:pPr>
      <w:r w:rsidRPr="00C735A0">
        <w:rPr>
          <w:lang w:val="sv-SE"/>
        </w:rPr>
        <w:t xml:space="preserve">Damhuis, R., &amp; Van Gent, W. (2024). </w:t>
      </w:r>
      <w:r w:rsidRPr="00C735A0">
        <w:t xml:space="preserve">The period effects of crisis and recovery on life course and residential mobility of owner-occupants. </w:t>
      </w:r>
      <w:r w:rsidRPr="00C735A0">
        <w:rPr>
          <w:i/>
          <w:iCs/>
        </w:rPr>
        <w:t>Housing Studies</w:t>
      </w:r>
      <w:r w:rsidRPr="00C735A0">
        <w:t xml:space="preserve">, </w:t>
      </w:r>
      <w:r w:rsidRPr="00C735A0">
        <w:rPr>
          <w:i/>
          <w:iCs/>
        </w:rPr>
        <w:t>39</w:t>
      </w:r>
      <w:r w:rsidRPr="00C735A0">
        <w:t>(4), 1066–1086. https://doi.org/10.1080/02673037.2022.2101626</w:t>
      </w:r>
    </w:p>
    <w:p w14:paraId="59CE7C2B" w14:textId="77777777" w:rsidR="00C735A0" w:rsidRPr="00C735A0" w:rsidRDefault="00C735A0" w:rsidP="00C735A0">
      <w:pPr>
        <w:pStyle w:val="Bibliography"/>
      </w:pPr>
      <w:r w:rsidRPr="00C735A0">
        <w:t xml:space="preserve">De Jong, P., Rouwendal, J., &amp; Brouwer, A. (2022). Staying put out of choice or constraint? The residential choice behaviour of Dutch older adults. </w:t>
      </w:r>
      <w:r w:rsidRPr="00C735A0">
        <w:rPr>
          <w:i/>
          <w:iCs/>
        </w:rPr>
        <w:t>Population, Space and Place</w:t>
      </w:r>
      <w:r w:rsidRPr="00C735A0">
        <w:t xml:space="preserve">, </w:t>
      </w:r>
      <w:r w:rsidRPr="00C735A0">
        <w:rPr>
          <w:i/>
          <w:iCs/>
        </w:rPr>
        <w:t>28</w:t>
      </w:r>
      <w:r w:rsidRPr="00C735A0">
        <w:t>(4), e2553. https://doi.org/10.1002/psp.2553</w:t>
      </w:r>
    </w:p>
    <w:p w14:paraId="617E63BF" w14:textId="77777777" w:rsidR="00C735A0" w:rsidRPr="00C735A0" w:rsidRDefault="00C735A0" w:rsidP="00C735A0">
      <w:pPr>
        <w:pStyle w:val="Bibliography"/>
      </w:pPr>
      <w:r w:rsidRPr="00CF427B">
        <w:rPr>
          <w:lang w:val="es-ES"/>
        </w:rPr>
        <w:t xml:space="preserve">DeShazo, J. R., &amp; Fermo, G. (2002). </w:t>
      </w:r>
      <w:r w:rsidRPr="00C735A0">
        <w:t xml:space="preserve">Designing Choice Sets for Stated Preference Methods: The Effects of Complexity on Choice Consistency. </w:t>
      </w:r>
      <w:r w:rsidRPr="00C735A0">
        <w:rPr>
          <w:i/>
          <w:iCs/>
        </w:rPr>
        <w:t>Journal of Environmental Economics and Management</w:t>
      </w:r>
      <w:r w:rsidRPr="00C735A0">
        <w:t xml:space="preserve">, </w:t>
      </w:r>
      <w:r w:rsidRPr="00C735A0">
        <w:rPr>
          <w:i/>
          <w:iCs/>
        </w:rPr>
        <w:t>44</w:t>
      </w:r>
      <w:r w:rsidRPr="00C735A0">
        <w:t>(1), 123–143. https://doi.org/10.1006/jeem.2001.1199</w:t>
      </w:r>
    </w:p>
    <w:p w14:paraId="48C58654" w14:textId="77777777" w:rsidR="00C735A0" w:rsidRPr="00C735A0" w:rsidRDefault="00C735A0" w:rsidP="00C735A0">
      <w:pPr>
        <w:pStyle w:val="Bibliography"/>
      </w:pPr>
      <w:r w:rsidRPr="00C735A0">
        <w:t xml:space="preserve">Ewen, H. H., Hahn, S. J., Erickson, M. A., &amp; Krout, J. A. (2014). Aging in Place or Relocation? Plans of Community-Dwelling Older Adults. </w:t>
      </w:r>
      <w:r w:rsidRPr="00C735A0">
        <w:rPr>
          <w:i/>
          <w:iCs/>
        </w:rPr>
        <w:t>Journal of Housing for the Elderly</w:t>
      </w:r>
      <w:r w:rsidRPr="00C735A0">
        <w:t xml:space="preserve">, </w:t>
      </w:r>
      <w:r w:rsidRPr="00C735A0">
        <w:rPr>
          <w:i/>
          <w:iCs/>
        </w:rPr>
        <w:t>28</w:t>
      </w:r>
      <w:r w:rsidRPr="00C735A0">
        <w:t>(3), 288–309. sih. https://doi.org/10.1080/02763893.2014.930366</w:t>
      </w:r>
    </w:p>
    <w:p w14:paraId="5CBF2C97" w14:textId="77777777" w:rsidR="00C735A0" w:rsidRPr="00C735A0" w:rsidRDefault="00C735A0" w:rsidP="00C735A0">
      <w:pPr>
        <w:pStyle w:val="Bibliography"/>
      </w:pPr>
      <w:r w:rsidRPr="00C735A0">
        <w:t xml:space="preserve">Grimmer, K., Foot, J., Pastakia, K., &amp; Kay, D. (2015). Consumer views about aging-in-place. </w:t>
      </w:r>
      <w:r w:rsidRPr="00C735A0">
        <w:rPr>
          <w:i/>
          <w:iCs/>
        </w:rPr>
        <w:t>Clinical Interventions in Aging</w:t>
      </w:r>
      <w:r w:rsidRPr="00C735A0">
        <w:t>, 1803. https://doi.org/10.2147/CIA.S90672</w:t>
      </w:r>
    </w:p>
    <w:p w14:paraId="2D1E8229" w14:textId="77777777" w:rsidR="00C735A0" w:rsidRPr="00C735A0" w:rsidRDefault="00C735A0" w:rsidP="00C735A0">
      <w:pPr>
        <w:pStyle w:val="Bibliography"/>
      </w:pPr>
      <w:r w:rsidRPr="00C735A0">
        <w:t xml:space="preserve">Helveston, J. P. (2023). </w:t>
      </w:r>
      <w:r w:rsidRPr="00C735A0">
        <w:rPr>
          <w:b/>
          <w:bCs/>
        </w:rPr>
        <w:t>logitr</w:t>
      </w:r>
      <w:r w:rsidRPr="00C735A0">
        <w:t xml:space="preserve">: Fast Estimation of Multinomial and Mixed Logit Models with Preference Space and Willingness-to-Pay Space Utility Parameterizations. </w:t>
      </w:r>
      <w:r w:rsidRPr="00C735A0">
        <w:rPr>
          <w:i/>
          <w:iCs/>
        </w:rPr>
        <w:t>Journal of Statistical Software</w:t>
      </w:r>
      <w:r w:rsidRPr="00C735A0">
        <w:t xml:space="preserve">, </w:t>
      </w:r>
      <w:r w:rsidRPr="00C735A0">
        <w:rPr>
          <w:i/>
          <w:iCs/>
        </w:rPr>
        <w:t>105</w:t>
      </w:r>
      <w:r w:rsidRPr="00C735A0">
        <w:t>(10). https://doi.org/10.18637/jss.v105.i10</w:t>
      </w:r>
    </w:p>
    <w:p w14:paraId="0674288E" w14:textId="77777777" w:rsidR="00C735A0" w:rsidRPr="00C735A0" w:rsidRDefault="00C735A0" w:rsidP="00C735A0">
      <w:pPr>
        <w:pStyle w:val="Bibliography"/>
      </w:pPr>
      <w:r w:rsidRPr="00C735A0">
        <w:t xml:space="preserve">Hensher, D. A., Rose, J. M., &amp; Greene, W. H. (2015). </w:t>
      </w:r>
      <w:r w:rsidRPr="00C735A0">
        <w:rPr>
          <w:i/>
          <w:iCs/>
        </w:rPr>
        <w:t>Applied Choice Analysis</w:t>
      </w:r>
      <w:r w:rsidRPr="00C735A0">
        <w:t xml:space="preserve"> (2nd ed.). Cambridge University Press. https://doi.org/10.1017/CBO9781316136232</w:t>
      </w:r>
    </w:p>
    <w:p w14:paraId="314471E8" w14:textId="77777777" w:rsidR="00C735A0" w:rsidRPr="00C735A0" w:rsidRDefault="00C735A0" w:rsidP="00C735A0">
      <w:pPr>
        <w:pStyle w:val="Bibliography"/>
      </w:pPr>
      <w:r w:rsidRPr="00C735A0">
        <w:lastRenderedPageBreak/>
        <w:t xml:space="preserve">Hildebrand, E. D. (2003). </w:t>
      </w:r>
      <w:r w:rsidRPr="00C735A0">
        <w:rPr>
          <w:i/>
          <w:iCs/>
        </w:rPr>
        <w:t>Dimensions in elderly travel behaviour: A simplified activity-based model using lifestyle clusters</w:t>
      </w:r>
      <w:r w:rsidRPr="00C735A0">
        <w:t>.</w:t>
      </w:r>
    </w:p>
    <w:p w14:paraId="29D28C1A" w14:textId="77777777" w:rsidR="00C735A0" w:rsidRPr="00C735A0" w:rsidRDefault="00C735A0" w:rsidP="00C735A0">
      <w:pPr>
        <w:pStyle w:val="Bibliography"/>
      </w:pPr>
      <w:r w:rsidRPr="00C735A0">
        <w:rPr>
          <w:lang w:val="sv-SE"/>
        </w:rPr>
        <w:t xml:space="preserve">Himmler, S., Soekhai, V., van Exel, J., &amp; Brouwer, W. (2021). </w:t>
      </w:r>
      <w:r w:rsidRPr="00C735A0">
        <w:t xml:space="preserve">What works better for preference elicitation among older people? Cognitive burden of discrete choice experiment and case 2 best-worst scaling in an online setting. </w:t>
      </w:r>
      <w:r w:rsidRPr="00C735A0">
        <w:rPr>
          <w:i/>
          <w:iCs/>
        </w:rPr>
        <w:t>Journal of Choice Modelling</w:t>
      </w:r>
      <w:r w:rsidRPr="00C735A0">
        <w:t xml:space="preserve">, </w:t>
      </w:r>
      <w:r w:rsidRPr="00C735A0">
        <w:rPr>
          <w:i/>
          <w:iCs/>
        </w:rPr>
        <w:t>38</w:t>
      </w:r>
      <w:r w:rsidRPr="00C735A0">
        <w:t>, 100265. https://doi.org/10.1016/j.jocm.2020.100265</w:t>
      </w:r>
    </w:p>
    <w:p w14:paraId="0D558B7A" w14:textId="77777777" w:rsidR="00C735A0" w:rsidRPr="00C735A0" w:rsidRDefault="00C735A0" w:rsidP="00C735A0">
      <w:pPr>
        <w:pStyle w:val="Bibliography"/>
        <w:rPr>
          <w:lang w:val="sv-SE"/>
        </w:rPr>
      </w:pPr>
      <w:r w:rsidRPr="00C735A0">
        <w:t xml:space="preserve">Lancsar, E., &amp; Louviere, J. (2008). Conducting Discrete Choice Experiments to Inform Healthcare Decision Making: A User??s Guide. </w:t>
      </w:r>
      <w:r w:rsidRPr="00C735A0">
        <w:rPr>
          <w:i/>
          <w:iCs/>
          <w:lang w:val="sv-SE"/>
        </w:rPr>
        <w:t>PharmacoEconomics</w:t>
      </w:r>
      <w:r w:rsidRPr="00C735A0">
        <w:rPr>
          <w:lang w:val="sv-SE"/>
        </w:rPr>
        <w:t xml:space="preserve">, </w:t>
      </w:r>
      <w:r w:rsidRPr="00C735A0">
        <w:rPr>
          <w:i/>
          <w:iCs/>
          <w:lang w:val="sv-SE"/>
        </w:rPr>
        <w:t>26</w:t>
      </w:r>
      <w:r w:rsidRPr="00C735A0">
        <w:rPr>
          <w:lang w:val="sv-SE"/>
        </w:rPr>
        <w:t>(8), 661–677. https://doi.org/10.2165/00019053-200826080-00004</w:t>
      </w:r>
    </w:p>
    <w:p w14:paraId="25D48C7B" w14:textId="77777777" w:rsidR="00C735A0" w:rsidRPr="00C735A0" w:rsidRDefault="00C735A0" w:rsidP="00C735A0">
      <w:pPr>
        <w:pStyle w:val="Bibliography"/>
      </w:pPr>
      <w:r w:rsidRPr="00C735A0">
        <w:rPr>
          <w:lang w:val="sv-SE"/>
        </w:rPr>
        <w:t xml:space="preserve">Lee, P.-H., Han, Q., de Vries, B., &amp; Juan, Y.-K. (2025). </w:t>
      </w:r>
      <w:r w:rsidRPr="00C735A0">
        <w:t xml:space="preserve">Heterogeneities in willingness to pay for circular affordable housing: Insight from young users. </w:t>
      </w:r>
      <w:r w:rsidRPr="00C735A0">
        <w:rPr>
          <w:i/>
          <w:iCs/>
        </w:rPr>
        <w:t>Housing Studies</w:t>
      </w:r>
      <w:r w:rsidRPr="00C735A0">
        <w:t xml:space="preserve">, </w:t>
      </w:r>
      <w:r w:rsidRPr="00C735A0">
        <w:rPr>
          <w:i/>
          <w:iCs/>
        </w:rPr>
        <w:t>40</w:t>
      </w:r>
      <w:r w:rsidRPr="00C735A0">
        <w:t>(11), 2450–2480. https://doi.org/10.1080/02673037.2024.2404063</w:t>
      </w:r>
    </w:p>
    <w:p w14:paraId="661E1742" w14:textId="77777777" w:rsidR="00C735A0" w:rsidRPr="00C735A0" w:rsidRDefault="00C735A0" w:rsidP="00C735A0">
      <w:pPr>
        <w:pStyle w:val="Bibliography"/>
      </w:pPr>
      <w:r w:rsidRPr="00C735A0">
        <w:t xml:space="preserve">Lofqvist, C., Granbom, M., Himmelsbach, I., Iwarsson, S., Oswald, F., &amp; Haak, M. (2013). Voices on Relocation and Aging in Place in Very Old Age—A Complex and Ambivalent Matter. </w:t>
      </w:r>
      <w:r w:rsidRPr="00C735A0">
        <w:rPr>
          <w:i/>
          <w:iCs/>
        </w:rPr>
        <w:t>The Gerontologist</w:t>
      </w:r>
      <w:r w:rsidRPr="00C735A0">
        <w:t xml:space="preserve">, </w:t>
      </w:r>
      <w:r w:rsidRPr="00C735A0">
        <w:rPr>
          <w:i/>
          <w:iCs/>
        </w:rPr>
        <w:t>53</w:t>
      </w:r>
      <w:r w:rsidRPr="00C735A0">
        <w:t>(6), 919–927. https://doi.org/10.1093/geront/gnt034</w:t>
      </w:r>
    </w:p>
    <w:p w14:paraId="2B6F313E" w14:textId="77777777" w:rsidR="00C735A0" w:rsidRPr="00C735A0" w:rsidRDefault="00C735A0" w:rsidP="00C735A0">
      <w:pPr>
        <w:pStyle w:val="Bibliography"/>
      </w:pPr>
      <w:r w:rsidRPr="00C735A0">
        <w:t xml:space="preserve">Lu, P., &amp; Kong, D. (2024). Community-Based Residential Relocation in Middle and Older Age: A United States–China Comparison Study on Its Predictors and Associated Mortality Risk. </w:t>
      </w:r>
      <w:r w:rsidRPr="00C735A0">
        <w:rPr>
          <w:i/>
          <w:iCs/>
        </w:rPr>
        <w:t>Journal of Aging and Health</w:t>
      </w:r>
      <w:r w:rsidRPr="00C735A0">
        <w:t>, 08982643241276270. https://doi.org/10.1177/08982643241276270</w:t>
      </w:r>
    </w:p>
    <w:p w14:paraId="63C0F16F" w14:textId="77777777" w:rsidR="00C735A0" w:rsidRPr="00C735A0" w:rsidRDefault="00C735A0" w:rsidP="00C735A0">
      <w:pPr>
        <w:pStyle w:val="Bibliography"/>
      </w:pPr>
      <w:r w:rsidRPr="00C735A0">
        <w:t xml:space="preserve">Maas, J. (2006). Green space, urbanity, and health: How strong is the relation? </w:t>
      </w:r>
      <w:r w:rsidRPr="00C735A0">
        <w:rPr>
          <w:i/>
          <w:iCs/>
        </w:rPr>
        <w:t>Journal of Epidemiology &amp; Community Health</w:t>
      </w:r>
      <w:r w:rsidRPr="00C735A0">
        <w:t xml:space="preserve">, </w:t>
      </w:r>
      <w:r w:rsidRPr="00C735A0">
        <w:rPr>
          <w:i/>
          <w:iCs/>
        </w:rPr>
        <w:t>60</w:t>
      </w:r>
      <w:r w:rsidRPr="00C735A0">
        <w:t>(7), 587–592. https://doi.org/10.1136/jech.2005.043125</w:t>
      </w:r>
    </w:p>
    <w:p w14:paraId="7BFB2E53" w14:textId="77777777" w:rsidR="00C735A0" w:rsidRPr="00C735A0" w:rsidRDefault="00C735A0" w:rsidP="00C735A0">
      <w:pPr>
        <w:pStyle w:val="Bibliography"/>
      </w:pPr>
      <w:r w:rsidRPr="00C735A0">
        <w:t xml:space="preserve">Mangham, L. J., Hanson, K., &amp; McPake, B. (2009). How to do (or not to do) … Designing a discrete choice experiment for application in a low-income country. </w:t>
      </w:r>
      <w:r w:rsidRPr="00C735A0">
        <w:rPr>
          <w:i/>
          <w:iCs/>
        </w:rPr>
        <w:lastRenderedPageBreak/>
        <w:t>Health Policy and Planning</w:t>
      </w:r>
      <w:r w:rsidRPr="00C735A0">
        <w:t xml:space="preserve">, </w:t>
      </w:r>
      <w:r w:rsidRPr="00C735A0">
        <w:rPr>
          <w:i/>
          <w:iCs/>
        </w:rPr>
        <w:t>24</w:t>
      </w:r>
      <w:r w:rsidRPr="00C735A0">
        <w:t>(2), 151–158. https://doi.org/10.1093/heapol/czn047</w:t>
      </w:r>
    </w:p>
    <w:p w14:paraId="6E2D21C8" w14:textId="77777777" w:rsidR="00C735A0" w:rsidRPr="00C735A0" w:rsidRDefault="00C735A0" w:rsidP="00C735A0">
      <w:pPr>
        <w:pStyle w:val="Bibliography"/>
      </w:pPr>
      <w:r w:rsidRPr="00C735A0">
        <w:t xml:space="preserve">McFadden, D. (1974). The measurement of urban travel demand. </w:t>
      </w:r>
      <w:r w:rsidRPr="00C735A0">
        <w:rPr>
          <w:i/>
          <w:iCs/>
        </w:rPr>
        <w:t>Journal of Public Economics</w:t>
      </w:r>
      <w:r w:rsidRPr="00C735A0">
        <w:t xml:space="preserve">, </w:t>
      </w:r>
      <w:r w:rsidRPr="00C735A0">
        <w:rPr>
          <w:i/>
          <w:iCs/>
        </w:rPr>
        <w:t>3</w:t>
      </w:r>
      <w:r w:rsidRPr="00C735A0">
        <w:t>(4), 303–328. https://doi.org/10.1016/0047-2727(74)90003-6</w:t>
      </w:r>
    </w:p>
    <w:p w14:paraId="5475EAC5" w14:textId="77777777" w:rsidR="00C735A0" w:rsidRPr="00C735A0" w:rsidRDefault="00C735A0" w:rsidP="00C735A0">
      <w:pPr>
        <w:pStyle w:val="Bibliography"/>
      </w:pPr>
      <w:r w:rsidRPr="00C735A0">
        <w:t xml:space="preserve">McFadden, D., &amp; Train, K. (2000). Mixed MNL models for discrete response. </w:t>
      </w:r>
      <w:r w:rsidRPr="00C735A0">
        <w:rPr>
          <w:i/>
          <w:iCs/>
        </w:rPr>
        <w:t>Journal of Applied Econometrics</w:t>
      </w:r>
      <w:r w:rsidRPr="00C735A0">
        <w:t xml:space="preserve">, </w:t>
      </w:r>
      <w:r w:rsidRPr="00C735A0">
        <w:rPr>
          <w:i/>
          <w:iCs/>
        </w:rPr>
        <w:t>15</w:t>
      </w:r>
      <w:r w:rsidRPr="00C735A0">
        <w:t>(5), 447–470. https://doi.org/10.1002/1099-1255(200009/10)15:5&lt;447::AID-JAE570&gt;3.0.CO;2-1</w:t>
      </w:r>
    </w:p>
    <w:p w14:paraId="4ABC5DCF" w14:textId="77777777" w:rsidR="00C735A0" w:rsidRPr="00C735A0" w:rsidRDefault="00C735A0" w:rsidP="00C735A0">
      <w:pPr>
        <w:pStyle w:val="Bibliography"/>
      </w:pPr>
      <w:r w:rsidRPr="00C735A0">
        <w:rPr>
          <w:lang w:val="sv-SE"/>
        </w:rPr>
        <w:t xml:space="preserve">Nielsen, T. S., &amp; Hansen, K. B. (2007). </w:t>
      </w:r>
      <w:r w:rsidRPr="00C735A0">
        <w:t xml:space="preserve">Do green areas affect health? Results from a Danish survey on the use of green areas and health indicators. </w:t>
      </w:r>
      <w:r w:rsidRPr="00C735A0">
        <w:rPr>
          <w:i/>
          <w:iCs/>
        </w:rPr>
        <w:t>Health &amp; Place</w:t>
      </w:r>
      <w:r w:rsidRPr="00C735A0">
        <w:t xml:space="preserve">, </w:t>
      </w:r>
      <w:r w:rsidRPr="00C735A0">
        <w:rPr>
          <w:i/>
          <w:iCs/>
        </w:rPr>
        <w:t>13</w:t>
      </w:r>
      <w:r w:rsidRPr="00C735A0">
        <w:t>(4), 839–850. https://doi.org/10.1016/j.healthplace.2007.02.001</w:t>
      </w:r>
    </w:p>
    <w:p w14:paraId="3767AAA9" w14:textId="77777777" w:rsidR="00C735A0" w:rsidRPr="00C735A0" w:rsidRDefault="00C735A0" w:rsidP="00C735A0">
      <w:pPr>
        <w:pStyle w:val="Bibliography"/>
      </w:pPr>
      <w:r w:rsidRPr="00C735A0">
        <w:t xml:space="preserve">Ossokina, I. V., &amp; Arentze, T. A. (2022). Reference-dependent housing choice behaviour: Why are older people reluctant to move? </w:t>
      </w:r>
      <w:r w:rsidRPr="00C735A0">
        <w:rPr>
          <w:i/>
          <w:iCs/>
        </w:rPr>
        <w:t>Housing Studies</w:t>
      </w:r>
      <w:r w:rsidRPr="00C735A0">
        <w:t>, 1–19. https://doi.org/10.1080/02673037.2022.2151984</w:t>
      </w:r>
    </w:p>
    <w:p w14:paraId="1F0AF4C8" w14:textId="77777777" w:rsidR="00C735A0" w:rsidRPr="00C735A0" w:rsidRDefault="00C735A0" w:rsidP="00C735A0">
      <w:pPr>
        <w:pStyle w:val="Bibliography"/>
      </w:pPr>
      <w:r w:rsidRPr="00C735A0">
        <w:t xml:space="preserve">Ossokina, I. V., Arentze, T. A., Van Gameren, D., &amp; Van Den Heuvel, D. (2020). Best living concepts for elderly homeowners: Combining a stated choice experiment with architectural design. </w:t>
      </w:r>
      <w:r w:rsidRPr="00C735A0">
        <w:rPr>
          <w:i/>
          <w:iCs/>
        </w:rPr>
        <w:t>Journal of Housing and the Built Environment</w:t>
      </w:r>
      <w:r w:rsidRPr="00C735A0">
        <w:t xml:space="preserve">, </w:t>
      </w:r>
      <w:r w:rsidRPr="00C735A0">
        <w:rPr>
          <w:i/>
          <w:iCs/>
        </w:rPr>
        <w:t>35</w:t>
      </w:r>
      <w:r w:rsidRPr="00C735A0">
        <w:t>(3), 847–865. https://doi.org/10.1007/s10901-019-09716-5</w:t>
      </w:r>
    </w:p>
    <w:p w14:paraId="025D58E7" w14:textId="77777777" w:rsidR="00C735A0" w:rsidRPr="00C735A0" w:rsidRDefault="00C735A0" w:rsidP="00C735A0">
      <w:pPr>
        <w:pStyle w:val="Bibliography"/>
      </w:pPr>
      <w:r w:rsidRPr="00C735A0">
        <w:t xml:space="preserve">Paquet, C., Orschulok, T. P., Coffee, N. T., Howard, N. J., Hugo, G., Taylor, A. W., Adams, R. J., &amp; Daniel, M. (2013). Are accessibility and characteristics of public open spaces associated with a better cardiometabolic health? </w:t>
      </w:r>
      <w:r w:rsidRPr="00C735A0">
        <w:rPr>
          <w:i/>
          <w:iCs/>
        </w:rPr>
        <w:t>Landscape and Urban Planning</w:t>
      </w:r>
      <w:r w:rsidRPr="00C735A0">
        <w:t xml:space="preserve">, </w:t>
      </w:r>
      <w:r w:rsidRPr="00C735A0">
        <w:rPr>
          <w:i/>
          <w:iCs/>
        </w:rPr>
        <w:t>118</w:t>
      </w:r>
      <w:r w:rsidRPr="00C735A0">
        <w:t>, 70–78. https://doi.org/10.1016/j.landurbplan.2012.11.011</w:t>
      </w:r>
    </w:p>
    <w:p w14:paraId="52284AE4" w14:textId="77777777" w:rsidR="00C735A0" w:rsidRPr="00C735A0" w:rsidRDefault="00C735A0" w:rsidP="00C735A0">
      <w:pPr>
        <w:pStyle w:val="Bibliography"/>
      </w:pPr>
      <w:r w:rsidRPr="00C735A0">
        <w:t xml:space="preserve">Ricciardi, A. M., Xia, J., &amp; Currie, G. (2015). Exploring public transport equity between separate disadvantaged cohorts: A case study in Perth, Australia. </w:t>
      </w:r>
      <w:r w:rsidRPr="00C735A0">
        <w:rPr>
          <w:i/>
          <w:iCs/>
        </w:rPr>
        <w:lastRenderedPageBreak/>
        <w:t>Journal of Transport Geography</w:t>
      </w:r>
      <w:r w:rsidRPr="00C735A0">
        <w:t xml:space="preserve">, </w:t>
      </w:r>
      <w:r w:rsidRPr="00C735A0">
        <w:rPr>
          <w:i/>
          <w:iCs/>
        </w:rPr>
        <w:t>43</w:t>
      </w:r>
      <w:r w:rsidRPr="00C735A0">
        <w:t>, 111–122. https://doi.org/10.1016/j.jtrangeo.2015.01.011</w:t>
      </w:r>
    </w:p>
    <w:p w14:paraId="6ECDF6C7" w14:textId="77777777" w:rsidR="00C735A0" w:rsidRPr="00C735A0" w:rsidRDefault="00C735A0" w:rsidP="00C735A0">
      <w:pPr>
        <w:pStyle w:val="Bibliography"/>
      </w:pPr>
      <w:r w:rsidRPr="00C735A0">
        <w:t xml:space="preserve">Robison, J. T., &amp; Moen, P. (2000). A Life-Course Perspective on Housing Expectations and Shifts in Late Midlife. </w:t>
      </w:r>
      <w:r w:rsidRPr="00C735A0">
        <w:rPr>
          <w:i/>
          <w:iCs/>
        </w:rPr>
        <w:t>Research on Aging</w:t>
      </w:r>
      <w:r w:rsidRPr="00C735A0">
        <w:t xml:space="preserve">, </w:t>
      </w:r>
      <w:r w:rsidRPr="00C735A0">
        <w:rPr>
          <w:i/>
          <w:iCs/>
        </w:rPr>
        <w:t>22</w:t>
      </w:r>
      <w:r w:rsidRPr="00C735A0">
        <w:t>(5), 499–532. https://doi.org/10.1177/0164027500225003</w:t>
      </w:r>
    </w:p>
    <w:p w14:paraId="6E811AFD" w14:textId="77777777" w:rsidR="00C735A0" w:rsidRPr="00C735A0" w:rsidRDefault="00C735A0" w:rsidP="00C735A0">
      <w:pPr>
        <w:pStyle w:val="Bibliography"/>
      </w:pPr>
      <w:r w:rsidRPr="00C735A0">
        <w:t xml:space="preserve">Roy, N., Dubé, R., Després, C., Freitas, A., &amp; Légaré, F. (2018). Choosing between staying at home or moving: A systematic review of factors influencing housing decisions among frail older adults. </w:t>
      </w:r>
      <w:r w:rsidRPr="00C735A0">
        <w:rPr>
          <w:i/>
          <w:iCs/>
        </w:rPr>
        <w:t>PLOS ONE</w:t>
      </w:r>
      <w:r w:rsidRPr="00C735A0">
        <w:t xml:space="preserve">, </w:t>
      </w:r>
      <w:r w:rsidRPr="00C735A0">
        <w:rPr>
          <w:i/>
          <w:iCs/>
        </w:rPr>
        <w:t>13</w:t>
      </w:r>
      <w:r w:rsidRPr="00C735A0">
        <w:t>(1), e0189266. https://doi.org/10.1371/journal.pone.0189266</w:t>
      </w:r>
    </w:p>
    <w:p w14:paraId="69F54EEC" w14:textId="77777777" w:rsidR="00C735A0" w:rsidRPr="00C735A0" w:rsidRDefault="00C735A0" w:rsidP="00C735A0">
      <w:pPr>
        <w:pStyle w:val="Bibliography"/>
      </w:pPr>
      <w:r w:rsidRPr="00C735A0">
        <w:t xml:space="preserve">Schulz, M., Gross, C., &amp; Teti, A. (2025). </w:t>
      </w:r>
      <w:r w:rsidRPr="00C735A0">
        <w:rPr>
          <w:i/>
          <w:iCs/>
        </w:rPr>
        <w:t>Owning, Renting and Environmental Proactivity: The Role of Housing Tenure in Hypothetical Housing Decisions</w:t>
      </w:r>
      <w:r w:rsidRPr="00C735A0">
        <w:t>.</w:t>
      </w:r>
    </w:p>
    <w:p w14:paraId="02E1AD0C" w14:textId="77777777" w:rsidR="00C735A0" w:rsidRPr="00C735A0" w:rsidRDefault="00C735A0" w:rsidP="00C735A0">
      <w:pPr>
        <w:pStyle w:val="Bibliography"/>
      </w:pPr>
      <w:r w:rsidRPr="00C735A0">
        <w:t xml:space="preserve">Sturm, R., &amp; Cohen, D. (2014). </w:t>
      </w:r>
      <w:r w:rsidRPr="00C735A0">
        <w:rPr>
          <w:i/>
          <w:iCs/>
        </w:rPr>
        <w:t>Proximity to Urban Parks and Mental Health</w:t>
      </w:r>
      <w:r w:rsidRPr="00C735A0">
        <w:t>.</w:t>
      </w:r>
    </w:p>
    <w:p w14:paraId="26B85BC2" w14:textId="77777777" w:rsidR="00C735A0" w:rsidRPr="00C735A0" w:rsidRDefault="00C735A0" w:rsidP="00C735A0">
      <w:pPr>
        <w:pStyle w:val="Bibliography"/>
      </w:pPr>
      <w:r w:rsidRPr="00C735A0">
        <w:t xml:space="preserve">Train, K. (Ed.). (2003). </w:t>
      </w:r>
      <w:r w:rsidRPr="00C735A0">
        <w:rPr>
          <w:i/>
          <w:iCs/>
        </w:rPr>
        <w:t>Discrete choice methods with simulation</w:t>
      </w:r>
      <w:r w:rsidRPr="00C735A0">
        <w:t>. Cambridge University Press.</w:t>
      </w:r>
    </w:p>
    <w:p w14:paraId="09A4F660" w14:textId="77777777" w:rsidR="00C735A0" w:rsidRPr="00C735A0" w:rsidRDefault="00C735A0" w:rsidP="00C735A0">
      <w:pPr>
        <w:pStyle w:val="Bibliography"/>
      </w:pPr>
      <w:r w:rsidRPr="00C735A0">
        <w:t xml:space="preserve">United Nations Department of Economic and Social Affairs. (2023). </w:t>
      </w:r>
      <w:r w:rsidRPr="00C735A0">
        <w:rPr>
          <w:i/>
          <w:iCs/>
        </w:rPr>
        <w:t>World Social Report 2023: Leaving No One Behind in an Ageing World</w:t>
      </w:r>
      <w:r w:rsidRPr="00C735A0">
        <w:t>. United Nations. https://doi.org/10.18356/9789210019682</w:t>
      </w:r>
    </w:p>
    <w:p w14:paraId="188C83A4" w14:textId="77777777" w:rsidR="00C735A0" w:rsidRPr="00C735A0" w:rsidRDefault="00C735A0" w:rsidP="00C735A0">
      <w:pPr>
        <w:pStyle w:val="Bibliography"/>
      </w:pPr>
      <w:r w:rsidRPr="00C735A0">
        <w:t xml:space="preserve">Wiles, J. L., Leibing, A., Guberman, N., Reeve, J., &amp; Allen, R. E. S. (2012). The Meaning of “Aging in Place” to Older People. </w:t>
      </w:r>
      <w:r w:rsidRPr="00C735A0">
        <w:rPr>
          <w:i/>
          <w:iCs/>
        </w:rPr>
        <w:t>The Gerontologist</w:t>
      </w:r>
      <w:r w:rsidRPr="00C735A0">
        <w:t xml:space="preserve">, </w:t>
      </w:r>
      <w:r w:rsidRPr="00C735A0">
        <w:rPr>
          <w:i/>
          <w:iCs/>
        </w:rPr>
        <w:t>52</w:t>
      </w:r>
      <w:r w:rsidRPr="00C735A0">
        <w:t>(3), 357–366. https://doi.org/10.1093/geront/gnr098</w:t>
      </w:r>
    </w:p>
    <w:p w14:paraId="61A2D7FC" w14:textId="77777777" w:rsidR="00C735A0" w:rsidRPr="00C735A0" w:rsidRDefault="00C735A0" w:rsidP="00C735A0">
      <w:pPr>
        <w:pStyle w:val="Bibliography"/>
      </w:pPr>
      <w:r w:rsidRPr="00C735A0">
        <w:t xml:space="preserve">Wooldridge, J. M. (2010). </w:t>
      </w:r>
      <w:r w:rsidRPr="00C735A0">
        <w:rPr>
          <w:i/>
          <w:iCs/>
        </w:rPr>
        <w:t>Econometric Analysis of Cross Section and Panel Data, second edition</w:t>
      </w:r>
      <w:r w:rsidRPr="00C735A0">
        <w:t>. MIT Press.</w:t>
      </w:r>
    </w:p>
    <w:p w14:paraId="3F44BB3C" w14:textId="77777777" w:rsidR="00C735A0" w:rsidRPr="00C735A0" w:rsidRDefault="00C735A0" w:rsidP="00C735A0">
      <w:pPr>
        <w:pStyle w:val="Bibliography"/>
      </w:pPr>
      <w:r w:rsidRPr="00C735A0">
        <w:t xml:space="preserve">Zhao, L., Szajnfarber, Z., Broniatowski, D., &amp; Helveston, J. P. (2023). Using conjoint analysis to incorporate heterogeneous preferences into multimodal transit trip </w:t>
      </w:r>
      <w:r w:rsidRPr="00C735A0">
        <w:lastRenderedPageBreak/>
        <w:t xml:space="preserve">simulations. </w:t>
      </w:r>
      <w:r w:rsidRPr="00C735A0">
        <w:rPr>
          <w:i/>
          <w:iCs/>
        </w:rPr>
        <w:t>Systems Engineering</w:t>
      </w:r>
      <w:r w:rsidRPr="00C735A0">
        <w:t xml:space="preserve">, </w:t>
      </w:r>
      <w:r w:rsidRPr="00C735A0">
        <w:rPr>
          <w:i/>
          <w:iCs/>
        </w:rPr>
        <w:t>26</w:t>
      </w:r>
      <w:r w:rsidRPr="00C735A0">
        <w:t>(4), 438–448. https://doi.org/10.1002/sys.21670</w:t>
      </w:r>
    </w:p>
    <w:p w14:paraId="6303F926" w14:textId="1E3B2174"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pgSz w:w="11901" w:h="16840"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rne Risa Hole" w:date="2026-01-12T16:56:00Z" w:initials="ARH">
    <w:p w14:paraId="74615A0F" w14:textId="77777777" w:rsidR="009A772D" w:rsidRDefault="004D10E9" w:rsidP="009A772D">
      <w:pPr>
        <w:pStyle w:val="CommentText"/>
      </w:pPr>
      <w:r>
        <w:rPr>
          <w:rStyle w:val="CommentReference"/>
        </w:rPr>
        <w:annotationRef/>
      </w:r>
      <w:r w:rsidR="009A772D">
        <w:t xml:space="preserve">I would suggest providing the SEK/EUR exchange rate at the time of the survey as a footnote to the tables presenting MWTP estimates. </w:t>
      </w:r>
    </w:p>
  </w:comment>
  <w:comment w:id="2" w:author="Nick Christie" w:date="2026-01-16T14:19:00Z" w:initials="NC">
    <w:p w14:paraId="584E05D4" w14:textId="77777777" w:rsidR="00AB4876" w:rsidRDefault="00AB4876" w:rsidP="00AB4876">
      <w:pPr>
        <w:pStyle w:val="CommentText"/>
      </w:pPr>
      <w:r>
        <w:rPr>
          <w:rStyle w:val="CommentReference"/>
        </w:rPr>
        <w:annotationRef/>
      </w:r>
      <w:r>
        <w:rPr>
          <w:lang w:val="sv-SE"/>
        </w:rPr>
        <w:t>Good point, noted</w:t>
      </w:r>
    </w:p>
  </w:comment>
  <w:comment w:id="3" w:author="Arne Risa Hole" w:date="2026-01-12T16:50:00Z" w:initials="ARH">
    <w:p w14:paraId="3379485C" w14:textId="084B710B" w:rsidR="009A772D" w:rsidRDefault="00AE630A" w:rsidP="009A772D">
      <w:pPr>
        <w:pStyle w:val="CommentText"/>
      </w:pPr>
      <w:r>
        <w:rPr>
          <w:rStyle w:val="CommentReference"/>
        </w:rPr>
        <w:annotationRef/>
      </w:r>
      <w:r w:rsidR="009A772D">
        <w:t>A possibility here would be to only present the MWTP values in the text and the full estimation results in an (online) appendix.</w:t>
      </w:r>
    </w:p>
  </w:comment>
  <w:comment w:id="4" w:author="Nick Christie" w:date="2026-01-16T14:20:00Z" w:initials="NC">
    <w:p w14:paraId="497B267D" w14:textId="77777777" w:rsidR="00AB4876" w:rsidRDefault="00AB4876" w:rsidP="00AB4876">
      <w:pPr>
        <w:pStyle w:val="CommentText"/>
      </w:pPr>
      <w:r>
        <w:rPr>
          <w:rStyle w:val="CommentReference"/>
        </w:rPr>
        <w:annotationRef/>
      </w:r>
      <w:r>
        <w:rPr>
          <w:lang w:val="sv-SE"/>
        </w:rPr>
        <w:t xml:space="preserve">An idea that warrants discussion.  It would simplify the interpretation, although papers in Housing Studies do show coefficients. </w:t>
      </w:r>
    </w:p>
  </w:comment>
  <w:comment w:id="5" w:author="Arne Risa Hole" w:date="2026-01-12T16:52:00Z" w:initials="ARH">
    <w:p w14:paraId="70DBEC97" w14:textId="41FBEF35" w:rsidR="009A772D" w:rsidRDefault="000527AE" w:rsidP="009A772D">
      <w:pPr>
        <w:pStyle w:val="CommentText"/>
      </w:pPr>
      <w:r>
        <w:rPr>
          <w:rStyle w:val="CommentReference"/>
        </w:rPr>
        <w:annotationRef/>
      </w:r>
      <w:r w:rsidR="009A772D">
        <w:t>My suggestion would be to incorporate this into the methodology. It is a strength of the design, as it means the values in the DCE are more relevant to the respondents than if the same price levels were used for every respondent.</w:t>
      </w:r>
    </w:p>
  </w:comment>
  <w:comment w:id="6" w:author="Nick Christie" w:date="2026-01-16T14:21:00Z" w:initials="NC">
    <w:p w14:paraId="16BD8D4A" w14:textId="77777777" w:rsidR="00AB4876" w:rsidRDefault="00AB4876" w:rsidP="00AB4876">
      <w:pPr>
        <w:pStyle w:val="CommentText"/>
      </w:pPr>
      <w:r>
        <w:rPr>
          <w:rStyle w:val="CommentReference"/>
        </w:rPr>
        <w:annotationRef/>
      </w:r>
      <w:r>
        <w:rPr>
          <w:lang w:val="sv-SE"/>
        </w:rPr>
        <w:t>Good point, noted</w:t>
      </w:r>
    </w:p>
  </w:comment>
  <w:comment w:id="7" w:author="Arne Risa Hole" w:date="2026-01-12T13:09:00Z" w:initials="ARH">
    <w:p w14:paraId="3ED023F0" w14:textId="333504E3" w:rsidR="00CF427B" w:rsidRDefault="00CF427B" w:rsidP="00CF427B">
      <w:pPr>
        <w:pStyle w:val="CommentText"/>
      </w:pPr>
      <w:r>
        <w:rPr>
          <w:rStyle w:val="CommentReference"/>
        </w:rPr>
        <w:annotationRef/>
      </w:r>
      <w:r>
        <w:t>Say which? Important to distinguish here between observed and unobserved preference heterogeneity.</w:t>
      </w:r>
    </w:p>
  </w:comment>
  <w:comment w:id="8" w:author="Nick Christie" w:date="2026-01-16T14:21:00Z" w:initials="NC">
    <w:p w14:paraId="45FC54E1" w14:textId="77777777" w:rsidR="00AB4876" w:rsidRDefault="00AB4876" w:rsidP="00AB4876">
      <w:pPr>
        <w:pStyle w:val="CommentText"/>
      </w:pPr>
      <w:r>
        <w:rPr>
          <w:rStyle w:val="CommentReference"/>
        </w:rPr>
        <w:annotationRef/>
      </w:r>
      <w:r>
        <w:rPr>
          <w:lang w:val="sv-SE"/>
        </w:rPr>
        <w:t>Will expand as to distinguish the sources of heterogeneity.</w:t>
      </w:r>
    </w:p>
  </w:comment>
  <w:comment w:id="10" w:author="Arne Risa Hole" w:date="2026-01-12T13:15:00Z" w:initials="ARH">
    <w:p w14:paraId="0C40B13B" w14:textId="25AFE7D0" w:rsidR="005F2019" w:rsidRDefault="005F2019" w:rsidP="005F2019">
      <w:pPr>
        <w:pStyle w:val="CommentText"/>
      </w:pPr>
      <w:r>
        <w:rPr>
          <w:rStyle w:val="CommentReference"/>
        </w:rPr>
        <w:annotationRef/>
      </w:r>
      <w:r>
        <w:t>Could be a bit more specific here: how many potential respondents were invited to participate, what is the response rate etc.</w:t>
      </w:r>
    </w:p>
  </w:comment>
  <w:comment w:id="11" w:author="Nick Christie" w:date="2026-01-16T14:22:00Z" w:initials="NC">
    <w:p w14:paraId="556DBEC8" w14:textId="77777777" w:rsidR="00AB4876" w:rsidRDefault="00AB4876" w:rsidP="00AB4876">
      <w:pPr>
        <w:pStyle w:val="CommentText"/>
      </w:pPr>
      <w:r>
        <w:rPr>
          <w:rStyle w:val="CommentReference"/>
        </w:rPr>
        <w:annotationRef/>
      </w:r>
      <w:r>
        <w:rPr>
          <w:lang w:val="sv-SE"/>
        </w:rPr>
        <w:t>This can be reworded to clarify how the DCE was a part of the follow-up survey and not all of the follow-up respondents participated in the DCE.</w:t>
      </w:r>
    </w:p>
  </w:comment>
  <w:comment w:id="12" w:author="Arne Risa Hole" w:date="2026-01-12T13:18:00Z" w:initials="ARH">
    <w:p w14:paraId="7E67CE61" w14:textId="047A9C5B" w:rsidR="005F2019" w:rsidRDefault="005F2019" w:rsidP="005F2019">
      <w:pPr>
        <w:pStyle w:val="CommentText"/>
      </w:pPr>
      <w:r>
        <w:rPr>
          <w:rStyle w:val="CommentReference"/>
        </w:rPr>
        <w:annotationRef/>
      </w:r>
      <w:r>
        <w:t>Would it be possible to compare additional socio-demographic characteristics (gender, education etc.) to the population of 55+ year-olds in Sweden?</w:t>
      </w:r>
    </w:p>
  </w:comment>
  <w:comment w:id="13" w:author="Nick Christie" w:date="2026-01-16T14:23:00Z" w:initials="NC">
    <w:p w14:paraId="029657D1" w14:textId="77777777" w:rsidR="00AB4876" w:rsidRDefault="00AB4876" w:rsidP="00AB4876">
      <w:pPr>
        <w:pStyle w:val="CommentText"/>
      </w:pPr>
      <w:r>
        <w:rPr>
          <w:rStyle w:val="CommentReference"/>
        </w:rPr>
        <w:annotationRef/>
      </w:r>
      <w:r>
        <w:rPr>
          <w:lang w:val="sv-SE"/>
        </w:rPr>
        <w:t>This is a possibility with some data from public national registers such as Kolada</w:t>
      </w:r>
    </w:p>
  </w:comment>
  <w:comment w:id="14" w:author="Arne Risa Hole" w:date="2026-01-12T13:21:00Z" w:initials="ARH">
    <w:p w14:paraId="4415F734" w14:textId="6C6BEDDB" w:rsidR="005B0BB5" w:rsidRDefault="005B0BB5" w:rsidP="005B0BB5">
      <w:pPr>
        <w:pStyle w:val="CommentText"/>
      </w:pPr>
      <w:r>
        <w:rPr>
          <w:rStyle w:val="CommentReference"/>
        </w:rPr>
        <w:annotationRef/>
      </w:r>
      <w:r>
        <w:t>Consider adding some information about the background of these individuals. Ideally they should be similar to those completing the DCE.</w:t>
      </w:r>
    </w:p>
  </w:comment>
  <w:comment w:id="15" w:author="Nick Christie" w:date="2026-01-16T14:24:00Z" w:initials="NC">
    <w:p w14:paraId="6A1F4420" w14:textId="77777777" w:rsidR="00AB4876" w:rsidRDefault="00AB4876" w:rsidP="00AB4876">
      <w:pPr>
        <w:pStyle w:val="CommentText"/>
      </w:pPr>
      <w:r>
        <w:rPr>
          <w:rStyle w:val="CommentReference"/>
        </w:rPr>
        <w:annotationRef/>
      </w:r>
      <w:r>
        <w:rPr>
          <w:lang w:val="sv-SE"/>
        </w:rPr>
        <w:t>Good point, noted</w:t>
      </w:r>
    </w:p>
  </w:comment>
  <w:comment w:id="16" w:author="Arne Risa Hole" w:date="2026-01-12T13:23:00Z" w:initials="ARH">
    <w:p w14:paraId="3D9F5ECB" w14:textId="54EAFE32" w:rsidR="005B0BB5" w:rsidRDefault="005B0BB5" w:rsidP="005B0BB5">
      <w:pPr>
        <w:pStyle w:val="CommentText"/>
      </w:pPr>
      <w:r>
        <w:rPr>
          <w:rStyle w:val="CommentReference"/>
        </w:rPr>
        <w:annotationRef/>
      </w:r>
      <w:r>
        <w:t>Good!</w:t>
      </w:r>
    </w:p>
  </w:comment>
  <w:comment w:id="17" w:author="Arne Risa Hole" w:date="2026-01-12T13:25:00Z" w:initials="ARH">
    <w:p w14:paraId="4491382A" w14:textId="77777777" w:rsidR="005B0BB5" w:rsidRDefault="005B0BB5" w:rsidP="005B0BB5">
      <w:pPr>
        <w:pStyle w:val="CommentText"/>
      </w:pPr>
      <w:r>
        <w:rPr>
          <w:rStyle w:val="CommentReference"/>
        </w:rPr>
        <w:annotationRef/>
      </w:r>
      <w:r>
        <w:t>Replace with “revealed choices” or “revealed preference data”? RP data typically come from observed behaviour, not experiments.</w:t>
      </w:r>
    </w:p>
  </w:comment>
  <w:comment w:id="18" w:author="Nick Christie" w:date="2026-01-16T14:24:00Z" w:initials="NC">
    <w:p w14:paraId="53891D35" w14:textId="77777777" w:rsidR="00AB4876" w:rsidRDefault="00AB4876" w:rsidP="00AB4876">
      <w:pPr>
        <w:pStyle w:val="CommentText"/>
      </w:pPr>
      <w:r>
        <w:rPr>
          <w:rStyle w:val="CommentReference"/>
        </w:rPr>
        <w:annotationRef/>
      </w:r>
      <w:r>
        <w:rPr>
          <w:lang w:val="sv-SE"/>
        </w:rPr>
        <w:t>Good point, noted.</w:t>
      </w:r>
    </w:p>
  </w:comment>
  <w:comment w:id="19" w:author="Arne Risa Hole" w:date="2026-01-12T13:26:00Z" w:initials="ARH">
    <w:p w14:paraId="36E19009" w14:textId="2D93F6AA" w:rsidR="005B0BB5" w:rsidRDefault="005B0BB5" w:rsidP="005B0BB5">
      <w:pPr>
        <w:pStyle w:val="CommentText"/>
      </w:pPr>
      <w:r>
        <w:rPr>
          <w:rStyle w:val="CommentReference"/>
        </w:rPr>
        <w:annotationRef/>
      </w:r>
      <w:r>
        <w:t>I would replace “stated choice model” with “stated preference experiment” here.</w:t>
      </w:r>
    </w:p>
  </w:comment>
  <w:comment w:id="20" w:author="Nick Christie" w:date="2026-01-16T14:24:00Z" w:initials="NC">
    <w:p w14:paraId="66A27A38" w14:textId="77777777" w:rsidR="00AB4876" w:rsidRDefault="00AB4876" w:rsidP="00AB4876">
      <w:pPr>
        <w:pStyle w:val="CommentText"/>
      </w:pPr>
      <w:r>
        <w:rPr>
          <w:rStyle w:val="CommentReference"/>
        </w:rPr>
        <w:annotationRef/>
      </w:r>
      <w:r>
        <w:rPr>
          <w:lang w:val="sv-SE"/>
        </w:rPr>
        <w:t>Good point, noted.</w:t>
      </w:r>
    </w:p>
  </w:comment>
  <w:comment w:id="21" w:author="Arne Risa Hole" w:date="2026-01-12T13:43:00Z" w:initials="ARH">
    <w:p w14:paraId="4CB4E3C2" w14:textId="3E6ADB81" w:rsidR="00773C7A" w:rsidRDefault="00773C7A" w:rsidP="00773C7A">
      <w:pPr>
        <w:pStyle w:val="CommentText"/>
      </w:pPr>
      <w:r>
        <w:rPr>
          <w:rStyle w:val="CommentReference"/>
        </w:rPr>
        <w:annotationRef/>
      </w:r>
      <w:r>
        <w:t>It is was not clear to me what “planned cost” refers to in the table below.</w:t>
      </w:r>
    </w:p>
  </w:comment>
  <w:comment w:id="22" w:author="Nick Christie" w:date="2026-01-16T14:25:00Z" w:initials="NC">
    <w:p w14:paraId="5A13D1A6" w14:textId="77777777" w:rsidR="00AB4876" w:rsidRDefault="00AB4876" w:rsidP="00AB4876">
      <w:pPr>
        <w:pStyle w:val="CommentText"/>
      </w:pPr>
      <w:r>
        <w:rPr>
          <w:rStyle w:val="CommentReference"/>
        </w:rPr>
        <w:annotationRef/>
      </w:r>
      <w:r>
        <w:rPr>
          <w:lang w:val="sv-SE"/>
        </w:rPr>
        <w:t>This can be clairified as to explain what is essentially the respondent’s budget for new housing.</w:t>
      </w:r>
    </w:p>
  </w:comment>
  <w:comment w:id="23" w:author="Arne Risa Hole" w:date="2026-01-12T13:39:00Z" w:initials="ARH">
    <w:p w14:paraId="43CFBA83" w14:textId="2DDF7DDC" w:rsidR="00031CB3" w:rsidRDefault="00031CB3" w:rsidP="00031CB3">
      <w:pPr>
        <w:pStyle w:val="CommentText"/>
      </w:pPr>
      <w:r>
        <w:rPr>
          <w:rStyle w:val="CommentReference"/>
        </w:rPr>
        <w:annotationRef/>
      </w:r>
      <w:r>
        <w:t>Say how this was generated?</w:t>
      </w:r>
    </w:p>
  </w:comment>
  <w:comment w:id="24" w:author="Nick Christie" w:date="2026-01-16T14:26:00Z" w:initials="NC">
    <w:p w14:paraId="5B749203" w14:textId="77777777" w:rsidR="00AB4876" w:rsidRDefault="00AB4876" w:rsidP="00AB4876">
      <w:pPr>
        <w:pStyle w:val="CommentText"/>
      </w:pPr>
      <w:r>
        <w:rPr>
          <w:rStyle w:val="CommentReference"/>
        </w:rPr>
        <w:annotationRef/>
      </w:r>
      <w:r>
        <w:rPr>
          <w:lang w:val="sv-SE"/>
        </w:rPr>
        <w:t>Good point, noted.</w:t>
      </w:r>
    </w:p>
    <w:p w14:paraId="41CC9519" w14:textId="77777777" w:rsidR="00AB4876" w:rsidRDefault="00AB4876" w:rsidP="00AB4876">
      <w:pPr>
        <w:pStyle w:val="CommentText"/>
      </w:pPr>
      <w:r>
        <w:rPr>
          <w:lang w:val="sv-SE"/>
        </w:rPr>
        <w:t xml:space="preserve">Choice sets were generated using the cbctools package in R. (Specifically, we used the cbc_design() function to construct an </w:t>
      </w:r>
      <w:r>
        <w:rPr>
          <w:b/>
          <w:bCs/>
          <w:lang w:val="sv-SE"/>
        </w:rPr>
        <w:t>algorithmically generated orthogonal fractional factorial design</w:t>
      </w:r>
      <w:r>
        <w:rPr>
          <w:lang w:val="sv-SE"/>
        </w:rPr>
        <w:t>, which yields a D-efficient approximation while ensuring balanced and uncorrelated attribute levels across choice tasks. )</w:t>
      </w:r>
    </w:p>
  </w:comment>
  <w:comment w:id="25" w:author="Arne Risa Hole" w:date="2026-01-12T13:41:00Z" w:initials="ARH">
    <w:p w14:paraId="62D6242F" w14:textId="3871EE09" w:rsidR="00031CB3" w:rsidRDefault="00031CB3" w:rsidP="00031CB3">
      <w:pPr>
        <w:pStyle w:val="CommentText"/>
      </w:pPr>
      <w:r>
        <w:rPr>
          <w:rStyle w:val="CommentReference"/>
        </w:rPr>
        <w:annotationRef/>
      </w:r>
      <w:r>
        <w:t>Was 9 the total number of choice sets in the design, or did you block a larger design into blocks of 9 choice sets each?</w:t>
      </w:r>
    </w:p>
  </w:comment>
  <w:comment w:id="26" w:author="Nick Christie" w:date="2026-01-16T14:28:00Z" w:initials="NC">
    <w:p w14:paraId="389D839D" w14:textId="77777777" w:rsidR="00AB4876" w:rsidRDefault="00AB4876" w:rsidP="00AB4876">
      <w:pPr>
        <w:pStyle w:val="CommentText"/>
      </w:pPr>
      <w:r>
        <w:rPr>
          <w:rStyle w:val="CommentReference"/>
        </w:rPr>
        <w:annotationRef/>
      </w:r>
      <w:r>
        <w:rPr>
          <w:lang w:val="sv-SE"/>
        </w:rPr>
        <w:t>9 was the total number of choice sets, each respondent examined all nice choice sets and no blocking of a larger design was employed.</w:t>
      </w:r>
    </w:p>
  </w:comment>
  <w:comment w:id="27" w:author="Arne Risa Hole" w:date="2026-01-12T13:41:00Z" w:initials="ARH">
    <w:p w14:paraId="24879D9F" w14:textId="3A96E550" w:rsidR="00031CB3" w:rsidRDefault="00031CB3" w:rsidP="00031CB3">
      <w:pPr>
        <w:pStyle w:val="CommentText"/>
      </w:pPr>
      <w:r>
        <w:rPr>
          <w:rStyle w:val="CommentReference"/>
        </w:rPr>
        <w:annotationRef/>
      </w:r>
      <w:r>
        <w:t>Were the respondents allowed to opt out, i.e. not choose either alternative?</w:t>
      </w:r>
    </w:p>
  </w:comment>
  <w:comment w:id="28" w:author="Nick Christie" w:date="2026-01-16T14:28:00Z" w:initials="NC">
    <w:p w14:paraId="63F9171F" w14:textId="77777777" w:rsidR="00AB4876" w:rsidRDefault="00AB4876" w:rsidP="00AB4876">
      <w:pPr>
        <w:pStyle w:val="CommentText"/>
      </w:pPr>
      <w:r>
        <w:rPr>
          <w:rStyle w:val="CommentReference"/>
        </w:rPr>
        <w:annotationRef/>
      </w:r>
      <w:r>
        <w:rPr>
          <w:lang w:val="sv-SE"/>
        </w:rPr>
        <w:t>There was no opt out alternative.  In hindsight, it would have been more appropriate to include.</w:t>
      </w:r>
    </w:p>
  </w:comment>
  <w:comment w:id="29" w:author="Arne Risa Hole" w:date="2026-01-12T13:46:00Z" w:initials="ARH">
    <w:p w14:paraId="29904E75" w14:textId="788B3912" w:rsidR="00773C7A" w:rsidRDefault="00773C7A" w:rsidP="00773C7A">
      <w:pPr>
        <w:pStyle w:val="CommentText"/>
      </w:pPr>
      <w:r>
        <w:rPr>
          <w:rStyle w:val="CommentReference"/>
        </w:rPr>
        <w:annotationRef/>
      </w:r>
      <w:r>
        <w:t>There is a small typo in the formula: the sum in the denominator should be over j</w:t>
      </w:r>
    </w:p>
  </w:comment>
  <w:comment w:id="30" w:author="Nick Christie" w:date="2026-01-16T14:28:00Z" w:initials="NC">
    <w:p w14:paraId="720F531C" w14:textId="77777777" w:rsidR="00AB4876" w:rsidRDefault="00AB4876" w:rsidP="00AB4876">
      <w:pPr>
        <w:pStyle w:val="CommentText"/>
      </w:pPr>
      <w:r>
        <w:rPr>
          <w:rStyle w:val="CommentReference"/>
        </w:rPr>
        <w:annotationRef/>
      </w:r>
      <w:r>
        <w:rPr>
          <w:lang w:val="sv-SE"/>
        </w:rPr>
        <w:t>Noted, thanks</w:t>
      </w:r>
    </w:p>
  </w:comment>
  <w:comment w:id="31" w:author="Arne Risa Hole" w:date="2026-01-12T13:48:00Z" w:initials="ARH">
    <w:p w14:paraId="4867A455" w14:textId="51209537" w:rsidR="00773C7A" w:rsidRDefault="00773C7A" w:rsidP="00773C7A">
      <w:pPr>
        <w:pStyle w:val="CommentText"/>
      </w:pPr>
      <w:r>
        <w:rPr>
          <w:rStyle w:val="CommentReference"/>
        </w:rPr>
        <w:annotationRef/>
      </w:r>
      <w:r>
        <w:t xml:space="preserve">You could explain here - although I do not think it is essential - that MNL models can capture preference heterogeneity related to observable characteristics (by including interactions in the model), but not preference heterogeneity related to unobservables. </w:t>
      </w:r>
    </w:p>
  </w:comment>
  <w:comment w:id="32" w:author="Nick Christie" w:date="2026-01-16T14:29:00Z" w:initials="NC">
    <w:p w14:paraId="574E2395" w14:textId="77777777" w:rsidR="00AB4876" w:rsidRDefault="00AB4876" w:rsidP="00AB4876">
      <w:pPr>
        <w:pStyle w:val="CommentText"/>
      </w:pPr>
      <w:r>
        <w:rPr>
          <w:rStyle w:val="CommentReference"/>
        </w:rPr>
        <w:annotationRef/>
      </w:r>
      <w:r>
        <w:rPr>
          <w:lang w:val="sv-SE"/>
        </w:rPr>
        <w:t>Noted, thanks</w:t>
      </w:r>
    </w:p>
  </w:comment>
  <w:comment w:id="33" w:author="Arne Risa Hole" w:date="2026-01-12T13:51:00Z" w:initials="ARH">
    <w:p w14:paraId="5165845A" w14:textId="78778954" w:rsidR="00773C7A" w:rsidRDefault="00773C7A" w:rsidP="00773C7A">
      <w:pPr>
        <w:pStyle w:val="CommentText"/>
      </w:pPr>
      <w:r>
        <w:rPr>
          <w:rStyle w:val="CommentReference"/>
        </w:rPr>
        <w:annotationRef/>
      </w:r>
      <w:r>
        <w:t>I prefer to use term “maximum simulated likelihood” (as in the Train textbook cited below) but this is a minor point.</w:t>
      </w:r>
    </w:p>
  </w:comment>
  <w:comment w:id="34" w:author="Nick Christie" w:date="2026-01-16T14:29:00Z" w:initials="NC">
    <w:p w14:paraId="6E376370" w14:textId="77777777" w:rsidR="00AB4876" w:rsidRDefault="00AB4876" w:rsidP="00AB4876">
      <w:pPr>
        <w:pStyle w:val="CommentText"/>
      </w:pPr>
      <w:r>
        <w:rPr>
          <w:rStyle w:val="CommentReference"/>
        </w:rPr>
        <w:annotationRef/>
      </w:r>
      <w:r>
        <w:rPr>
          <w:lang w:val="sv-SE"/>
        </w:rPr>
        <w:t>Noted, thanks</w:t>
      </w:r>
    </w:p>
  </w:comment>
  <w:comment w:id="35" w:author="Arne Risa Hole" w:date="2026-01-12T14:19:00Z" w:initials="ARH">
    <w:p w14:paraId="0BDA14A2" w14:textId="466D334A" w:rsidR="00C01B54" w:rsidRDefault="00C01B54" w:rsidP="00C01B54">
      <w:pPr>
        <w:pStyle w:val="CommentText"/>
      </w:pPr>
      <w:r>
        <w:rPr>
          <w:rStyle w:val="CommentReference"/>
        </w:rPr>
        <w:annotationRef/>
      </w:r>
      <w:r>
        <w:t>Clarify that these are independent normal distributions.</w:t>
      </w:r>
    </w:p>
  </w:comment>
  <w:comment w:id="36" w:author="Nick Christie" w:date="2026-01-16T14:29:00Z" w:initials="NC">
    <w:p w14:paraId="3EE2842B" w14:textId="77777777" w:rsidR="00AB4876" w:rsidRDefault="00AB4876" w:rsidP="00AB4876">
      <w:pPr>
        <w:pStyle w:val="CommentText"/>
      </w:pPr>
      <w:r>
        <w:rPr>
          <w:rStyle w:val="CommentReference"/>
        </w:rPr>
        <w:annotationRef/>
      </w:r>
      <w:r>
        <w:rPr>
          <w:lang w:val="sv-SE"/>
        </w:rPr>
        <w:t>Noted, thanks</w:t>
      </w:r>
    </w:p>
  </w:comment>
  <w:comment w:id="37" w:author="Arne Risa Hole" w:date="2026-01-12T13:54:00Z" w:initials="ARH">
    <w:p w14:paraId="4B5AEDF4" w14:textId="64C071E2" w:rsidR="00DE3509" w:rsidRDefault="00DE3509" w:rsidP="00DE3509">
      <w:pPr>
        <w:pStyle w:val="CommentText"/>
      </w:pPr>
      <w:r>
        <w:rPr>
          <w:rStyle w:val="CommentReference"/>
        </w:rPr>
        <w:annotationRef/>
      </w:r>
      <w:r>
        <w:t>This is a common specification for the reason given, but it may be queried by a referee as it implicitly assumes that there is no preference heterogeneity in terms of price. If you are interested we could discuss alternative model specifications in the meeting, but I do not think it is essential to change anything.</w:t>
      </w:r>
    </w:p>
  </w:comment>
  <w:comment w:id="38" w:author="Nick Christie" w:date="2026-01-16T14:30:00Z" w:initials="NC">
    <w:p w14:paraId="70616A1C" w14:textId="77777777" w:rsidR="00A0779B" w:rsidRDefault="00A0779B" w:rsidP="00A0779B">
      <w:pPr>
        <w:pStyle w:val="CommentText"/>
      </w:pPr>
      <w:r>
        <w:rPr>
          <w:rStyle w:val="CommentReference"/>
        </w:rPr>
        <w:annotationRef/>
      </w:r>
      <w:r>
        <w:rPr>
          <w:lang w:val="sv-SE"/>
        </w:rPr>
        <w:t>Could be interesting to consider if it would strengthen the paper.</w:t>
      </w:r>
    </w:p>
  </w:comment>
  <w:comment w:id="39" w:author="Arne Risa Hole" w:date="2026-01-12T13:56:00Z" w:initials="ARH">
    <w:p w14:paraId="3D75DEA5" w14:textId="4A2AEA1C" w:rsidR="00DE3509" w:rsidRDefault="00DE3509" w:rsidP="00DE3509">
      <w:pPr>
        <w:pStyle w:val="CommentText"/>
      </w:pPr>
      <w:r>
        <w:rPr>
          <w:rStyle w:val="CommentReference"/>
        </w:rPr>
        <w:annotationRef/>
      </w:r>
      <w:r>
        <w:t xml:space="preserve">Clarify that this is the *mean* MRS (and depending on the intended audience you may want to briefly explain what the MRS is). </w:t>
      </w:r>
    </w:p>
  </w:comment>
  <w:comment w:id="40" w:author="Nick Christie" w:date="2026-01-16T14:30:00Z" w:initials="NC">
    <w:p w14:paraId="0370D990" w14:textId="77777777" w:rsidR="00A0779B" w:rsidRDefault="00A0779B" w:rsidP="00A0779B">
      <w:pPr>
        <w:pStyle w:val="CommentText"/>
      </w:pPr>
      <w:r>
        <w:rPr>
          <w:rStyle w:val="CommentReference"/>
        </w:rPr>
        <w:annotationRef/>
      </w:r>
      <w:r>
        <w:rPr>
          <w:lang w:val="sv-SE"/>
        </w:rPr>
        <w:t>Noted, thanks</w:t>
      </w:r>
    </w:p>
  </w:comment>
  <w:comment w:id="41" w:author="Arne Risa Hole" w:date="2026-01-12T13:55:00Z" w:initials="ARH">
    <w:p w14:paraId="4431916B" w14:textId="2A798048" w:rsidR="00DE3509" w:rsidRDefault="00DE3509" w:rsidP="00DE3509">
      <w:pPr>
        <w:pStyle w:val="CommentText"/>
      </w:pPr>
      <w:r>
        <w:rPr>
          <w:rStyle w:val="CommentReference"/>
        </w:rPr>
        <w:annotationRef/>
      </w:r>
      <w:r>
        <w:t>I think this requires a bit more explanation as you have not mentioned interaction terms before.</w:t>
      </w:r>
    </w:p>
  </w:comment>
  <w:comment w:id="42" w:author="Nick Christie" w:date="2026-01-16T14:31:00Z" w:initials="NC">
    <w:p w14:paraId="4635339E" w14:textId="77777777" w:rsidR="00A0779B" w:rsidRDefault="00A0779B" w:rsidP="00A0779B">
      <w:pPr>
        <w:pStyle w:val="CommentText"/>
      </w:pPr>
      <w:r>
        <w:rPr>
          <w:rStyle w:val="CommentReference"/>
        </w:rPr>
        <w:annotationRef/>
      </w:r>
      <w:r>
        <w:rPr>
          <w:lang w:val="sv-SE"/>
        </w:rPr>
        <w:t>Yes, an overlooked aspect of the presented methodology.</w:t>
      </w:r>
    </w:p>
  </w:comment>
  <w:comment w:id="43" w:author="Arne Risa Hole" w:date="2026-01-12T13:59:00Z" w:initials="ARH">
    <w:p w14:paraId="57369D86" w14:textId="4B7DA3CC" w:rsidR="00DE3509" w:rsidRDefault="00DE3509" w:rsidP="00DE3509">
      <w:pPr>
        <w:pStyle w:val="CommentText"/>
      </w:pPr>
      <w:r>
        <w:rPr>
          <w:rStyle w:val="CommentReference"/>
        </w:rPr>
        <w:annotationRef/>
      </w:r>
      <w:r>
        <w:t>This should also be explained earlier (apologies if I missed it).</w:t>
      </w:r>
    </w:p>
  </w:comment>
  <w:comment w:id="44" w:author="Nick Christie" w:date="2026-01-16T14:31:00Z" w:initials="NC">
    <w:p w14:paraId="1DB96D84" w14:textId="77777777" w:rsidR="00A0779B" w:rsidRDefault="00A0779B" w:rsidP="00A0779B">
      <w:pPr>
        <w:pStyle w:val="CommentText"/>
      </w:pPr>
      <w:r>
        <w:rPr>
          <w:rStyle w:val="CommentReference"/>
        </w:rPr>
        <w:annotationRef/>
      </w:r>
      <w:r>
        <w:rPr>
          <w:lang w:val="sv-SE"/>
        </w:rPr>
        <w:t>Noted, thanks</w:t>
      </w:r>
    </w:p>
  </w:comment>
  <w:comment w:id="45" w:author="Arne Risa Hole" w:date="2026-01-12T14:14:00Z" w:initials="ARH">
    <w:p w14:paraId="5BEA9FC5" w14:textId="450C8FC7" w:rsidR="00EB553B" w:rsidRDefault="00EB553B" w:rsidP="00EB553B">
      <w:pPr>
        <w:pStyle w:val="CommentText"/>
      </w:pPr>
      <w:r>
        <w:rPr>
          <w:rStyle w:val="CommentReference"/>
        </w:rPr>
        <w:annotationRef/>
      </w:r>
      <w:r>
        <w:t>This discussion is somewhat unclear to me.</w:t>
      </w:r>
    </w:p>
  </w:comment>
  <w:comment w:id="46" w:author="Nick Christie" w:date="2026-01-16T14:33:00Z" w:initials="NC">
    <w:p w14:paraId="5E05A7CD" w14:textId="77777777" w:rsidR="00A0779B" w:rsidRDefault="00A0779B" w:rsidP="00A0779B">
      <w:pPr>
        <w:pStyle w:val="CommentText"/>
      </w:pPr>
      <w:r>
        <w:rPr>
          <w:rStyle w:val="CommentReference"/>
        </w:rPr>
        <w:annotationRef/>
      </w:r>
      <w:r>
        <w:rPr>
          <w:lang w:val="sv-SE"/>
        </w:rPr>
        <w:t xml:space="preserve">Perhaps this paragraph is unwarranted but included with the lack of confidence of presenting significance using the delta method.  </w:t>
      </w:r>
    </w:p>
  </w:comment>
  <w:comment w:id="47" w:author="Arne Risa Hole" w:date="2026-01-12T14:23:00Z" w:initials="ARH">
    <w:p w14:paraId="7517498A" w14:textId="0C1B21EA" w:rsidR="00F238E2" w:rsidRDefault="00F238E2" w:rsidP="00F238E2">
      <w:pPr>
        <w:pStyle w:val="CommentText"/>
      </w:pPr>
      <w:r>
        <w:rPr>
          <w:rStyle w:val="CommentReference"/>
        </w:rPr>
        <w:annotationRef/>
      </w:r>
      <w:r>
        <w:t>It may also be worth noting that preferences for some attributes (shops, transit) are relatively homogenous.</w:t>
      </w:r>
    </w:p>
  </w:comment>
  <w:comment w:id="48" w:author="Nick Christie" w:date="2026-01-16T14:33:00Z" w:initials="NC">
    <w:p w14:paraId="3A551757" w14:textId="77777777" w:rsidR="00A0779B" w:rsidRDefault="00A0779B" w:rsidP="00A0779B">
      <w:pPr>
        <w:pStyle w:val="CommentText"/>
      </w:pPr>
      <w:r>
        <w:rPr>
          <w:rStyle w:val="CommentReference"/>
        </w:rPr>
        <w:annotationRef/>
      </w:r>
      <w:r>
        <w:rPr>
          <w:lang w:val="sv-SE"/>
        </w:rPr>
        <w:t>Noted, thanks</w:t>
      </w:r>
    </w:p>
  </w:comment>
  <w:comment w:id="49" w:author="Arne Risa Hole" w:date="2026-01-12T14:25:00Z" w:initials="ARH">
    <w:p w14:paraId="4480CC2F" w14:textId="6B33BE7E" w:rsidR="00F238E2" w:rsidRDefault="00F238E2" w:rsidP="00F238E2">
      <w:pPr>
        <w:pStyle w:val="CommentText"/>
      </w:pPr>
      <w:r>
        <w:rPr>
          <w:rStyle w:val="CommentReference"/>
        </w:rPr>
        <w:annotationRef/>
      </w:r>
      <w:r>
        <w:t>It may be clearer to just report the MWTP estimates with CIs, as the MRS values are difficult to interpret.</w:t>
      </w:r>
    </w:p>
  </w:comment>
  <w:comment w:id="50" w:author="Nick Christie" w:date="2026-01-16T14:34:00Z" w:initials="NC">
    <w:p w14:paraId="76885649" w14:textId="77777777" w:rsidR="00A0779B" w:rsidRDefault="00A0779B" w:rsidP="00A0779B">
      <w:pPr>
        <w:pStyle w:val="CommentText"/>
      </w:pPr>
      <w:r>
        <w:rPr>
          <w:rStyle w:val="CommentReference"/>
        </w:rPr>
        <w:annotationRef/>
      </w:r>
      <w:r>
        <w:rPr>
          <w:lang w:val="sv-SE"/>
        </w:rPr>
        <w:t>Noted, thanks</w:t>
      </w:r>
    </w:p>
  </w:comment>
  <w:comment w:id="51" w:author="Arne Risa Hole" w:date="2026-01-12T14:28:00Z" w:initials="ARH">
    <w:p w14:paraId="6BD2519F" w14:textId="008E0D7C" w:rsidR="00F238E2" w:rsidRDefault="00F238E2" w:rsidP="00F238E2">
      <w:pPr>
        <w:pStyle w:val="CommentText"/>
      </w:pPr>
      <w:r>
        <w:rPr>
          <w:rStyle w:val="CommentReference"/>
        </w:rPr>
        <w:annotationRef/>
      </w:r>
      <w:r>
        <w:t>Specifically to live within 500m, instead of 15km, from the nearest green area.</w:t>
      </w:r>
    </w:p>
  </w:comment>
  <w:comment w:id="52" w:author="Nick Christie" w:date="2026-01-16T14:33:00Z" w:initials="NC">
    <w:p w14:paraId="304DA060" w14:textId="77777777" w:rsidR="00A0779B" w:rsidRDefault="00A0779B" w:rsidP="00A0779B">
      <w:pPr>
        <w:pStyle w:val="CommentText"/>
      </w:pPr>
      <w:r>
        <w:rPr>
          <w:rStyle w:val="CommentReference"/>
        </w:rPr>
        <w:annotationRef/>
      </w:r>
      <w:r>
        <w:rPr>
          <w:lang w:val="sv-SE"/>
        </w:rPr>
        <w:t>Noted, thanks</w:t>
      </w:r>
    </w:p>
  </w:comment>
  <w:comment w:id="53" w:author="Arne Risa Hole" w:date="2026-01-12T14:29:00Z" w:initials="ARH">
    <w:p w14:paraId="1B67134A" w14:textId="04EA3C62" w:rsidR="00F238E2" w:rsidRDefault="00F238E2" w:rsidP="00F238E2">
      <w:pPr>
        <w:pStyle w:val="CommentText"/>
      </w:pPr>
      <w:r>
        <w:rPr>
          <w:rStyle w:val="CommentReference"/>
        </w:rPr>
        <w:annotationRef/>
      </w:r>
      <w:r>
        <w:t>Test for significant differences?</w:t>
      </w:r>
    </w:p>
  </w:comment>
  <w:comment w:id="54" w:author="Nick Christie" w:date="2026-01-16T14:19:00Z" w:initials="NC">
    <w:p w14:paraId="1F2D686E" w14:textId="77777777" w:rsidR="00AB4876" w:rsidRDefault="00AB4876" w:rsidP="00AB4876">
      <w:pPr>
        <w:pStyle w:val="CommentText"/>
      </w:pPr>
      <w:r>
        <w:rPr>
          <w:rStyle w:val="CommentReference"/>
        </w:rPr>
        <w:annotationRef/>
      </w:r>
      <w:r>
        <w:rPr>
          <w:lang w:val="sv-SE"/>
        </w:rPr>
        <w:t>Wald test most appropriate?</w:t>
      </w:r>
    </w:p>
  </w:comment>
  <w:comment w:id="55" w:author="Arne Risa Hole" w:date="2026-01-12T14:30:00Z" w:initials="ARH">
    <w:p w14:paraId="14BF258C" w14:textId="3E25DF96" w:rsidR="00F238E2" w:rsidRDefault="00F238E2" w:rsidP="00F238E2">
      <w:pPr>
        <w:pStyle w:val="CommentText"/>
      </w:pPr>
      <w:r>
        <w:rPr>
          <w:rStyle w:val="CommentReference"/>
        </w:rPr>
        <w:annotationRef/>
      </w:r>
      <w:r>
        <w:t xml:space="preserve">Maybe say “observed heterogeneity” as the models in the previous section also incorporate heterogeneity. </w:t>
      </w:r>
    </w:p>
  </w:comment>
  <w:comment w:id="56" w:author="Nick Christie" w:date="2026-01-16T14:34:00Z" w:initials="NC">
    <w:p w14:paraId="6E4437B8" w14:textId="77777777" w:rsidR="00A0779B" w:rsidRDefault="00A0779B" w:rsidP="00A0779B">
      <w:pPr>
        <w:pStyle w:val="CommentText"/>
      </w:pPr>
      <w:r>
        <w:rPr>
          <w:rStyle w:val="CommentReference"/>
        </w:rPr>
        <w:annotationRef/>
      </w:r>
      <w:r>
        <w:rPr>
          <w:lang w:val="sv-SE"/>
        </w:rPr>
        <w:t>Noted, thanks</w:t>
      </w:r>
    </w:p>
  </w:comment>
  <w:comment w:id="57" w:author="Arne Risa Hole" w:date="2026-01-12T16:22:00Z" w:initials="ARH">
    <w:p w14:paraId="7CC5687D" w14:textId="32A0B2B6" w:rsidR="00A04839" w:rsidRDefault="00A04839" w:rsidP="00A04839">
      <w:pPr>
        <w:pStyle w:val="CommentText"/>
      </w:pPr>
      <w:r>
        <w:rPr>
          <w:rStyle w:val="CommentReference"/>
        </w:rPr>
        <w:annotationRef/>
      </w:r>
      <w:r>
        <w:t>Is this correct? Based on the results in the table it looks like the MWTP for the younger group is essentially the same: 347 SEK.</w:t>
      </w:r>
    </w:p>
  </w:comment>
  <w:comment w:id="58" w:author="Nick Christie" w:date="2026-01-16T14:35:00Z" w:initials="NC">
    <w:p w14:paraId="11D2F2D4" w14:textId="77777777" w:rsidR="00A0779B" w:rsidRDefault="00A0779B" w:rsidP="00A0779B">
      <w:pPr>
        <w:pStyle w:val="CommentText"/>
      </w:pPr>
      <w:r>
        <w:rPr>
          <w:rStyle w:val="CommentReference"/>
        </w:rPr>
        <w:annotationRef/>
      </w:r>
      <w:r>
        <w:rPr>
          <w:lang w:val="sv-SE"/>
        </w:rPr>
        <w:t>It is incorrect, thank you for pointing it out.</w:t>
      </w:r>
    </w:p>
  </w:comment>
  <w:comment w:id="59" w:author="Arne Risa Hole" w:date="2026-01-12T16:30:00Z" w:initials="ARH">
    <w:p w14:paraId="7758EEEE" w14:textId="6E7D6A87" w:rsidR="00A04839" w:rsidRDefault="00A04839" w:rsidP="00A04839">
      <w:pPr>
        <w:pStyle w:val="CommentText"/>
      </w:pPr>
      <w:r>
        <w:rPr>
          <w:rStyle w:val="CommentReference"/>
        </w:rPr>
        <w:annotationRef/>
      </w:r>
      <w:r>
        <w:t>I would recommend focusing on comparing the MWTP measures, as the coefficients themselves are less informative.</w:t>
      </w:r>
    </w:p>
  </w:comment>
  <w:comment w:id="60" w:author="Nick Christie" w:date="2026-01-16T14:35:00Z" w:initials="NC">
    <w:p w14:paraId="708A153F" w14:textId="77777777" w:rsidR="00A0779B" w:rsidRDefault="00A0779B" w:rsidP="00A0779B">
      <w:pPr>
        <w:pStyle w:val="CommentText"/>
      </w:pPr>
      <w:r>
        <w:rPr>
          <w:rStyle w:val="CommentReference"/>
        </w:rPr>
        <w:annotationRef/>
      </w:r>
      <w:r>
        <w:rPr>
          <w:lang w:val="sv-SE"/>
        </w:rPr>
        <w:t>Noted, thanks</w:t>
      </w:r>
    </w:p>
  </w:comment>
  <w:comment w:id="61" w:author="Arne Risa Hole" w:date="2026-01-12T16:29:00Z" w:initials="ARH">
    <w:p w14:paraId="4B4BBC40" w14:textId="4A598157" w:rsidR="00A04839" w:rsidRDefault="00A04839" w:rsidP="00A04839">
      <w:pPr>
        <w:pStyle w:val="CommentText"/>
      </w:pPr>
      <w:r>
        <w:rPr>
          <w:rStyle w:val="CommentReference"/>
        </w:rPr>
        <w:annotationRef/>
      </w:r>
      <w:r>
        <w:t>“valued”?</w:t>
      </w:r>
    </w:p>
  </w:comment>
  <w:comment w:id="62" w:author="Nick Christie" w:date="2026-01-16T14:35:00Z" w:initials="NC">
    <w:p w14:paraId="516451C2" w14:textId="77777777" w:rsidR="00A0779B" w:rsidRDefault="00A0779B" w:rsidP="00A0779B">
      <w:pPr>
        <w:pStyle w:val="CommentText"/>
      </w:pPr>
      <w:r>
        <w:rPr>
          <w:rStyle w:val="CommentReference"/>
        </w:rPr>
        <w:annotationRef/>
      </w:r>
      <w:r>
        <w:rPr>
          <w:lang w:val="sv-SE"/>
        </w:rPr>
        <w:t>Yes, a typo. Thank you</w:t>
      </w:r>
    </w:p>
  </w:comment>
  <w:comment w:id="63" w:author="Arne Risa Hole" w:date="2026-01-12T16:39:00Z" w:initials="ARH">
    <w:p w14:paraId="57BD5791" w14:textId="5CF10E1A" w:rsidR="00A220A3" w:rsidRDefault="00A220A3" w:rsidP="00A220A3">
      <w:pPr>
        <w:pStyle w:val="CommentText"/>
      </w:pPr>
      <w:r>
        <w:rPr>
          <w:rStyle w:val="CommentReference"/>
        </w:rPr>
        <w:annotationRef/>
      </w:r>
      <w:r>
        <w:t>Not a major issue, but I am not sure if this conclusion is justified by the following two sentences - the LR tests do suggest that the null hypothesis that the interactions are jointly equal to zero can be rejected, however, which is what matters.</w:t>
      </w:r>
    </w:p>
  </w:comment>
  <w:comment w:id="64" w:author="Nick Christie" w:date="2026-01-16T14:36:00Z" w:initials="NC">
    <w:p w14:paraId="29075D67" w14:textId="77777777" w:rsidR="00A0779B" w:rsidRDefault="00A0779B" w:rsidP="00A0779B">
      <w:pPr>
        <w:pStyle w:val="CommentText"/>
      </w:pPr>
      <w:r>
        <w:rPr>
          <w:rStyle w:val="CommentReference"/>
        </w:rPr>
        <w:annotationRef/>
      </w:r>
      <w:r>
        <w:rPr>
          <w:lang w:val="sv-SE"/>
        </w:rPr>
        <w:t>Noted, thank you</w:t>
      </w:r>
    </w:p>
  </w:comment>
  <w:comment w:id="65" w:author="Arne Risa Hole" w:date="2026-01-12T16:43:00Z" w:initials="ARH">
    <w:p w14:paraId="6AF0C595" w14:textId="6DEE5EFC" w:rsidR="00703BAC" w:rsidRDefault="00703BAC" w:rsidP="00703BAC">
      <w:pPr>
        <w:pStyle w:val="CommentText"/>
      </w:pPr>
      <w:r>
        <w:rPr>
          <w:rStyle w:val="CommentReference"/>
        </w:rPr>
        <w:annotationRef/>
      </w:r>
      <w:r>
        <w:t xml:space="preserve">Revealed preference approaches are often considered preferable, as they avoid the potential issue of hypothetical bias associated with SP studies, but are frequently not possible to implement due to data limitations. </w:t>
      </w:r>
    </w:p>
  </w:comment>
  <w:comment w:id="66" w:author="Nick Christie" w:date="2026-01-16T14:36:00Z" w:initials="NC">
    <w:p w14:paraId="10A7AD4B" w14:textId="77777777" w:rsidR="00A0779B" w:rsidRDefault="00A0779B" w:rsidP="00A0779B">
      <w:pPr>
        <w:pStyle w:val="CommentText"/>
      </w:pPr>
      <w:r>
        <w:rPr>
          <w:rStyle w:val="CommentReference"/>
        </w:rPr>
        <w:annotationRef/>
      </w:r>
      <w:r>
        <w:rPr>
          <w:lang w:val="sv-SE"/>
        </w:rPr>
        <w:t>Noted,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615A0F" w15:done="0"/>
  <w15:commentEx w15:paraId="584E05D4" w15:paraIdParent="74615A0F" w15:done="0"/>
  <w15:commentEx w15:paraId="3379485C" w15:done="0"/>
  <w15:commentEx w15:paraId="497B267D" w15:paraIdParent="3379485C" w15:done="0"/>
  <w15:commentEx w15:paraId="70DBEC97" w15:done="0"/>
  <w15:commentEx w15:paraId="16BD8D4A" w15:paraIdParent="70DBEC97" w15:done="0"/>
  <w15:commentEx w15:paraId="3ED023F0" w15:done="0"/>
  <w15:commentEx w15:paraId="45FC54E1" w15:paraIdParent="3ED023F0" w15:done="0"/>
  <w15:commentEx w15:paraId="0C40B13B" w15:done="0"/>
  <w15:commentEx w15:paraId="556DBEC8" w15:paraIdParent="0C40B13B" w15:done="0"/>
  <w15:commentEx w15:paraId="7E67CE61" w15:done="0"/>
  <w15:commentEx w15:paraId="029657D1" w15:paraIdParent="7E67CE61" w15:done="0"/>
  <w15:commentEx w15:paraId="4415F734" w15:done="0"/>
  <w15:commentEx w15:paraId="6A1F4420" w15:paraIdParent="4415F734" w15:done="0"/>
  <w15:commentEx w15:paraId="3D9F5ECB" w15:done="0"/>
  <w15:commentEx w15:paraId="4491382A" w15:done="0"/>
  <w15:commentEx w15:paraId="53891D35" w15:paraIdParent="4491382A" w15:done="0"/>
  <w15:commentEx w15:paraId="36E19009" w15:done="0"/>
  <w15:commentEx w15:paraId="66A27A38" w15:paraIdParent="36E19009" w15:done="0"/>
  <w15:commentEx w15:paraId="4CB4E3C2" w15:done="0"/>
  <w15:commentEx w15:paraId="5A13D1A6" w15:paraIdParent="4CB4E3C2" w15:done="0"/>
  <w15:commentEx w15:paraId="43CFBA83" w15:done="0"/>
  <w15:commentEx w15:paraId="41CC9519" w15:paraIdParent="43CFBA83" w15:done="0"/>
  <w15:commentEx w15:paraId="62D6242F" w15:done="0"/>
  <w15:commentEx w15:paraId="389D839D" w15:paraIdParent="62D6242F" w15:done="0"/>
  <w15:commentEx w15:paraId="24879D9F" w15:done="0"/>
  <w15:commentEx w15:paraId="63F9171F" w15:paraIdParent="24879D9F" w15:done="0"/>
  <w15:commentEx w15:paraId="29904E75" w15:done="0"/>
  <w15:commentEx w15:paraId="720F531C" w15:paraIdParent="29904E75" w15:done="0"/>
  <w15:commentEx w15:paraId="4867A455" w15:done="0"/>
  <w15:commentEx w15:paraId="574E2395" w15:paraIdParent="4867A455" w15:done="0"/>
  <w15:commentEx w15:paraId="5165845A" w15:done="0"/>
  <w15:commentEx w15:paraId="6E376370" w15:paraIdParent="5165845A" w15:done="0"/>
  <w15:commentEx w15:paraId="0BDA14A2" w15:done="0"/>
  <w15:commentEx w15:paraId="3EE2842B" w15:paraIdParent="0BDA14A2" w15:done="0"/>
  <w15:commentEx w15:paraId="4B5AEDF4" w15:done="0"/>
  <w15:commentEx w15:paraId="70616A1C" w15:paraIdParent="4B5AEDF4" w15:done="0"/>
  <w15:commentEx w15:paraId="3D75DEA5" w15:done="0"/>
  <w15:commentEx w15:paraId="0370D990" w15:paraIdParent="3D75DEA5" w15:done="0"/>
  <w15:commentEx w15:paraId="4431916B" w15:done="0"/>
  <w15:commentEx w15:paraId="4635339E" w15:paraIdParent="4431916B" w15:done="0"/>
  <w15:commentEx w15:paraId="57369D86" w15:done="0"/>
  <w15:commentEx w15:paraId="1DB96D84" w15:paraIdParent="57369D86" w15:done="0"/>
  <w15:commentEx w15:paraId="5BEA9FC5" w15:done="0"/>
  <w15:commentEx w15:paraId="5E05A7CD" w15:paraIdParent="5BEA9FC5" w15:done="0"/>
  <w15:commentEx w15:paraId="7517498A" w15:done="0"/>
  <w15:commentEx w15:paraId="3A551757" w15:paraIdParent="7517498A" w15:done="0"/>
  <w15:commentEx w15:paraId="4480CC2F" w15:done="0"/>
  <w15:commentEx w15:paraId="76885649" w15:paraIdParent="4480CC2F" w15:done="0"/>
  <w15:commentEx w15:paraId="6BD2519F" w15:done="0"/>
  <w15:commentEx w15:paraId="304DA060" w15:paraIdParent="6BD2519F" w15:done="0"/>
  <w15:commentEx w15:paraId="1B67134A" w15:done="0"/>
  <w15:commentEx w15:paraId="1F2D686E" w15:paraIdParent="1B67134A" w15:done="0"/>
  <w15:commentEx w15:paraId="14BF258C" w15:done="0"/>
  <w15:commentEx w15:paraId="6E4437B8" w15:paraIdParent="14BF258C" w15:done="0"/>
  <w15:commentEx w15:paraId="7CC5687D" w15:done="0"/>
  <w15:commentEx w15:paraId="11D2F2D4" w15:paraIdParent="7CC5687D" w15:done="0"/>
  <w15:commentEx w15:paraId="7758EEEE" w15:done="0"/>
  <w15:commentEx w15:paraId="708A153F" w15:paraIdParent="7758EEEE" w15:done="0"/>
  <w15:commentEx w15:paraId="4B4BBC40" w15:done="0"/>
  <w15:commentEx w15:paraId="516451C2" w15:paraIdParent="4B4BBC40" w15:done="0"/>
  <w15:commentEx w15:paraId="57BD5791" w15:done="0"/>
  <w15:commentEx w15:paraId="29075D67" w15:paraIdParent="57BD5791" w15:done="0"/>
  <w15:commentEx w15:paraId="6AF0C595" w15:done="0"/>
  <w15:commentEx w15:paraId="10A7AD4B" w15:paraIdParent="6AF0C5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7A24CC" w16cex:dateUtc="2026-01-12T15:56:00Z"/>
  <w16cex:commentExtensible w16cex:durableId="32660CD3" w16cex:dateUtc="2026-01-16T13:19:00Z"/>
  <w16cex:commentExtensible w16cex:durableId="5AEFCD1F" w16cex:dateUtc="2026-01-12T15:50:00Z"/>
  <w16cex:commentExtensible w16cex:durableId="66A41285" w16cex:dateUtc="2026-01-16T13:20:00Z"/>
  <w16cex:commentExtensible w16cex:durableId="1491262B" w16cex:dateUtc="2026-01-12T15:52:00Z"/>
  <w16cex:commentExtensible w16cex:durableId="2AF21A31" w16cex:dateUtc="2026-01-16T13:21:00Z"/>
  <w16cex:commentExtensible w16cex:durableId="2BBE88C1" w16cex:dateUtc="2026-01-12T12:09:00Z"/>
  <w16cex:commentExtensible w16cex:durableId="67C51759" w16cex:dateUtc="2026-01-16T13:21:00Z"/>
  <w16cex:commentExtensible w16cex:durableId="73300AEF" w16cex:dateUtc="2026-01-12T12:15:00Z"/>
  <w16cex:commentExtensible w16cex:durableId="7A9AF6AC" w16cex:dateUtc="2026-01-16T13:22:00Z"/>
  <w16cex:commentExtensible w16cex:durableId="21104665" w16cex:dateUtc="2026-01-12T12:18:00Z"/>
  <w16cex:commentExtensible w16cex:durableId="6D769CE5" w16cex:dateUtc="2026-01-16T13:23:00Z"/>
  <w16cex:commentExtensible w16cex:durableId="42D5EF63" w16cex:dateUtc="2026-01-12T12:21:00Z"/>
  <w16cex:commentExtensible w16cex:durableId="34CE9890" w16cex:dateUtc="2026-01-16T13:24:00Z"/>
  <w16cex:commentExtensible w16cex:durableId="6B149872" w16cex:dateUtc="2026-01-12T12:23:00Z"/>
  <w16cex:commentExtensible w16cex:durableId="1F9DB382" w16cex:dateUtc="2026-01-12T12:25:00Z"/>
  <w16cex:commentExtensible w16cex:durableId="15ABD049" w16cex:dateUtc="2026-01-16T13:24:00Z"/>
  <w16cex:commentExtensible w16cex:durableId="05A9DB9B" w16cex:dateUtc="2026-01-12T12:26:00Z"/>
  <w16cex:commentExtensible w16cex:durableId="750945D7" w16cex:dateUtc="2026-01-16T13:24:00Z"/>
  <w16cex:commentExtensible w16cex:durableId="2450B018" w16cex:dateUtc="2026-01-12T12:43:00Z"/>
  <w16cex:commentExtensible w16cex:durableId="49CC1A17" w16cex:dateUtc="2026-01-16T13:25:00Z"/>
  <w16cex:commentExtensible w16cex:durableId="364FFA88" w16cex:dateUtc="2026-01-12T12:39:00Z"/>
  <w16cex:commentExtensible w16cex:durableId="3576157B" w16cex:dateUtc="2026-01-16T13:26:00Z"/>
  <w16cex:commentExtensible w16cex:durableId="2FFA76DF" w16cex:dateUtc="2026-01-12T12:41:00Z"/>
  <w16cex:commentExtensible w16cex:durableId="1168753F" w16cex:dateUtc="2026-01-16T13:28:00Z"/>
  <w16cex:commentExtensible w16cex:durableId="6A3AAEAD" w16cex:dateUtc="2026-01-12T12:41:00Z"/>
  <w16cex:commentExtensible w16cex:durableId="53858944" w16cex:dateUtc="2026-01-16T13:28:00Z"/>
  <w16cex:commentExtensible w16cex:durableId="5E4E5464" w16cex:dateUtc="2026-01-12T12:46:00Z"/>
  <w16cex:commentExtensible w16cex:durableId="15D3DF19" w16cex:dateUtc="2026-01-16T13:28:00Z"/>
  <w16cex:commentExtensible w16cex:durableId="0A6F79F5" w16cex:dateUtc="2026-01-12T12:48:00Z"/>
  <w16cex:commentExtensible w16cex:durableId="31075B57" w16cex:dateUtc="2026-01-16T13:29:00Z"/>
  <w16cex:commentExtensible w16cex:durableId="16B2664C" w16cex:dateUtc="2026-01-12T12:51:00Z"/>
  <w16cex:commentExtensible w16cex:durableId="432B9AF9" w16cex:dateUtc="2026-01-16T13:29:00Z"/>
  <w16cex:commentExtensible w16cex:durableId="22AD3D82" w16cex:dateUtc="2026-01-12T13:19:00Z"/>
  <w16cex:commentExtensible w16cex:durableId="4FD14C50" w16cex:dateUtc="2026-01-16T13:29:00Z"/>
  <w16cex:commentExtensible w16cex:durableId="55542917" w16cex:dateUtc="2026-01-12T12:54:00Z"/>
  <w16cex:commentExtensible w16cex:durableId="0E196B0E" w16cex:dateUtc="2026-01-16T13:30:00Z"/>
  <w16cex:commentExtensible w16cex:durableId="23806261" w16cex:dateUtc="2026-01-12T12:56:00Z"/>
  <w16cex:commentExtensible w16cex:durableId="26B88430" w16cex:dateUtc="2026-01-16T13:30:00Z"/>
  <w16cex:commentExtensible w16cex:durableId="296936CA" w16cex:dateUtc="2026-01-12T12:55:00Z"/>
  <w16cex:commentExtensible w16cex:durableId="00184ECB" w16cex:dateUtc="2026-01-16T13:31:00Z"/>
  <w16cex:commentExtensible w16cex:durableId="02599AA1" w16cex:dateUtc="2026-01-12T12:59:00Z"/>
  <w16cex:commentExtensible w16cex:durableId="50B2174F" w16cex:dateUtc="2026-01-16T13:31:00Z"/>
  <w16cex:commentExtensible w16cex:durableId="02CFF05A" w16cex:dateUtc="2026-01-12T13:14:00Z"/>
  <w16cex:commentExtensible w16cex:durableId="55248CD1" w16cex:dateUtc="2026-01-16T13:33:00Z"/>
  <w16cex:commentExtensible w16cex:durableId="10C87575" w16cex:dateUtc="2026-01-12T13:23:00Z"/>
  <w16cex:commentExtensible w16cex:durableId="0FE6B1FF" w16cex:dateUtc="2026-01-16T13:33:00Z"/>
  <w16cex:commentExtensible w16cex:durableId="659F2A30" w16cex:dateUtc="2026-01-12T13:25:00Z"/>
  <w16cex:commentExtensible w16cex:durableId="60B375DB" w16cex:dateUtc="2026-01-16T13:34:00Z"/>
  <w16cex:commentExtensible w16cex:durableId="1E5809B9" w16cex:dateUtc="2026-01-12T13:28:00Z"/>
  <w16cex:commentExtensible w16cex:durableId="055D0B39" w16cex:dateUtc="2026-01-16T13:33:00Z"/>
  <w16cex:commentExtensible w16cex:durableId="6AC15D74" w16cex:dateUtc="2026-01-12T13:29:00Z"/>
  <w16cex:commentExtensible w16cex:durableId="47ED3061" w16cex:dateUtc="2026-01-16T13:19:00Z"/>
  <w16cex:commentExtensible w16cex:durableId="2A46ECD9" w16cex:dateUtc="2026-01-12T13:30:00Z"/>
  <w16cex:commentExtensible w16cex:durableId="688F8CC2" w16cex:dateUtc="2026-01-16T13:34:00Z"/>
  <w16cex:commentExtensible w16cex:durableId="7A2E433E" w16cex:dateUtc="2026-01-12T15:22:00Z"/>
  <w16cex:commentExtensible w16cex:durableId="31BF597F" w16cex:dateUtc="2026-01-16T13:35:00Z"/>
  <w16cex:commentExtensible w16cex:durableId="329F20E8" w16cex:dateUtc="2026-01-12T15:30:00Z"/>
  <w16cex:commentExtensible w16cex:durableId="4DA7E280" w16cex:dateUtc="2026-01-16T13:35:00Z"/>
  <w16cex:commentExtensible w16cex:durableId="36AD7F96" w16cex:dateUtc="2026-01-12T15:29:00Z"/>
  <w16cex:commentExtensible w16cex:durableId="66AD3C1D" w16cex:dateUtc="2026-01-16T13:35:00Z"/>
  <w16cex:commentExtensible w16cex:durableId="758CCA3E" w16cex:dateUtc="2026-01-12T15:39:00Z"/>
  <w16cex:commentExtensible w16cex:durableId="15E5F4BE" w16cex:dateUtc="2026-01-16T13:36:00Z"/>
  <w16cex:commentExtensible w16cex:durableId="66E63611" w16cex:dateUtc="2026-01-12T15:43:00Z"/>
  <w16cex:commentExtensible w16cex:durableId="1BA4616E" w16cex:dateUtc="2026-01-16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615A0F" w16cid:durableId="737A24CC"/>
  <w16cid:commentId w16cid:paraId="584E05D4" w16cid:durableId="32660CD3"/>
  <w16cid:commentId w16cid:paraId="3379485C" w16cid:durableId="5AEFCD1F"/>
  <w16cid:commentId w16cid:paraId="497B267D" w16cid:durableId="66A41285"/>
  <w16cid:commentId w16cid:paraId="70DBEC97" w16cid:durableId="1491262B"/>
  <w16cid:commentId w16cid:paraId="16BD8D4A" w16cid:durableId="2AF21A31"/>
  <w16cid:commentId w16cid:paraId="3ED023F0" w16cid:durableId="2BBE88C1"/>
  <w16cid:commentId w16cid:paraId="45FC54E1" w16cid:durableId="67C51759"/>
  <w16cid:commentId w16cid:paraId="0C40B13B" w16cid:durableId="73300AEF"/>
  <w16cid:commentId w16cid:paraId="556DBEC8" w16cid:durableId="7A9AF6AC"/>
  <w16cid:commentId w16cid:paraId="7E67CE61" w16cid:durableId="21104665"/>
  <w16cid:commentId w16cid:paraId="029657D1" w16cid:durableId="6D769CE5"/>
  <w16cid:commentId w16cid:paraId="4415F734" w16cid:durableId="42D5EF63"/>
  <w16cid:commentId w16cid:paraId="6A1F4420" w16cid:durableId="34CE9890"/>
  <w16cid:commentId w16cid:paraId="3D9F5ECB" w16cid:durableId="6B149872"/>
  <w16cid:commentId w16cid:paraId="4491382A" w16cid:durableId="1F9DB382"/>
  <w16cid:commentId w16cid:paraId="53891D35" w16cid:durableId="15ABD049"/>
  <w16cid:commentId w16cid:paraId="36E19009" w16cid:durableId="05A9DB9B"/>
  <w16cid:commentId w16cid:paraId="66A27A38" w16cid:durableId="750945D7"/>
  <w16cid:commentId w16cid:paraId="4CB4E3C2" w16cid:durableId="2450B018"/>
  <w16cid:commentId w16cid:paraId="5A13D1A6" w16cid:durableId="49CC1A17"/>
  <w16cid:commentId w16cid:paraId="43CFBA83" w16cid:durableId="364FFA88"/>
  <w16cid:commentId w16cid:paraId="41CC9519" w16cid:durableId="3576157B"/>
  <w16cid:commentId w16cid:paraId="62D6242F" w16cid:durableId="2FFA76DF"/>
  <w16cid:commentId w16cid:paraId="389D839D" w16cid:durableId="1168753F"/>
  <w16cid:commentId w16cid:paraId="24879D9F" w16cid:durableId="6A3AAEAD"/>
  <w16cid:commentId w16cid:paraId="63F9171F" w16cid:durableId="53858944"/>
  <w16cid:commentId w16cid:paraId="29904E75" w16cid:durableId="5E4E5464"/>
  <w16cid:commentId w16cid:paraId="720F531C" w16cid:durableId="15D3DF19"/>
  <w16cid:commentId w16cid:paraId="4867A455" w16cid:durableId="0A6F79F5"/>
  <w16cid:commentId w16cid:paraId="574E2395" w16cid:durableId="31075B57"/>
  <w16cid:commentId w16cid:paraId="5165845A" w16cid:durableId="16B2664C"/>
  <w16cid:commentId w16cid:paraId="6E376370" w16cid:durableId="432B9AF9"/>
  <w16cid:commentId w16cid:paraId="0BDA14A2" w16cid:durableId="22AD3D82"/>
  <w16cid:commentId w16cid:paraId="3EE2842B" w16cid:durableId="4FD14C50"/>
  <w16cid:commentId w16cid:paraId="4B5AEDF4" w16cid:durableId="55542917"/>
  <w16cid:commentId w16cid:paraId="70616A1C" w16cid:durableId="0E196B0E"/>
  <w16cid:commentId w16cid:paraId="3D75DEA5" w16cid:durableId="23806261"/>
  <w16cid:commentId w16cid:paraId="0370D990" w16cid:durableId="26B88430"/>
  <w16cid:commentId w16cid:paraId="4431916B" w16cid:durableId="296936CA"/>
  <w16cid:commentId w16cid:paraId="4635339E" w16cid:durableId="00184ECB"/>
  <w16cid:commentId w16cid:paraId="57369D86" w16cid:durableId="02599AA1"/>
  <w16cid:commentId w16cid:paraId="1DB96D84" w16cid:durableId="50B2174F"/>
  <w16cid:commentId w16cid:paraId="5BEA9FC5" w16cid:durableId="02CFF05A"/>
  <w16cid:commentId w16cid:paraId="5E05A7CD" w16cid:durableId="55248CD1"/>
  <w16cid:commentId w16cid:paraId="7517498A" w16cid:durableId="10C87575"/>
  <w16cid:commentId w16cid:paraId="3A551757" w16cid:durableId="0FE6B1FF"/>
  <w16cid:commentId w16cid:paraId="4480CC2F" w16cid:durableId="659F2A30"/>
  <w16cid:commentId w16cid:paraId="76885649" w16cid:durableId="60B375DB"/>
  <w16cid:commentId w16cid:paraId="6BD2519F" w16cid:durableId="1E5809B9"/>
  <w16cid:commentId w16cid:paraId="304DA060" w16cid:durableId="055D0B39"/>
  <w16cid:commentId w16cid:paraId="1B67134A" w16cid:durableId="6AC15D74"/>
  <w16cid:commentId w16cid:paraId="1F2D686E" w16cid:durableId="47ED3061"/>
  <w16cid:commentId w16cid:paraId="14BF258C" w16cid:durableId="2A46ECD9"/>
  <w16cid:commentId w16cid:paraId="6E4437B8" w16cid:durableId="688F8CC2"/>
  <w16cid:commentId w16cid:paraId="7CC5687D" w16cid:durableId="7A2E433E"/>
  <w16cid:commentId w16cid:paraId="11D2F2D4" w16cid:durableId="31BF597F"/>
  <w16cid:commentId w16cid:paraId="7758EEEE" w16cid:durableId="329F20E8"/>
  <w16cid:commentId w16cid:paraId="708A153F" w16cid:durableId="4DA7E280"/>
  <w16cid:commentId w16cid:paraId="4B4BBC40" w16cid:durableId="36AD7F96"/>
  <w16cid:commentId w16cid:paraId="516451C2" w16cid:durableId="66AD3C1D"/>
  <w16cid:commentId w16cid:paraId="57BD5791" w16cid:durableId="758CCA3E"/>
  <w16cid:commentId w16cid:paraId="29075D67" w16cid:durableId="15E5F4BE"/>
  <w16cid:commentId w16cid:paraId="6AF0C595" w16cid:durableId="66E63611"/>
  <w16cid:commentId w16cid:paraId="10A7AD4B" w16cid:durableId="1BA461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FA1AA" w14:textId="77777777" w:rsidR="00851850" w:rsidRDefault="00851850" w:rsidP="00AF2C92">
      <w:r>
        <w:separator/>
      </w:r>
    </w:p>
  </w:endnote>
  <w:endnote w:type="continuationSeparator" w:id="0">
    <w:p w14:paraId="4D83162E" w14:textId="77777777" w:rsidR="00851850" w:rsidRDefault="00851850"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FB7AA" w14:textId="77777777" w:rsidR="00851850" w:rsidRDefault="00851850" w:rsidP="00AF2C92">
      <w:r>
        <w:separator/>
      </w:r>
    </w:p>
  </w:footnote>
  <w:footnote w:type="continuationSeparator" w:id="0">
    <w:p w14:paraId="790A6D1B" w14:textId="77777777" w:rsidR="00851850" w:rsidRDefault="00851850" w:rsidP="00AF2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ne Risa Hole">
    <w15:presenceInfo w15:providerId="AD" w15:userId="S::hole@uji.es::615611be-0631-4820-985d-1922db24311f"/>
  </w15:person>
  <w15:person w15:author="Nick Christie">
    <w15:presenceInfo w15:providerId="AD" w15:userId="S::ni3054ch@lu.se::3274efac-8c4f-42e3-b5c9-d4875b4dd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034B"/>
    <w:rsid w:val="000010E9"/>
    <w:rsid w:val="00001899"/>
    <w:rsid w:val="000049AD"/>
    <w:rsid w:val="0000681B"/>
    <w:rsid w:val="000131B8"/>
    <w:rsid w:val="000133C0"/>
    <w:rsid w:val="00014C4E"/>
    <w:rsid w:val="00017107"/>
    <w:rsid w:val="000202E2"/>
    <w:rsid w:val="00022441"/>
    <w:rsid w:val="0002261E"/>
    <w:rsid w:val="00024839"/>
    <w:rsid w:val="00026871"/>
    <w:rsid w:val="00031CB3"/>
    <w:rsid w:val="0003508A"/>
    <w:rsid w:val="000368B2"/>
    <w:rsid w:val="00037A98"/>
    <w:rsid w:val="000427FB"/>
    <w:rsid w:val="0004455E"/>
    <w:rsid w:val="00047CB5"/>
    <w:rsid w:val="00051FAA"/>
    <w:rsid w:val="000527AE"/>
    <w:rsid w:val="00053651"/>
    <w:rsid w:val="000572A9"/>
    <w:rsid w:val="00061325"/>
    <w:rsid w:val="0007102B"/>
    <w:rsid w:val="000733AC"/>
    <w:rsid w:val="00074B81"/>
    <w:rsid w:val="00074D22"/>
    <w:rsid w:val="00075081"/>
    <w:rsid w:val="0007528A"/>
    <w:rsid w:val="000807B7"/>
    <w:rsid w:val="000811AB"/>
    <w:rsid w:val="00083C5F"/>
    <w:rsid w:val="000848E9"/>
    <w:rsid w:val="0009172C"/>
    <w:rsid w:val="000930EC"/>
    <w:rsid w:val="00095E61"/>
    <w:rsid w:val="000966C1"/>
    <w:rsid w:val="000970AC"/>
    <w:rsid w:val="000A1167"/>
    <w:rsid w:val="000A4428"/>
    <w:rsid w:val="000A6D40"/>
    <w:rsid w:val="000A7BC2"/>
    <w:rsid w:val="000A7BC3"/>
    <w:rsid w:val="000B1661"/>
    <w:rsid w:val="000B1F0B"/>
    <w:rsid w:val="000B2E88"/>
    <w:rsid w:val="000B4603"/>
    <w:rsid w:val="000C09BE"/>
    <w:rsid w:val="000C109F"/>
    <w:rsid w:val="000C1380"/>
    <w:rsid w:val="000C554F"/>
    <w:rsid w:val="000D0DC5"/>
    <w:rsid w:val="000D15FF"/>
    <w:rsid w:val="000D28DF"/>
    <w:rsid w:val="000D488B"/>
    <w:rsid w:val="000D68DF"/>
    <w:rsid w:val="000E0072"/>
    <w:rsid w:val="000E138D"/>
    <w:rsid w:val="000E187A"/>
    <w:rsid w:val="000E2D61"/>
    <w:rsid w:val="000E450E"/>
    <w:rsid w:val="000E6259"/>
    <w:rsid w:val="000F2A45"/>
    <w:rsid w:val="000F4677"/>
    <w:rsid w:val="000F5BE0"/>
    <w:rsid w:val="000F78B5"/>
    <w:rsid w:val="00100485"/>
    <w:rsid w:val="00100587"/>
    <w:rsid w:val="0010284E"/>
    <w:rsid w:val="00103122"/>
    <w:rsid w:val="0010336A"/>
    <w:rsid w:val="001045EE"/>
    <w:rsid w:val="001050F1"/>
    <w:rsid w:val="00105AEA"/>
    <w:rsid w:val="00106DAF"/>
    <w:rsid w:val="00114ABE"/>
    <w:rsid w:val="001154EE"/>
    <w:rsid w:val="00116023"/>
    <w:rsid w:val="00126365"/>
    <w:rsid w:val="00127537"/>
    <w:rsid w:val="00134A51"/>
    <w:rsid w:val="00140727"/>
    <w:rsid w:val="001464C2"/>
    <w:rsid w:val="00154663"/>
    <w:rsid w:val="00160628"/>
    <w:rsid w:val="00161344"/>
    <w:rsid w:val="00162195"/>
    <w:rsid w:val="0016322A"/>
    <w:rsid w:val="00165A21"/>
    <w:rsid w:val="00165BE3"/>
    <w:rsid w:val="001705CE"/>
    <w:rsid w:val="0017714B"/>
    <w:rsid w:val="001804DF"/>
    <w:rsid w:val="00180760"/>
    <w:rsid w:val="00181B5C"/>
    <w:rsid w:val="00181BDC"/>
    <w:rsid w:val="00181DB0"/>
    <w:rsid w:val="001829E3"/>
    <w:rsid w:val="00184B20"/>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00"/>
    <w:rsid w:val="001C5736"/>
    <w:rsid w:val="001D519F"/>
    <w:rsid w:val="001D56A9"/>
    <w:rsid w:val="001D647F"/>
    <w:rsid w:val="001D66E7"/>
    <w:rsid w:val="001D6857"/>
    <w:rsid w:val="001D7492"/>
    <w:rsid w:val="001E0572"/>
    <w:rsid w:val="001E0A67"/>
    <w:rsid w:val="001E1028"/>
    <w:rsid w:val="001E14E2"/>
    <w:rsid w:val="001E6302"/>
    <w:rsid w:val="001E6EB9"/>
    <w:rsid w:val="001E7DCB"/>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271B"/>
    <w:rsid w:val="00236F4B"/>
    <w:rsid w:val="00242B0D"/>
    <w:rsid w:val="002467C6"/>
    <w:rsid w:val="0024692A"/>
    <w:rsid w:val="00252BBA"/>
    <w:rsid w:val="00253123"/>
    <w:rsid w:val="00264001"/>
    <w:rsid w:val="00266354"/>
    <w:rsid w:val="0026756C"/>
    <w:rsid w:val="00267A18"/>
    <w:rsid w:val="00273462"/>
    <w:rsid w:val="0027395B"/>
    <w:rsid w:val="00275854"/>
    <w:rsid w:val="00280BC4"/>
    <w:rsid w:val="00283B41"/>
    <w:rsid w:val="0028488F"/>
    <w:rsid w:val="00285F28"/>
    <w:rsid w:val="00286398"/>
    <w:rsid w:val="002A3C42"/>
    <w:rsid w:val="002A4CFF"/>
    <w:rsid w:val="002A5D75"/>
    <w:rsid w:val="002B1B1A"/>
    <w:rsid w:val="002B7228"/>
    <w:rsid w:val="002C3348"/>
    <w:rsid w:val="002C53EE"/>
    <w:rsid w:val="002C6F8D"/>
    <w:rsid w:val="002D24F7"/>
    <w:rsid w:val="002D2799"/>
    <w:rsid w:val="002D2CD7"/>
    <w:rsid w:val="002D4DDC"/>
    <w:rsid w:val="002D4F75"/>
    <w:rsid w:val="002D5164"/>
    <w:rsid w:val="002D6493"/>
    <w:rsid w:val="002D7AB6"/>
    <w:rsid w:val="002E06D0"/>
    <w:rsid w:val="002E3A03"/>
    <w:rsid w:val="002E3C27"/>
    <w:rsid w:val="002E403A"/>
    <w:rsid w:val="002E7F3A"/>
    <w:rsid w:val="002F4EDB"/>
    <w:rsid w:val="002F6054"/>
    <w:rsid w:val="00301F31"/>
    <w:rsid w:val="00310E13"/>
    <w:rsid w:val="00315713"/>
    <w:rsid w:val="0031686C"/>
    <w:rsid w:val="00316FE0"/>
    <w:rsid w:val="003204D2"/>
    <w:rsid w:val="0032605E"/>
    <w:rsid w:val="003275D1"/>
    <w:rsid w:val="00330B2A"/>
    <w:rsid w:val="00331E17"/>
    <w:rsid w:val="00333063"/>
    <w:rsid w:val="003408E3"/>
    <w:rsid w:val="00343480"/>
    <w:rsid w:val="00345E89"/>
    <w:rsid w:val="00351932"/>
    <w:rsid w:val="003522A1"/>
    <w:rsid w:val="0035254B"/>
    <w:rsid w:val="00353555"/>
    <w:rsid w:val="00354AA1"/>
    <w:rsid w:val="00354C99"/>
    <w:rsid w:val="003565D4"/>
    <w:rsid w:val="003607FB"/>
    <w:rsid w:val="00360FD5"/>
    <w:rsid w:val="0036340D"/>
    <w:rsid w:val="003634A5"/>
    <w:rsid w:val="003654C4"/>
    <w:rsid w:val="00366868"/>
    <w:rsid w:val="00367506"/>
    <w:rsid w:val="00370085"/>
    <w:rsid w:val="003744A7"/>
    <w:rsid w:val="00376235"/>
    <w:rsid w:val="003770DF"/>
    <w:rsid w:val="00381FB6"/>
    <w:rsid w:val="003836D3"/>
    <w:rsid w:val="00383A52"/>
    <w:rsid w:val="00391652"/>
    <w:rsid w:val="0039507F"/>
    <w:rsid w:val="003A1260"/>
    <w:rsid w:val="003A2931"/>
    <w:rsid w:val="003A295F"/>
    <w:rsid w:val="003A41DD"/>
    <w:rsid w:val="003A7033"/>
    <w:rsid w:val="003B47FE"/>
    <w:rsid w:val="003B5673"/>
    <w:rsid w:val="003B6287"/>
    <w:rsid w:val="003B62C9"/>
    <w:rsid w:val="003B670E"/>
    <w:rsid w:val="003C589C"/>
    <w:rsid w:val="003C7176"/>
    <w:rsid w:val="003D0929"/>
    <w:rsid w:val="003D33D1"/>
    <w:rsid w:val="003D4729"/>
    <w:rsid w:val="003D6667"/>
    <w:rsid w:val="003D7DD6"/>
    <w:rsid w:val="003E1E85"/>
    <w:rsid w:val="003E5AAF"/>
    <w:rsid w:val="003E600D"/>
    <w:rsid w:val="003E61F3"/>
    <w:rsid w:val="003E64DF"/>
    <w:rsid w:val="003E6A5D"/>
    <w:rsid w:val="003F193A"/>
    <w:rsid w:val="003F4207"/>
    <w:rsid w:val="003F5C46"/>
    <w:rsid w:val="003F7CBB"/>
    <w:rsid w:val="003F7D34"/>
    <w:rsid w:val="00400D56"/>
    <w:rsid w:val="004058A7"/>
    <w:rsid w:val="00412457"/>
    <w:rsid w:val="00412C8E"/>
    <w:rsid w:val="0041518D"/>
    <w:rsid w:val="00417A5B"/>
    <w:rsid w:val="0042221D"/>
    <w:rsid w:val="00424DD3"/>
    <w:rsid w:val="004269C5"/>
    <w:rsid w:val="00427C3F"/>
    <w:rsid w:val="00430956"/>
    <w:rsid w:val="00435939"/>
    <w:rsid w:val="00437CC7"/>
    <w:rsid w:val="00437FD5"/>
    <w:rsid w:val="00442B9C"/>
    <w:rsid w:val="00445EFA"/>
    <w:rsid w:val="0044738A"/>
    <w:rsid w:val="004473D3"/>
    <w:rsid w:val="00452231"/>
    <w:rsid w:val="00454425"/>
    <w:rsid w:val="00460C13"/>
    <w:rsid w:val="00463228"/>
    <w:rsid w:val="00463782"/>
    <w:rsid w:val="004639E6"/>
    <w:rsid w:val="004667E0"/>
    <w:rsid w:val="0046760E"/>
    <w:rsid w:val="00470E10"/>
    <w:rsid w:val="00477A97"/>
    <w:rsid w:val="00481343"/>
    <w:rsid w:val="00482C8F"/>
    <w:rsid w:val="0048549E"/>
    <w:rsid w:val="004930C6"/>
    <w:rsid w:val="00493347"/>
    <w:rsid w:val="00496092"/>
    <w:rsid w:val="004A08DB"/>
    <w:rsid w:val="004A25D0"/>
    <w:rsid w:val="004A37E8"/>
    <w:rsid w:val="004A3F23"/>
    <w:rsid w:val="004A6381"/>
    <w:rsid w:val="004A7549"/>
    <w:rsid w:val="004B09D4"/>
    <w:rsid w:val="004B309D"/>
    <w:rsid w:val="004B330A"/>
    <w:rsid w:val="004B7C8E"/>
    <w:rsid w:val="004C3D3C"/>
    <w:rsid w:val="004D0EDC"/>
    <w:rsid w:val="004D10E9"/>
    <w:rsid w:val="004D1220"/>
    <w:rsid w:val="004D14B3"/>
    <w:rsid w:val="004D1529"/>
    <w:rsid w:val="004D2253"/>
    <w:rsid w:val="004D41A2"/>
    <w:rsid w:val="004D5514"/>
    <w:rsid w:val="004D56C3"/>
    <w:rsid w:val="004E0338"/>
    <w:rsid w:val="004E4FF3"/>
    <w:rsid w:val="004E56A8"/>
    <w:rsid w:val="004F0CBB"/>
    <w:rsid w:val="004F3B55"/>
    <w:rsid w:val="004F428E"/>
    <w:rsid w:val="004F4E46"/>
    <w:rsid w:val="004F6B7D"/>
    <w:rsid w:val="005015F6"/>
    <w:rsid w:val="00502937"/>
    <w:rsid w:val="005030C4"/>
    <w:rsid w:val="005031C5"/>
    <w:rsid w:val="00504FDC"/>
    <w:rsid w:val="00505D4E"/>
    <w:rsid w:val="00511E65"/>
    <w:rsid w:val="005120CC"/>
    <w:rsid w:val="00512B7B"/>
    <w:rsid w:val="00514EA1"/>
    <w:rsid w:val="0051798B"/>
    <w:rsid w:val="00521F5A"/>
    <w:rsid w:val="00525E06"/>
    <w:rsid w:val="00526454"/>
    <w:rsid w:val="00531823"/>
    <w:rsid w:val="00534B29"/>
    <w:rsid w:val="00534ECC"/>
    <w:rsid w:val="0053720D"/>
    <w:rsid w:val="00540EF5"/>
    <w:rsid w:val="00541BF3"/>
    <w:rsid w:val="00541CD3"/>
    <w:rsid w:val="005420B2"/>
    <w:rsid w:val="005476FA"/>
    <w:rsid w:val="0055595E"/>
    <w:rsid w:val="00557988"/>
    <w:rsid w:val="00562C49"/>
    <w:rsid w:val="00562DEF"/>
    <w:rsid w:val="0056321A"/>
    <w:rsid w:val="00563A35"/>
    <w:rsid w:val="00565F70"/>
    <w:rsid w:val="00566596"/>
    <w:rsid w:val="00570D27"/>
    <w:rsid w:val="005741E9"/>
    <w:rsid w:val="005748CF"/>
    <w:rsid w:val="00584270"/>
    <w:rsid w:val="00584738"/>
    <w:rsid w:val="005920B0"/>
    <w:rsid w:val="0059380D"/>
    <w:rsid w:val="00595A8F"/>
    <w:rsid w:val="00596029"/>
    <w:rsid w:val="005977C2"/>
    <w:rsid w:val="00597BF2"/>
    <w:rsid w:val="005A1F54"/>
    <w:rsid w:val="005A3020"/>
    <w:rsid w:val="005B0BB5"/>
    <w:rsid w:val="005B134E"/>
    <w:rsid w:val="005B2039"/>
    <w:rsid w:val="005B344F"/>
    <w:rsid w:val="005B3FBA"/>
    <w:rsid w:val="005B4289"/>
    <w:rsid w:val="005B4A1D"/>
    <w:rsid w:val="005B674D"/>
    <w:rsid w:val="005C056D"/>
    <w:rsid w:val="005C0CBE"/>
    <w:rsid w:val="005C1FCF"/>
    <w:rsid w:val="005C3F41"/>
    <w:rsid w:val="005C5156"/>
    <w:rsid w:val="005D1885"/>
    <w:rsid w:val="005D2725"/>
    <w:rsid w:val="005D32D8"/>
    <w:rsid w:val="005D4A38"/>
    <w:rsid w:val="005E2EEA"/>
    <w:rsid w:val="005E332D"/>
    <w:rsid w:val="005E3708"/>
    <w:rsid w:val="005E3CCD"/>
    <w:rsid w:val="005E3D6B"/>
    <w:rsid w:val="005E5B55"/>
    <w:rsid w:val="005E5E4A"/>
    <w:rsid w:val="005E693D"/>
    <w:rsid w:val="005E75BF"/>
    <w:rsid w:val="005F2019"/>
    <w:rsid w:val="005F57BA"/>
    <w:rsid w:val="005F61E6"/>
    <w:rsid w:val="005F6C45"/>
    <w:rsid w:val="00601D62"/>
    <w:rsid w:val="00603112"/>
    <w:rsid w:val="00604C35"/>
    <w:rsid w:val="00605A69"/>
    <w:rsid w:val="00606C54"/>
    <w:rsid w:val="00614375"/>
    <w:rsid w:val="00615B0A"/>
    <w:rsid w:val="006168CF"/>
    <w:rsid w:val="0062011B"/>
    <w:rsid w:val="00626695"/>
    <w:rsid w:val="00626DE0"/>
    <w:rsid w:val="00630901"/>
    <w:rsid w:val="006315DF"/>
    <w:rsid w:val="00631F8E"/>
    <w:rsid w:val="00633DD5"/>
    <w:rsid w:val="00634AA1"/>
    <w:rsid w:val="00636EE9"/>
    <w:rsid w:val="00640950"/>
    <w:rsid w:val="00641AE7"/>
    <w:rsid w:val="00642629"/>
    <w:rsid w:val="0064782B"/>
    <w:rsid w:val="0065293D"/>
    <w:rsid w:val="00653EFC"/>
    <w:rsid w:val="00654021"/>
    <w:rsid w:val="00661045"/>
    <w:rsid w:val="00666881"/>
    <w:rsid w:val="00666DA8"/>
    <w:rsid w:val="0066737A"/>
    <w:rsid w:val="00671057"/>
    <w:rsid w:val="00675AAF"/>
    <w:rsid w:val="00676724"/>
    <w:rsid w:val="0068031A"/>
    <w:rsid w:val="00681B2F"/>
    <w:rsid w:val="0068335F"/>
    <w:rsid w:val="00687217"/>
    <w:rsid w:val="00687915"/>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03BAC"/>
    <w:rsid w:val="00711216"/>
    <w:rsid w:val="00711799"/>
    <w:rsid w:val="00712550"/>
    <w:rsid w:val="00712B78"/>
    <w:rsid w:val="0071393B"/>
    <w:rsid w:val="00713EE2"/>
    <w:rsid w:val="007177FC"/>
    <w:rsid w:val="00720BD4"/>
    <w:rsid w:val="00720C5E"/>
    <w:rsid w:val="0072105B"/>
    <w:rsid w:val="00721701"/>
    <w:rsid w:val="00722B2D"/>
    <w:rsid w:val="00731835"/>
    <w:rsid w:val="00733DD5"/>
    <w:rsid w:val="007341F8"/>
    <w:rsid w:val="00734372"/>
    <w:rsid w:val="00734EB8"/>
    <w:rsid w:val="00735CF1"/>
    <w:rsid w:val="00735F8B"/>
    <w:rsid w:val="0074090B"/>
    <w:rsid w:val="00741BA3"/>
    <w:rsid w:val="00742D1F"/>
    <w:rsid w:val="00743EBA"/>
    <w:rsid w:val="00744C8E"/>
    <w:rsid w:val="00745E86"/>
    <w:rsid w:val="0074707E"/>
    <w:rsid w:val="007516DC"/>
    <w:rsid w:val="00752E58"/>
    <w:rsid w:val="00754AD0"/>
    <w:rsid w:val="00754B80"/>
    <w:rsid w:val="007550E3"/>
    <w:rsid w:val="00761918"/>
    <w:rsid w:val="00762F03"/>
    <w:rsid w:val="0076413B"/>
    <w:rsid w:val="007648AE"/>
    <w:rsid w:val="00764BF8"/>
    <w:rsid w:val="00765149"/>
    <w:rsid w:val="0076514D"/>
    <w:rsid w:val="00773C7A"/>
    <w:rsid w:val="00773D59"/>
    <w:rsid w:val="00776582"/>
    <w:rsid w:val="00781003"/>
    <w:rsid w:val="00786838"/>
    <w:rsid w:val="007878A2"/>
    <w:rsid w:val="007911FD"/>
    <w:rsid w:val="00793930"/>
    <w:rsid w:val="00793DD1"/>
    <w:rsid w:val="00794FEC"/>
    <w:rsid w:val="007A003E"/>
    <w:rsid w:val="007A1965"/>
    <w:rsid w:val="007A2ED1"/>
    <w:rsid w:val="007A4BE6"/>
    <w:rsid w:val="007B0DC6"/>
    <w:rsid w:val="007B1094"/>
    <w:rsid w:val="007B1762"/>
    <w:rsid w:val="007B30DF"/>
    <w:rsid w:val="007B3320"/>
    <w:rsid w:val="007C301F"/>
    <w:rsid w:val="007C4540"/>
    <w:rsid w:val="007C65AF"/>
    <w:rsid w:val="007D135D"/>
    <w:rsid w:val="007D3EEB"/>
    <w:rsid w:val="007D730F"/>
    <w:rsid w:val="007D7CD8"/>
    <w:rsid w:val="007E3AA7"/>
    <w:rsid w:val="007E6433"/>
    <w:rsid w:val="007F737D"/>
    <w:rsid w:val="0080308E"/>
    <w:rsid w:val="00804F25"/>
    <w:rsid w:val="00805303"/>
    <w:rsid w:val="0080631A"/>
    <w:rsid w:val="00806705"/>
    <w:rsid w:val="00806738"/>
    <w:rsid w:val="00807358"/>
    <w:rsid w:val="00812B92"/>
    <w:rsid w:val="008216D5"/>
    <w:rsid w:val="008249CE"/>
    <w:rsid w:val="00831A50"/>
    <w:rsid w:val="00831B3C"/>
    <w:rsid w:val="00831C89"/>
    <w:rsid w:val="00832114"/>
    <w:rsid w:val="00832CA2"/>
    <w:rsid w:val="00834C46"/>
    <w:rsid w:val="008404AB"/>
    <w:rsid w:val="0084093E"/>
    <w:rsid w:val="00841CE1"/>
    <w:rsid w:val="008473D8"/>
    <w:rsid w:val="00851850"/>
    <w:rsid w:val="008528DC"/>
    <w:rsid w:val="00852B8C"/>
    <w:rsid w:val="00854981"/>
    <w:rsid w:val="00862A8D"/>
    <w:rsid w:val="00864B2E"/>
    <w:rsid w:val="00865963"/>
    <w:rsid w:val="00871C1D"/>
    <w:rsid w:val="0087450E"/>
    <w:rsid w:val="00875A82"/>
    <w:rsid w:val="00876CA3"/>
    <w:rsid w:val="008772FE"/>
    <w:rsid w:val="008775F1"/>
    <w:rsid w:val="008821AE"/>
    <w:rsid w:val="00883D3A"/>
    <w:rsid w:val="00884B39"/>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3D86"/>
    <w:rsid w:val="008D435A"/>
    <w:rsid w:val="008E387B"/>
    <w:rsid w:val="008E6087"/>
    <w:rsid w:val="008E758D"/>
    <w:rsid w:val="008F10A7"/>
    <w:rsid w:val="008F2A0A"/>
    <w:rsid w:val="008F755D"/>
    <w:rsid w:val="008F7A39"/>
    <w:rsid w:val="009021E8"/>
    <w:rsid w:val="00902F89"/>
    <w:rsid w:val="00904677"/>
    <w:rsid w:val="00905EE2"/>
    <w:rsid w:val="00907371"/>
    <w:rsid w:val="00911440"/>
    <w:rsid w:val="00911712"/>
    <w:rsid w:val="00911B27"/>
    <w:rsid w:val="009170BE"/>
    <w:rsid w:val="00920B55"/>
    <w:rsid w:val="009262C9"/>
    <w:rsid w:val="00930EB9"/>
    <w:rsid w:val="00933DC7"/>
    <w:rsid w:val="00940A32"/>
    <w:rsid w:val="009418F4"/>
    <w:rsid w:val="00942BBC"/>
    <w:rsid w:val="00944180"/>
    <w:rsid w:val="00944AA0"/>
    <w:rsid w:val="00947DA2"/>
    <w:rsid w:val="00951177"/>
    <w:rsid w:val="009578AB"/>
    <w:rsid w:val="009673E8"/>
    <w:rsid w:val="00974DB8"/>
    <w:rsid w:val="0097618B"/>
    <w:rsid w:val="00980661"/>
    <w:rsid w:val="0098093B"/>
    <w:rsid w:val="009864C6"/>
    <w:rsid w:val="009876D4"/>
    <w:rsid w:val="009914A5"/>
    <w:rsid w:val="0099548E"/>
    <w:rsid w:val="00996456"/>
    <w:rsid w:val="00996A12"/>
    <w:rsid w:val="00997B0F"/>
    <w:rsid w:val="009A0CC3"/>
    <w:rsid w:val="009A1CAD"/>
    <w:rsid w:val="009A3440"/>
    <w:rsid w:val="009A53C8"/>
    <w:rsid w:val="009A5832"/>
    <w:rsid w:val="009A6838"/>
    <w:rsid w:val="009A772D"/>
    <w:rsid w:val="009B24B5"/>
    <w:rsid w:val="009B2588"/>
    <w:rsid w:val="009B4EBC"/>
    <w:rsid w:val="009B5ABB"/>
    <w:rsid w:val="009B73CE"/>
    <w:rsid w:val="009C1CB5"/>
    <w:rsid w:val="009C2461"/>
    <w:rsid w:val="009C5A15"/>
    <w:rsid w:val="009C6FE2"/>
    <w:rsid w:val="009C7674"/>
    <w:rsid w:val="009D004A"/>
    <w:rsid w:val="009D03A9"/>
    <w:rsid w:val="009D53A5"/>
    <w:rsid w:val="009D5880"/>
    <w:rsid w:val="009E1FD4"/>
    <w:rsid w:val="009E3B07"/>
    <w:rsid w:val="009E51D1"/>
    <w:rsid w:val="009E5531"/>
    <w:rsid w:val="009E6F03"/>
    <w:rsid w:val="009F171E"/>
    <w:rsid w:val="009F3D2F"/>
    <w:rsid w:val="009F7052"/>
    <w:rsid w:val="00A001F9"/>
    <w:rsid w:val="00A02668"/>
    <w:rsid w:val="00A02801"/>
    <w:rsid w:val="00A04839"/>
    <w:rsid w:val="00A06334"/>
    <w:rsid w:val="00A06A39"/>
    <w:rsid w:val="00A0779B"/>
    <w:rsid w:val="00A07F58"/>
    <w:rsid w:val="00A131CB"/>
    <w:rsid w:val="00A14847"/>
    <w:rsid w:val="00A16D6D"/>
    <w:rsid w:val="00A21383"/>
    <w:rsid w:val="00A2199F"/>
    <w:rsid w:val="00A21B31"/>
    <w:rsid w:val="00A220A3"/>
    <w:rsid w:val="00A2360E"/>
    <w:rsid w:val="00A26E0C"/>
    <w:rsid w:val="00A27F08"/>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865F5"/>
    <w:rsid w:val="00A90A79"/>
    <w:rsid w:val="00A922FF"/>
    <w:rsid w:val="00A96B30"/>
    <w:rsid w:val="00AA1A76"/>
    <w:rsid w:val="00AA442D"/>
    <w:rsid w:val="00AA59B5"/>
    <w:rsid w:val="00AA7777"/>
    <w:rsid w:val="00AA7B84"/>
    <w:rsid w:val="00AB4876"/>
    <w:rsid w:val="00AC0B4C"/>
    <w:rsid w:val="00AC1164"/>
    <w:rsid w:val="00AC2296"/>
    <w:rsid w:val="00AC2754"/>
    <w:rsid w:val="00AC48B0"/>
    <w:rsid w:val="00AC4ACD"/>
    <w:rsid w:val="00AC5DFB"/>
    <w:rsid w:val="00AD13DC"/>
    <w:rsid w:val="00AD4EE0"/>
    <w:rsid w:val="00AD6721"/>
    <w:rsid w:val="00AD6DE2"/>
    <w:rsid w:val="00AE0A40"/>
    <w:rsid w:val="00AE1ED4"/>
    <w:rsid w:val="00AE21E1"/>
    <w:rsid w:val="00AE2F8D"/>
    <w:rsid w:val="00AE3BAE"/>
    <w:rsid w:val="00AE4462"/>
    <w:rsid w:val="00AE630A"/>
    <w:rsid w:val="00AE6A21"/>
    <w:rsid w:val="00AF1C8F"/>
    <w:rsid w:val="00AF2B68"/>
    <w:rsid w:val="00AF2C92"/>
    <w:rsid w:val="00AF3EC1"/>
    <w:rsid w:val="00AF5025"/>
    <w:rsid w:val="00AF519F"/>
    <w:rsid w:val="00AF5387"/>
    <w:rsid w:val="00AF55F5"/>
    <w:rsid w:val="00AF6A8D"/>
    <w:rsid w:val="00AF7E86"/>
    <w:rsid w:val="00B024B9"/>
    <w:rsid w:val="00B04D19"/>
    <w:rsid w:val="00B05EF7"/>
    <w:rsid w:val="00B077FA"/>
    <w:rsid w:val="00B127D7"/>
    <w:rsid w:val="00B12A0D"/>
    <w:rsid w:val="00B13B0C"/>
    <w:rsid w:val="00B14408"/>
    <w:rsid w:val="00B1453A"/>
    <w:rsid w:val="00B1514E"/>
    <w:rsid w:val="00B17C5F"/>
    <w:rsid w:val="00B20F82"/>
    <w:rsid w:val="00B24415"/>
    <w:rsid w:val="00B25BD5"/>
    <w:rsid w:val="00B26932"/>
    <w:rsid w:val="00B31850"/>
    <w:rsid w:val="00B34079"/>
    <w:rsid w:val="00B340C3"/>
    <w:rsid w:val="00B3793A"/>
    <w:rsid w:val="00B37EF7"/>
    <w:rsid w:val="00B401BA"/>
    <w:rsid w:val="00B407E4"/>
    <w:rsid w:val="00B425B6"/>
    <w:rsid w:val="00B42A72"/>
    <w:rsid w:val="00B441AE"/>
    <w:rsid w:val="00B45A65"/>
    <w:rsid w:val="00B45F33"/>
    <w:rsid w:val="00B46971"/>
    <w:rsid w:val="00B46D50"/>
    <w:rsid w:val="00B5035C"/>
    <w:rsid w:val="00B53170"/>
    <w:rsid w:val="00B548B9"/>
    <w:rsid w:val="00B56DBE"/>
    <w:rsid w:val="00B62999"/>
    <w:rsid w:val="00B63BE3"/>
    <w:rsid w:val="00B64885"/>
    <w:rsid w:val="00B64FA3"/>
    <w:rsid w:val="00B66810"/>
    <w:rsid w:val="00B71302"/>
    <w:rsid w:val="00B72BE3"/>
    <w:rsid w:val="00B734FC"/>
    <w:rsid w:val="00B73B80"/>
    <w:rsid w:val="00B770C7"/>
    <w:rsid w:val="00B80F26"/>
    <w:rsid w:val="00B822BD"/>
    <w:rsid w:val="00B842F4"/>
    <w:rsid w:val="00B91A7B"/>
    <w:rsid w:val="00B92032"/>
    <w:rsid w:val="00B929DD"/>
    <w:rsid w:val="00B93AF6"/>
    <w:rsid w:val="00B95405"/>
    <w:rsid w:val="00B963F1"/>
    <w:rsid w:val="00BA020A"/>
    <w:rsid w:val="00BA7987"/>
    <w:rsid w:val="00BB025A"/>
    <w:rsid w:val="00BB02A4"/>
    <w:rsid w:val="00BB1270"/>
    <w:rsid w:val="00BB1E44"/>
    <w:rsid w:val="00BB3AA7"/>
    <w:rsid w:val="00BB5267"/>
    <w:rsid w:val="00BB52B8"/>
    <w:rsid w:val="00BB59D8"/>
    <w:rsid w:val="00BB7E69"/>
    <w:rsid w:val="00BC0E51"/>
    <w:rsid w:val="00BC3C1F"/>
    <w:rsid w:val="00BC7CE7"/>
    <w:rsid w:val="00BD295E"/>
    <w:rsid w:val="00BD4664"/>
    <w:rsid w:val="00BD646E"/>
    <w:rsid w:val="00BD68CC"/>
    <w:rsid w:val="00BE1193"/>
    <w:rsid w:val="00BE6A41"/>
    <w:rsid w:val="00BF4849"/>
    <w:rsid w:val="00BF4EA7"/>
    <w:rsid w:val="00BF6525"/>
    <w:rsid w:val="00C00EDB"/>
    <w:rsid w:val="00C01B54"/>
    <w:rsid w:val="00C02863"/>
    <w:rsid w:val="00C0383A"/>
    <w:rsid w:val="00C067FF"/>
    <w:rsid w:val="00C10C56"/>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24"/>
    <w:rsid w:val="00C3035D"/>
    <w:rsid w:val="00C30A2A"/>
    <w:rsid w:val="00C33993"/>
    <w:rsid w:val="00C4069E"/>
    <w:rsid w:val="00C41ADC"/>
    <w:rsid w:val="00C41C62"/>
    <w:rsid w:val="00C44149"/>
    <w:rsid w:val="00C44410"/>
    <w:rsid w:val="00C44A15"/>
    <w:rsid w:val="00C4630A"/>
    <w:rsid w:val="00C523F0"/>
    <w:rsid w:val="00C525C5"/>
    <w:rsid w:val="00C526D2"/>
    <w:rsid w:val="00C53A91"/>
    <w:rsid w:val="00C5794E"/>
    <w:rsid w:val="00C60968"/>
    <w:rsid w:val="00C63D39"/>
    <w:rsid w:val="00C63EDD"/>
    <w:rsid w:val="00C65B36"/>
    <w:rsid w:val="00C662D8"/>
    <w:rsid w:val="00C66E43"/>
    <w:rsid w:val="00C7292E"/>
    <w:rsid w:val="00C734B8"/>
    <w:rsid w:val="00C735A0"/>
    <w:rsid w:val="00C74E88"/>
    <w:rsid w:val="00C752B8"/>
    <w:rsid w:val="00C80924"/>
    <w:rsid w:val="00C8286B"/>
    <w:rsid w:val="00C947F8"/>
    <w:rsid w:val="00C9515F"/>
    <w:rsid w:val="00C963C5"/>
    <w:rsid w:val="00C96CA5"/>
    <w:rsid w:val="00CA030C"/>
    <w:rsid w:val="00CA08A2"/>
    <w:rsid w:val="00CA1F41"/>
    <w:rsid w:val="00CA32EE"/>
    <w:rsid w:val="00CA5771"/>
    <w:rsid w:val="00CA6A1A"/>
    <w:rsid w:val="00CB6014"/>
    <w:rsid w:val="00CC1E75"/>
    <w:rsid w:val="00CC2E0E"/>
    <w:rsid w:val="00CC361C"/>
    <w:rsid w:val="00CC474B"/>
    <w:rsid w:val="00CC4B73"/>
    <w:rsid w:val="00CC658C"/>
    <w:rsid w:val="00CC67BF"/>
    <w:rsid w:val="00CD0843"/>
    <w:rsid w:val="00CD24E7"/>
    <w:rsid w:val="00CD4E31"/>
    <w:rsid w:val="00CD5A78"/>
    <w:rsid w:val="00CD7345"/>
    <w:rsid w:val="00CE2518"/>
    <w:rsid w:val="00CE372E"/>
    <w:rsid w:val="00CF0A1B"/>
    <w:rsid w:val="00CF1623"/>
    <w:rsid w:val="00CF19F6"/>
    <w:rsid w:val="00CF2F4F"/>
    <w:rsid w:val="00CF427B"/>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6F6"/>
    <w:rsid w:val="00D71F99"/>
    <w:rsid w:val="00D73CA4"/>
    <w:rsid w:val="00D73D71"/>
    <w:rsid w:val="00D741F0"/>
    <w:rsid w:val="00D74396"/>
    <w:rsid w:val="00D74B85"/>
    <w:rsid w:val="00D77150"/>
    <w:rsid w:val="00D80284"/>
    <w:rsid w:val="00D81F71"/>
    <w:rsid w:val="00D82E80"/>
    <w:rsid w:val="00D8642D"/>
    <w:rsid w:val="00D875E6"/>
    <w:rsid w:val="00D90A5E"/>
    <w:rsid w:val="00D91A68"/>
    <w:rsid w:val="00D95A68"/>
    <w:rsid w:val="00D96803"/>
    <w:rsid w:val="00DA0669"/>
    <w:rsid w:val="00DA17C7"/>
    <w:rsid w:val="00DA6A9A"/>
    <w:rsid w:val="00DA7F19"/>
    <w:rsid w:val="00DB1EFD"/>
    <w:rsid w:val="00DB31A7"/>
    <w:rsid w:val="00DB3EAF"/>
    <w:rsid w:val="00DB46C6"/>
    <w:rsid w:val="00DC3203"/>
    <w:rsid w:val="00DC3C99"/>
    <w:rsid w:val="00DC52F5"/>
    <w:rsid w:val="00DC5FD0"/>
    <w:rsid w:val="00DC6C63"/>
    <w:rsid w:val="00DD0354"/>
    <w:rsid w:val="00DD27D7"/>
    <w:rsid w:val="00DD28E8"/>
    <w:rsid w:val="00DD458C"/>
    <w:rsid w:val="00DD50B5"/>
    <w:rsid w:val="00DD5C31"/>
    <w:rsid w:val="00DD6E25"/>
    <w:rsid w:val="00DD72E9"/>
    <w:rsid w:val="00DD7605"/>
    <w:rsid w:val="00DE2020"/>
    <w:rsid w:val="00DE3476"/>
    <w:rsid w:val="00DE3509"/>
    <w:rsid w:val="00DE7BEA"/>
    <w:rsid w:val="00DF319F"/>
    <w:rsid w:val="00DF58DC"/>
    <w:rsid w:val="00DF5B84"/>
    <w:rsid w:val="00DF6D5B"/>
    <w:rsid w:val="00DF73FC"/>
    <w:rsid w:val="00DF771B"/>
    <w:rsid w:val="00DF7EE2"/>
    <w:rsid w:val="00E017F1"/>
    <w:rsid w:val="00E01BAA"/>
    <w:rsid w:val="00E0282A"/>
    <w:rsid w:val="00E02F9B"/>
    <w:rsid w:val="00E07E14"/>
    <w:rsid w:val="00E14F94"/>
    <w:rsid w:val="00E16352"/>
    <w:rsid w:val="00E17336"/>
    <w:rsid w:val="00E17D15"/>
    <w:rsid w:val="00E22B95"/>
    <w:rsid w:val="00E30331"/>
    <w:rsid w:val="00E30BB8"/>
    <w:rsid w:val="00E31F9C"/>
    <w:rsid w:val="00E33776"/>
    <w:rsid w:val="00E33FD4"/>
    <w:rsid w:val="00E40217"/>
    <w:rsid w:val="00E40488"/>
    <w:rsid w:val="00E422B8"/>
    <w:rsid w:val="00E4272E"/>
    <w:rsid w:val="00E50367"/>
    <w:rsid w:val="00E51ABA"/>
    <w:rsid w:val="00E524CB"/>
    <w:rsid w:val="00E60189"/>
    <w:rsid w:val="00E65456"/>
    <w:rsid w:val="00E65A91"/>
    <w:rsid w:val="00E66188"/>
    <w:rsid w:val="00E664FB"/>
    <w:rsid w:val="00E672F0"/>
    <w:rsid w:val="00E70373"/>
    <w:rsid w:val="00E72E40"/>
    <w:rsid w:val="00E73665"/>
    <w:rsid w:val="00E73999"/>
    <w:rsid w:val="00E73BDC"/>
    <w:rsid w:val="00E73E9E"/>
    <w:rsid w:val="00E7672F"/>
    <w:rsid w:val="00E803A2"/>
    <w:rsid w:val="00E81660"/>
    <w:rsid w:val="00E854FE"/>
    <w:rsid w:val="00E85E77"/>
    <w:rsid w:val="00E906CC"/>
    <w:rsid w:val="00E90FC7"/>
    <w:rsid w:val="00E91CF0"/>
    <w:rsid w:val="00E939A0"/>
    <w:rsid w:val="00E97E4E"/>
    <w:rsid w:val="00EA0C07"/>
    <w:rsid w:val="00EA1CC2"/>
    <w:rsid w:val="00EA2D76"/>
    <w:rsid w:val="00EA4644"/>
    <w:rsid w:val="00EA758A"/>
    <w:rsid w:val="00EA7CB1"/>
    <w:rsid w:val="00EB0019"/>
    <w:rsid w:val="00EB096F"/>
    <w:rsid w:val="00EB199F"/>
    <w:rsid w:val="00EB21A4"/>
    <w:rsid w:val="00EB27C4"/>
    <w:rsid w:val="00EB4796"/>
    <w:rsid w:val="00EB4F81"/>
    <w:rsid w:val="00EB5387"/>
    <w:rsid w:val="00EB553B"/>
    <w:rsid w:val="00EB5C10"/>
    <w:rsid w:val="00EB7322"/>
    <w:rsid w:val="00EC0FE9"/>
    <w:rsid w:val="00EC198B"/>
    <w:rsid w:val="00EC426D"/>
    <w:rsid w:val="00EC48E1"/>
    <w:rsid w:val="00EC571B"/>
    <w:rsid w:val="00EC57D7"/>
    <w:rsid w:val="00EC6385"/>
    <w:rsid w:val="00ED1DE9"/>
    <w:rsid w:val="00ED23D4"/>
    <w:rsid w:val="00ED5E0B"/>
    <w:rsid w:val="00EE37B6"/>
    <w:rsid w:val="00EF0F45"/>
    <w:rsid w:val="00EF26DF"/>
    <w:rsid w:val="00EF3A72"/>
    <w:rsid w:val="00EF7463"/>
    <w:rsid w:val="00EF7971"/>
    <w:rsid w:val="00F002EF"/>
    <w:rsid w:val="00F01EE9"/>
    <w:rsid w:val="00F04900"/>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38E2"/>
    <w:rsid w:val="00F25C67"/>
    <w:rsid w:val="00F26958"/>
    <w:rsid w:val="00F30DFF"/>
    <w:rsid w:val="00F318ED"/>
    <w:rsid w:val="00F32B80"/>
    <w:rsid w:val="00F340EB"/>
    <w:rsid w:val="00F34727"/>
    <w:rsid w:val="00F35285"/>
    <w:rsid w:val="00F41A8F"/>
    <w:rsid w:val="00F43B9D"/>
    <w:rsid w:val="00F44D5E"/>
    <w:rsid w:val="00F52429"/>
    <w:rsid w:val="00F53A35"/>
    <w:rsid w:val="00F55A3D"/>
    <w:rsid w:val="00F5744B"/>
    <w:rsid w:val="00F61209"/>
    <w:rsid w:val="00F6259E"/>
    <w:rsid w:val="00F64A50"/>
    <w:rsid w:val="00F65DD4"/>
    <w:rsid w:val="00F672B2"/>
    <w:rsid w:val="00F67B41"/>
    <w:rsid w:val="00F72FA0"/>
    <w:rsid w:val="00F74C49"/>
    <w:rsid w:val="00F832E5"/>
    <w:rsid w:val="00F83973"/>
    <w:rsid w:val="00F87FA3"/>
    <w:rsid w:val="00F93D8C"/>
    <w:rsid w:val="00F96361"/>
    <w:rsid w:val="00FA3102"/>
    <w:rsid w:val="00FA3CE2"/>
    <w:rsid w:val="00FA48D4"/>
    <w:rsid w:val="00FA54FA"/>
    <w:rsid w:val="00FA6D39"/>
    <w:rsid w:val="00FB227E"/>
    <w:rsid w:val="00FB3D61"/>
    <w:rsid w:val="00FB44CE"/>
    <w:rsid w:val="00FB5009"/>
    <w:rsid w:val="00FB76AB"/>
    <w:rsid w:val="00FC45F1"/>
    <w:rsid w:val="00FD03FE"/>
    <w:rsid w:val="00FD126E"/>
    <w:rsid w:val="00FD3C36"/>
    <w:rsid w:val="00FD4D81"/>
    <w:rsid w:val="00FD7498"/>
    <w:rsid w:val="00FD7FB3"/>
    <w:rsid w:val="00FE11DA"/>
    <w:rsid w:val="00FE4713"/>
    <w:rsid w:val="00FE4B3B"/>
    <w:rsid w:val="00FE6C9D"/>
    <w:rsid w:val="00FE78F6"/>
    <w:rsid w:val="00FF1F44"/>
    <w:rsid w:val="00FF225E"/>
    <w:rsid w:val="00FF43AC"/>
    <w:rsid w:val="00FF4716"/>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christie@med.lu.se"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11897</TotalTime>
  <Pages>36</Pages>
  <Words>21354</Words>
  <Characters>129412</Characters>
  <Application>Microsoft Office Word</Application>
  <DocSecurity>0</DocSecurity>
  <Lines>2310</Lines>
  <Paragraphs>527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150239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Nick Christie</cp:lastModifiedBy>
  <cp:revision>99</cp:revision>
  <cp:lastPrinted>2025-12-12T13:09:00Z</cp:lastPrinted>
  <dcterms:created xsi:type="dcterms:W3CDTF">2025-10-29T09:40:00Z</dcterms:created>
  <dcterms:modified xsi:type="dcterms:W3CDTF">2026-01-16T13:36:00Z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id="dNpQ90Bz"/&gt;&lt;style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