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3BE14" w14:textId="77777777" w:rsidR="00A07DD7" w:rsidRPr="00A07DD7" w:rsidRDefault="00A07DD7" w:rsidP="00A07DD7">
      <w:pPr>
        <w:spacing w:before="100" w:beforeAutospacing="1" w:after="100" w:afterAutospacing="1" w:line="240" w:lineRule="auto"/>
        <w:jc w:val="center"/>
        <w:rPr>
          <w:rFonts w:ascii="Aptos" w:eastAsia="Times New Roman" w:hAnsi="Aptos" w:cs="Arial"/>
          <w:kern w:val="0"/>
          <w:lang w:val="en-US"/>
          <w14:ligatures w14:val="none"/>
        </w:rPr>
      </w:pPr>
      <w:r w:rsidRPr="00A07DD7">
        <w:rPr>
          <w:rFonts w:ascii="Aptos" w:eastAsia="Times New Roman" w:hAnsi="Aptos" w:cs="Arial"/>
          <w:i/>
          <w:iCs/>
          <w:kern w:val="0"/>
          <w:lang w:val="en-US"/>
          <w14:ligatures w14:val="none"/>
        </w:rPr>
        <w:t>The Value of Location: What Matters Most for Older Individuals Considering Relocation in Sweden?</w:t>
      </w:r>
    </w:p>
    <w:p w14:paraId="1A9A37BD" w14:textId="29591C90" w:rsidR="0096374E" w:rsidRDefault="0096374E" w:rsidP="00A07DD7">
      <w:pPr>
        <w:spacing w:after="0" w:line="240" w:lineRule="auto"/>
        <w:rPr>
          <w:rFonts w:ascii="Aptos" w:eastAsia="Times New Roman" w:hAnsi="Aptos" w:cs="Arial"/>
          <w:kern w:val="0"/>
          <w:lang w:val="en-US"/>
          <w14:ligatures w14:val="none"/>
        </w:rPr>
      </w:pPr>
      <w:r>
        <w:rPr>
          <w:rFonts w:ascii="Aptos" w:eastAsia="Times New Roman" w:hAnsi="Aptos" w:cs="Arial"/>
          <w:kern w:val="0"/>
          <w:lang w:val="en-US"/>
          <w14:ligatures w14:val="none"/>
        </w:rPr>
        <w:t>Abstract</w:t>
      </w:r>
    </w:p>
    <w:p w14:paraId="3355AC57" w14:textId="77777777" w:rsidR="0096374E" w:rsidRDefault="0096374E" w:rsidP="00A07DD7">
      <w:pPr>
        <w:spacing w:after="0" w:line="240" w:lineRule="auto"/>
        <w:rPr>
          <w:rFonts w:ascii="Aptos" w:eastAsia="Times New Roman" w:hAnsi="Aptos" w:cs="Arial"/>
          <w:kern w:val="0"/>
          <w:lang w:val="en-US"/>
          <w14:ligatures w14:val="none"/>
        </w:rPr>
      </w:pPr>
    </w:p>
    <w:p w14:paraId="29473A53" w14:textId="1C7DAE9A" w:rsidR="0096374E" w:rsidRDefault="0096374E" w:rsidP="00A07DD7">
      <w:pPr>
        <w:spacing w:after="0" w:line="240" w:lineRule="auto"/>
        <w:rPr>
          <w:rFonts w:ascii="Aptos" w:eastAsia="Times New Roman" w:hAnsi="Aptos" w:cs="Arial"/>
          <w:kern w:val="0"/>
          <w:lang w:val="en-US"/>
          <w14:ligatures w14:val="none"/>
        </w:rPr>
      </w:pPr>
      <w:r>
        <w:rPr>
          <w:rFonts w:ascii="Aptos" w:eastAsia="Times New Roman" w:hAnsi="Aptos" w:cs="Arial"/>
          <w:kern w:val="0"/>
          <w:lang w:val="en-US"/>
          <w14:ligatures w14:val="none"/>
        </w:rPr>
        <w:t>Keywords</w:t>
      </w:r>
    </w:p>
    <w:p w14:paraId="456FF45E" w14:textId="77777777" w:rsidR="0096374E" w:rsidRPr="00A07DD7" w:rsidRDefault="0096374E" w:rsidP="00A07DD7">
      <w:pPr>
        <w:spacing w:after="0" w:line="240" w:lineRule="auto"/>
        <w:rPr>
          <w:rFonts w:ascii="Aptos" w:eastAsia="Times New Roman" w:hAnsi="Aptos" w:cs="Arial"/>
          <w:kern w:val="0"/>
          <w:lang w:val="en-US"/>
          <w14:ligatures w14:val="none"/>
        </w:rPr>
      </w:pPr>
    </w:p>
    <w:p w14:paraId="6AF5E9ED" w14:textId="3FE21AA4" w:rsidR="00A07DD7" w:rsidRPr="00A07DD7" w:rsidRDefault="00A07DD7" w:rsidP="00A07DD7">
      <w:pPr>
        <w:spacing w:after="0" w:line="240" w:lineRule="auto"/>
        <w:rPr>
          <w:rFonts w:ascii="Aptos" w:eastAsia="Times New Roman" w:hAnsi="Aptos" w:cs="Arial"/>
          <w:kern w:val="0"/>
          <w:lang w:val="en-US"/>
          <w14:ligatures w14:val="none"/>
        </w:rPr>
      </w:pPr>
    </w:p>
    <w:p w14:paraId="771C1B10" w14:textId="1BD88363" w:rsidR="00A07DD7" w:rsidRPr="007C104B" w:rsidRDefault="00A07DD7" w:rsidP="00A07DD7">
      <w:pPr>
        <w:pStyle w:val="Heading1"/>
        <w:rPr>
          <w:rFonts w:ascii="Aptos" w:eastAsia="Times New Roman" w:hAnsi="Aptos" w:cs="Arial"/>
          <w:lang w:val="en-US"/>
        </w:rPr>
      </w:pPr>
      <w:r w:rsidRPr="007C104B">
        <w:rPr>
          <w:rFonts w:ascii="Aptos" w:eastAsia="Times New Roman" w:hAnsi="Aptos" w:cs="Arial"/>
          <w:lang w:val="en-US"/>
        </w:rPr>
        <w:t>Introduction</w:t>
      </w:r>
    </w:p>
    <w:p w14:paraId="4BCE686E" w14:textId="77777777" w:rsidR="00F6549F" w:rsidRPr="00F6549F" w:rsidRDefault="00F6549F" w:rsidP="00F6549F">
      <w:pPr>
        <w:pStyle w:val="NormalWeb"/>
        <w:rPr>
          <w:rFonts w:ascii="Aptos" w:hAnsi="Aptos" w:cs="Arial"/>
        </w:rPr>
      </w:pPr>
      <w:bookmarkStart w:id="0" w:name="_Hlk212626970"/>
      <w:r w:rsidRPr="00F6549F">
        <w:rPr>
          <w:rFonts w:ascii="Aptos" w:hAnsi="Aptos" w:cs="Arial"/>
        </w:rPr>
        <w:t xml:space="preserve">Population ageing is reshaping housing markets and social </w:t>
      </w:r>
      <w:proofErr w:type="gramStart"/>
      <w:r w:rsidRPr="00F6549F">
        <w:rPr>
          <w:rFonts w:ascii="Aptos" w:hAnsi="Aptos" w:cs="Arial"/>
        </w:rPr>
        <w:t>policy</w:t>
      </w:r>
      <w:proofErr w:type="gramEnd"/>
      <w:r w:rsidRPr="00F6549F">
        <w:rPr>
          <w:rFonts w:ascii="Aptos" w:hAnsi="Aptos" w:cs="Arial"/>
        </w:rPr>
        <w:t xml:space="preserve"> across the globe. Older adults now comprise an increasing share of the population in most developed countries, raising urgent questions about how to adapt existing housing stock and urban environments to meet evolving needs. Research consistently shows that most older adults prefer to age in place, remaining in familiar surroundings rather than relocating to institutional care or new environments (Abramsson &amp; Andersson, 2015). Yet as mobility, health, and social circumstances change, relocation decisions become inevitable for a growing number of older individuals. Understanding which residential and locational attributes influence these choices is critical for planning age-friendly housing and communities.</w:t>
      </w:r>
    </w:p>
    <w:p w14:paraId="48891D6D" w14:textId="77777777" w:rsidR="00F6549F" w:rsidRPr="00F6549F" w:rsidRDefault="00F6549F" w:rsidP="00F6549F">
      <w:pPr>
        <w:pStyle w:val="NormalWeb"/>
        <w:rPr>
          <w:rFonts w:ascii="Aptos" w:hAnsi="Aptos" w:cs="Arial"/>
        </w:rPr>
      </w:pPr>
      <w:bookmarkStart w:id="1" w:name="_Hlk212627030"/>
      <w:bookmarkEnd w:id="0"/>
      <w:r w:rsidRPr="00F6549F">
        <w:rPr>
          <w:rFonts w:ascii="Aptos" w:hAnsi="Aptos" w:cs="Arial"/>
        </w:rPr>
        <w:t xml:space="preserve">As the older population expands, municipalities face mounting challenges in providing suitable housing options for those considering relocation. Evidence on how older adults value key residential characteristics—such as proximity to green areas, shops, or public transport—remains limited, particularly from the perspective of individuals actively engaged in the relocation process. This knowledge gap restricts the ability of planners and housing providers to design </w:t>
      </w:r>
      <w:proofErr w:type="spellStart"/>
      <w:r w:rsidRPr="00F6549F">
        <w:rPr>
          <w:rFonts w:ascii="Aptos" w:hAnsi="Aptos" w:cs="Arial"/>
        </w:rPr>
        <w:t>neighbourhoods</w:t>
      </w:r>
      <w:proofErr w:type="spellEnd"/>
      <w:r w:rsidRPr="00F6549F">
        <w:rPr>
          <w:rFonts w:ascii="Aptos" w:hAnsi="Aptos" w:cs="Arial"/>
        </w:rPr>
        <w:t xml:space="preserve"> and dwellings that align with older residents' preferences and constraints.</w:t>
      </w:r>
    </w:p>
    <w:p w14:paraId="4F3AB3CA" w14:textId="77777777" w:rsidR="00F6549F" w:rsidRPr="00F6549F" w:rsidRDefault="00F6549F" w:rsidP="00F6549F">
      <w:pPr>
        <w:pStyle w:val="NormalWeb"/>
        <w:rPr>
          <w:rFonts w:ascii="Aptos" w:hAnsi="Aptos" w:cs="Arial"/>
        </w:rPr>
      </w:pPr>
      <w:r w:rsidRPr="00F6549F">
        <w:rPr>
          <w:rFonts w:ascii="Aptos" w:hAnsi="Aptos" w:cs="Arial"/>
        </w:rPr>
        <w:t xml:space="preserve">Most studies of older adults' housing preferences have relied on revealed-preference approaches or small, context-specific samples, which offer incomplete accounts of how individuals weigh competing housing attributes. Stated-preference methods, particularly discrete choice experiments (DCEs), present a promising alternative: recent work by </w:t>
      </w:r>
      <w:proofErr w:type="spellStart"/>
      <w:r w:rsidRPr="00F6549F">
        <w:rPr>
          <w:rFonts w:ascii="Aptos" w:hAnsi="Aptos" w:cs="Arial"/>
        </w:rPr>
        <w:t>Ossokina</w:t>
      </w:r>
      <w:proofErr w:type="spellEnd"/>
      <w:r w:rsidRPr="00F6549F">
        <w:rPr>
          <w:rFonts w:ascii="Aptos" w:hAnsi="Aptos" w:cs="Arial"/>
        </w:rPr>
        <w:t xml:space="preserve"> and </w:t>
      </w:r>
      <w:proofErr w:type="spellStart"/>
      <w:r w:rsidRPr="00F6549F">
        <w:rPr>
          <w:rFonts w:ascii="Aptos" w:hAnsi="Aptos" w:cs="Arial"/>
        </w:rPr>
        <w:t>Arentze</w:t>
      </w:r>
      <w:proofErr w:type="spellEnd"/>
      <w:r w:rsidRPr="00F6549F">
        <w:rPr>
          <w:rFonts w:ascii="Aptos" w:hAnsi="Aptos" w:cs="Arial"/>
        </w:rPr>
        <w:t xml:space="preserve"> (2022) and Caplan et al. (2021) demonstrates their capacity to quantify trade-offs between housing and locational features in the Netherlands and United States, respectively. However, applications in Scandinavian contexts remain limited, as do studies that include both homeowners and renters within older age groups. Equally underexplored is the question of preference heterogeneity—specifically, how valuations of housing attributes vary systematically with age, income, or household structure.</w:t>
      </w:r>
    </w:p>
    <w:p w14:paraId="5A06C16F" w14:textId="29B6044E" w:rsidR="00A07DD7" w:rsidRDefault="00A07DD7" w:rsidP="00A07DD7">
      <w:pPr>
        <w:pStyle w:val="NormalWeb"/>
        <w:rPr>
          <w:rFonts w:ascii="Aptos" w:hAnsi="Aptos" w:cs="Arial"/>
        </w:rPr>
      </w:pPr>
      <w:r w:rsidRPr="007C104B">
        <w:rPr>
          <w:rFonts w:ascii="Aptos" w:hAnsi="Aptos" w:cs="Arial"/>
        </w:rPr>
        <w:t xml:space="preserve">This paper addresses these gaps by examining heterogeneity in housing preferences among older individuals in Sweden using data from a large-scale discrete choice experiment (DCE) embedded in the Prospective RELOC-AGE project. We estimate mixed logit models to derive marginal willingness-to-pay (MWTP) values for key locational and amenity attributes, and we explore systematic differences by age, </w:t>
      </w:r>
      <w:r w:rsidRPr="007C104B">
        <w:rPr>
          <w:rFonts w:ascii="Aptos" w:hAnsi="Aptos" w:cs="Arial"/>
        </w:rPr>
        <w:lastRenderedPageBreak/>
        <w:t>income, and tenure. The study contributes to the literature on ageing and housing choice by providing novel evidence on how older adults evaluate potential relocation alternatives within a policy environment emphasizing ageing in place and social inclusion.</w:t>
      </w:r>
    </w:p>
    <w:p w14:paraId="37675234" w14:textId="733B33E9" w:rsidR="0096374E" w:rsidRPr="007C104B" w:rsidRDefault="0096374E" w:rsidP="0096374E">
      <w:pPr>
        <w:pStyle w:val="NormalWeb"/>
        <w:spacing w:before="0" w:beforeAutospacing="0" w:after="0" w:afterAutospacing="0"/>
        <w:rPr>
          <w:rFonts w:ascii="Aptos" w:hAnsi="Aptos" w:cs="Arial"/>
        </w:rPr>
      </w:pPr>
      <w:bookmarkStart w:id="2" w:name="_Hlk212627285"/>
      <w:r w:rsidRPr="0096374E">
        <w:rPr>
          <w:rFonts w:ascii="Aptos" w:hAnsi="Aptos" w:cs="Arial"/>
        </w:rPr>
        <w:t xml:space="preserve">We examined heterogeneity in housing preferences among older adults in Sweden using discrete choice experiment data (n = 957; mean age = 72; 55.3% women). Respondents assessed trade-offs between key residential attributes, including proximity to shops and services, green spaces, access to public transportation, dedicated parking, and planned monthly expenses. We estimate mixed logit models to recover marginal </w:t>
      </w:r>
      <w:proofErr w:type="gramStart"/>
      <w:r w:rsidRPr="0096374E">
        <w:rPr>
          <w:rFonts w:ascii="Aptos" w:hAnsi="Aptos" w:cs="Arial"/>
        </w:rPr>
        <w:t>willingness</w:t>
      </w:r>
      <w:proofErr w:type="gramEnd"/>
      <w:r w:rsidRPr="0096374E">
        <w:rPr>
          <w:rFonts w:ascii="Aptos" w:hAnsi="Aptos" w:cs="Arial"/>
        </w:rPr>
        <w:t xml:space="preserve"> to pay estimates for each attribute, including interactions with age, gender, and income to capture systematic variation in preferences. The results show that individuals in the oldest age groups expressed significantly higher </w:t>
      </w:r>
      <w:r>
        <w:rPr>
          <w:rFonts w:ascii="Aptos" w:hAnsi="Aptos" w:cs="Arial"/>
        </w:rPr>
        <w:t>w</w:t>
      </w:r>
      <w:r w:rsidRPr="0096374E">
        <w:rPr>
          <w:rFonts w:ascii="Aptos" w:hAnsi="Aptos" w:cs="Arial"/>
        </w:rPr>
        <w:t>illingness to pay for several attributes, with values around 1.5 times greater than those of younger respondents. We identified meaningful differences by gender and tenure status, reflecting underlying patterns of social inequality in later life. These findings contribute policy-relevant evidence to support the development of age-inclusive housing strategies that address both diverse preferences and structural disparities in residential choice.</w:t>
      </w:r>
    </w:p>
    <w:p w14:paraId="26FAAEB8" w14:textId="37558DB1" w:rsidR="007F65A7" w:rsidRPr="007C104B" w:rsidRDefault="007F65A7" w:rsidP="003D66F3">
      <w:pPr>
        <w:pStyle w:val="Heading1"/>
        <w:rPr>
          <w:rFonts w:ascii="Aptos" w:eastAsia="Times New Roman" w:hAnsi="Aptos"/>
          <w:kern w:val="0"/>
          <w:sz w:val="24"/>
          <w:szCs w:val="24"/>
          <w:lang w:val="en-US"/>
          <w14:ligatures w14:val="none"/>
        </w:rPr>
      </w:pPr>
      <w:bookmarkStart w:id="3" w:name="_Hlk212627080"/>
      <w:bookmarkEnd w:id="1"/>
      <w:bookmarkEnd w:id="2"/>
      <w:r w:rsidRPr="0096374E">
        <w:rPr>
          <w:rFonts w:ascii="Aptos" w:hAnsi="Aptos"/>
          <w:lang w:val="en-US"/>
        </w:rPr>
        <w:t>Literature Review</w:t>
      </w:r>
    </w:p>
    <w:bookmarkEnd w:id="3"/>
    <w:p w14:paraId="26820CFD" w14:textId="77777777" w:rsidR="007F65A7" w:rsidRPr="007C104B" w:rsidRDefault="007F65A7" w:rsidP="007F65A7">
      <w:pPr>
        <w:pStyle w:val="Heading2"/>
        <w:rPr>
          <w:rFonts w:ascii="Aptos" w:hAnsi="Aptos"/>
          <w:lang w:val="en-US"/>
        </w:rPr>
      </w:pPr>
      <w:r w:rsidRPr="007C104B">
        <w:rPr>
          <w:rFonts w:ascii="Aptos" w:hAnsi="Aptos"/>
          <w:lang w:val="en-US"/>
        </w:rPr>
        <w:t>Housing and Ageing</w:t>
      </w:r>
    </w:p>
    <w:p w14:paraId="66391A47" w14:textId="77777777" w:rsidR="007F65A7" w:rsidRPr="007C104B" w:rsidRDefault="007F65A7" w:rsidP="007F65A7">
      <w:pPr>
        <w:pStyle w:val="NormalWeb"/>
        <w:rPr>
          <w:rFonts w:ascii="Aptos" w:hAnsi="Aptos"/>
        </w:rPr>
      </w:pPr>
      <w:bookmarkStart w:id="4" w:name="_Hlk212627370"/>
      <w:r w:rsidRPr="007C104B">
        <w:rPr>
          <w:rFonts w:ascii="Aptos" w:hAnsi="Aptos"/>
        </w:rPr>
        <w:t>Population ageing is increasingly shaping the demand for housing, both in terms of quantity and quality. Older adults spend a greater share of their time at home and rely on their residential environment for daily functioning, social contact, and wellbeing. The concept of “ageing in place” has become central to housing policy across Europe, emphasizing the right of older adults to remain in familiar surroundings for as long as possible. However, ageing in place depends on the suitability of existing housing and the availability of accessible alternatives when relocation becomes necessary.</w:t>
      </w:r>
    </w:p>
    <w:p w14:paraId="37B203DD" w14:textId="77777777" w:rsidR="007F65A7" w:rsidRPr="007C104B" w:rsidRDefault="007F65A7" w:rsidP="007F65A7">
      <w:pPr>
        <w:pStyle w:val="NormalWeb"/>
        <w:rPr>
          <w:rFonts w:ascii="Aptos" w:hAnsi="Aptos"/>
        </w:rPr>
      </w:pPr>
      <w:r w:rsidRPr="007C104B">
        <w:rPr>
          <w:rFonts w:ascii="Aptos" w:hAnsi="Aptos"/>
        </w:rPr>
        <w:t xml:space="preserve">Previous studies highlight that relocation decisions among older adults are influenced by a combination of physical, social, and economic factors. Physical accessibility, proximity to services, safety, and </w:t>
      </w:r>
      <w:proofErr w:type="spellStart"/>
      <w:r w:rsidRPr="007C104B">
        <w:rPr>
          <w:rFonts w:ascii="Aptos" w:hAnsi="Aptos"/>
        </w:rPr>
        <w:t>neighbourhood</w:t>
      </w:r>
      <w:proofErr w:type="spellEnd"/>
      <w:r w:rsidRPr="007C104B">
        <w:rPr>
          <w:rFonts w:ascii="Aptos" w:hAnsi="Aptos"/>
        </w:rPr>
        <w:t xml:space="preserve"> characteristics are repeatedly identified as key determinants of housing satisfaction and relocation intentions (Abramsson and Andersson 2015; Wiles et al. 2012). At the same time, the symbolic and emotional meaning of home—particularly attachment to place and community—plays a critical role in shaping preferences (Rowles and Bernard 2013).</w:t>
      </w:r>
    </w:p>
    <w:p w14:paraId="434B089B" w14:textId="77777777" w:rsidR="007F65A7" w:rsidRPr="007C104B" w:rsidRDefault="007F65A7" w:rsidP="007F65A7">
      <w:pPr>
        <w:pStyle w:val="NormalWeb"/>
        <w:rPr>
          <w:rFonts w:ascii="Aptos" w:hAnsi="Aptos"/>
        </w:rPr>
      </w:pPr>
      <w:r w:rsidRPr="007C104B">
        <w:rPr>
          <w:rFonts w:ascii="Aptos" w:hAnsi="Aptos"/>
        </w:rPr>
        <w:t>Despite growing recognition of these issues, empirical evidence on how older adults value specific residential attributes remains limited. Much of the literature has focused on life-course transitions, housing tenure, and affordability (Beer et al. 2011; Kullberg 2005), but relatively few studies quantify trade-offs among housing and locational characteristics. This lack of quantitative evidence constrains the ability of planners and policymakers to anticipate future housing needs in ageing societies.</w:t>
      </w:r>
    </w:p>
    <w:bookmarkEnd w:id="4"/>
    <w:p w14:paraId="3095FB8D" w14:textId="18A7629C" w:rsidR="007F65A7" w:rsidRPr="007C104B" w:rsidRDefault="007F65A7" w:rsidP="007F65A7">
      <w:pPr>
        <w:rPr>
          <w:rFonts w:ascii="Aptos" w:hAnsi="Aptos"/>
        </w:rPr>
      </w:pPr>
    </w:p>
    <w:p w14:paraId="04E01084" w14:textId="3B0DBA0D" w:rsidR="007F65A7" w:rsidRPr="007C104B" w:rsidRDefault="007F65A7" w:rsidP="007F65A7">
      <w:pPr>
        <w:pStyle w:val="Heading2"/>
        <w:rPr>
          <w:rFonts w:ascii="Aptos" w:hAnsi="Aptos"/>
          <w:lang w:val="en-US"/>
        </w:rPr>
      </w:pPr>
      <w:bookmarkStart w:id="5" w:name="_Hlk212627420"/>
      <w:r w:rsidRPr="007C104B">
        <w:rPr>
          <w:rFonts w:ascii="Aptos" w:hAnsi="Aptos"/>
          <w:lang w:val="en-US"/>
        </w:rPr>
        <w:t>Discrete Choice Experiments in Housing Research</w:t>
      </w:r>
    </w:p>
    <w:p w14:paraId="22E64596" w14:textId="77777777" w:rsidR="007F65A7" w:rsidRPr="007C104B" w:rsidRDefault="007F65A7" w:rsidP="007F65A7">
      <w:pPr>
        <w:pStyle w:val="NormalWeb"/>
        <w:rPr>
          <w:rFonts w:ascii="Aptos" w:hAnsi="Aptos"/>
        </w:rPr>
      </w:pPr>
      <w:r w:rsidRPr="007C104B">
        <w:rPr>
          <w:rFonts w:ascii="Aptos" w:hAnsi="Aptos"/>
        </w:rPr>
        <w:t xml:space="preserve">Discrete choice experiments (DCEs) have emerged as a powerful tool to examine preferences for housing and </w:t>
      </w:r>
      <w:proofErr w:type="spellStart"/>
      <w:r w:rsidRPr="007C104B">
        <w:rPr>
          <w:rFonts w:ascii="Aptos" w:hAnsi="Aptos"/>
        </w:rPr>
        <w:t>neighbourhood</w:t>
      </w:r>
      <w:proofErr w:type="spellEnd"/>
      <w:r w:rsidRPr="007C104B">
        <w:rPr>
          <w:rFonts w:ascii="Aptos" w:hAnsi="Aptos"/>
        </w:rPr>
        <w:t xml:space="preserve"> attributes, particularly when market data are insufficient or unavailable. The approach, rooted in the framework of random utility theory (McFadden 1974; Louviere et al. 2000), allows researchers to infer the relative importance of different features by observing choices among hypothetical alternatives. Compared with revealed-preference approaches, DCEs provide greater control over attribute variation and can capture preferences for policy-relevant or non-market goods.</w:t>
      </w:r>
    </w:p>
    <w:p w14:paraId="770856B8" w14:textId="77777777" w:rsidR="007F65A7" w:rsidRPr="007C104B" w:rsidRDefault="007F65A7" w:rsidP="007F65A7">
      <w:pPr>
        <w:pStyle w:val="NormalWeb"/>
        <w:rPr>
          <w:rFonts w:ascii="Aptos" w:hAnsi="Aptos"/>
        </w:rPr>
      </w:pPr>
      <w:r w:rsidRPr="007C104B">
        <w:rPr>
          <w:rFonts w:ascii="Aptos" w:hAnsi="Aptos"/>
        </w:rPr>
        <w:t xml:space="preserve">Applications of DCEs to housing have expanded in recent decades. Early studies focused primarily on environmental amenities and locational factors, such as proximity to green spaces, transit, and urban services (Earnhart 2002; Cho et al. 2005; Liao et al. 2015). More recent work has integrated socio-demographic and </w:t>
      </w:r>
      <w:proofErr w:type="spellStart"/>
      <w:r w:rsidRPr="007C104B">
        <w:rPr>
          <w:rFonts w:ascii="Aptos" w:hAnsi="Aptos"/>
        </w:rPr>
        <w:t>behavioural</w:t>
      </w:r>
      <w:proofErr w:type="spellEnd"/>
      <w:r w:rsidRPr="007C104B">
        <w:rPr>
          <w:rFonts w:ascii="Aptos" w:hAnsi="Aptos"/>
        </w:rPr>
        <w:t xml:space="preserve"> factors to explore heterogeneity in preferences. For example, Caplan et al. (2021) examined residential preferences along Utah’s Wasatch Front and found substantial variation in willingness to pay for amenities such as green space and access to transit. </w:t>
      </w:r>
      <w:proofErr w:type="spellStart"/>
      <w:r w:rsidRPr="007C104B">
        <w:rPr>
          <w:rFonts w:ascii="Aptos" w:hAnsi="Aptos"/>
        </w:rPr>
        <w:t>Ossokina</w:t>
      </w:r>
      <w:proofErr w:type="spellEnd"/>
      <w:r w:rsidRPr="007C104B">
        <w:rPr>
          <w:rFonts w:ascii="Aptos" w:hAnsi="Aptos"/>
        </w:rPr>
        <w:t xml:space="preserve"> and </w:t>
      </w:r>
      <w:proofErr w:type="spellStart"/>
      <w:r w:rsidRPr="007C104B">
        <w:rPr>
          <w:rFonts w:ascii="Aptos" w:hAnsi="Aptos"/>
        </w:rPr>
        <w:t>Arentze</w:t>
      </w:r>
      <w:proofErr w:type="spellEnd"/>
      <w:r w:rsidRPr="007C104B">
        <w:rPr>
          <w:rFonts w:ascii="Aptos" w:hAnsi="Aptos"/>
        </w:rPr>
        <w:t xml:space="preserve"> (2022) demonstrated that housing decisions are reference-dependent, showing how older homeowners in the Netherlands value safety, accessibility, and social cohesion. Similarly, Lee et al. (2025) </w:t>
      </w:r>
      <w:proofErr w:type="spellStart"/>
      <w:r w:rsidRPr="007C104B">
        <w:rPr>
          <w:rFonts w:ascii="Aptos" w:hAnsi="Aptos"/>
        </w:rPr>
        <w:t>analysed</w:t>
      </w:r>
      <w:proofErr w:type="spellEnd"/>
      <w:r w:rsidRPr="007C104B">
        <w:rPr>
          <w:rFonts w:ascii="Aptos" w:hAnsi="Aptos"/>
        </w:rPr>
        <w:t xml:space="preserve"> willingness to pay for circular and affordable housing among younger adults in South Korea, while </w:t>
      </w:r>
      <w:proofErr w:type="spellStart"/>
      <w:r w:rsidRPr="007C104B">
        <w:rPr>
          <w:rFonts w:ascii="Aptos" w:hAnsi="Aptos"/>
        </w:rPr>
        <w:t>Ardeshiri</w:t>
      </w:r>
      <w:proofErr w:type="spellEnd"/>
      <w:r w:rsidRPr="007C104B">
        <w:rPr>
          <w:rFonts w:ascii="Aptos" w:hAnsi="Aptos"/>
        </w:rPr>
        <w:t xml:space="preserve"> et al. (2024) used a dual DCE to distinguish between preferences for owner-occupied and investment properties in Sydney.</w:t>
      </w:r>
    </w:p>
    <w:p w14:paraId="15F3B8C6" w14:textId="77777777" w:rsidR="007F65A7" w:rsidRPr="007C104B" w:rsidRDefault="007F65A7" w:rsidP="007F65A7">
      <w:pPr>
        <w:pStyle w:val="NormalWeb"/>
        <w:rPr>
          <w:rFonts w:ascii="Aptos" w:hAnsi="Aptos"/>
        </w:rPr>
      </w:pPr>
      <w:r w:rsidRPr="007C104B">
        <w:rPr>
          <w:rFonts w:ascii="Aptos" w:hAnsi="Aptos"/>
        </w:rPr>
        <w:t>Together, these studies show that DCEs are well suited to capturing the complexity of residential decision-making and uncovering systematic differences across population groups. Yet, few have explicitly focused on older populations or considered heterogeneity within this demographic. Most DCEs on housing preferences have been conducted among general adult samples, leaving uncertainty about how preferences change with age, retirement, or tenure transitions.</w:t>
      </w:r>
    </w:p>
    <w:bookmarkEnd w:id="5"/>
    <w:p w14:paraId="42043502" w14:textId="584FB7CF" w:rsidR="007F65A7" w:rsidRPr="007C104B" w:rsidRDefault="007F65A7" w:rsidP="007F65A7">
      <w:pPr>
        <w:rPr>
          <w:rFonts w:ascii="Aptos" w:hAnsi="Aptos"/>
        </w:rPr>
      </w:pPr>
    </w:p>
    <w:p w14:paraId="36726698" w14:textId="687EC500" w:rsidR="007F65A7" w:rsidRPr="007C104B" w:rsidRDefault="007F65A7" w:rsidP="007F65A7">
      <w:pPr>
        <w:pStyle w:val="Heading2"/>
        <w:rPr>
          <w:rFonts w:ascii="Aptos" w:hAnsi="Aptos"/>
          <w:lang w:val="en-US"/>
        </w:rPr>
      </w:pPr>
      <w:bookmarkStart w:id="6" w:name="_Hlk212627481"/>
      <w:r w:rsidRPr="007C104B">
        <w:rPr>
          <w:rFonts w:ascii="Aptos" w:hAnsi="Aptos"/>
          <w:lang w:val="en-US"/>
        </w:rPr>
        <w:t>Random Utility Theory</w:t>
      </w:r>
    </w:p>
    <w:p w14:paraId="5DD69907" w14:textId="77777777" w:rsidR="007F65A7" w:rsidRPr="007C104B" w:rsidRDefault="007F65A7" w:rsidP="007F65A7">
      <w:pPr>
        <w:pStyle w:val="NormalWeb"/>
        <w:rPr>
          <w:rFonts w:ascii="Aptos" w:hAnsi="Aptos"/>
        </w:rPr>
      </w:pPr>
      <w:r w:rsidRPr="007C104B">
        <w:rPr>
          <w:rFonts w:ascii="Aptos" w:hAnsi="Aptos"/>
        </w:rPr>
        <w:t xml:space="preserve">The analytical foundation for discrete choice modelling lies in Random Utility Theory (RUT), which provides a </w:t>
      </w:r>
      <w:proofErr w:type="spellStart"/>
      <w:r w:rsidRPr="007C104B">
        <w:rPr>
          <w:rFonts w:ascii="Aptos" w:hAnsi="Aptos"/>
        </w:rPr>
        <w:t>behavioural</w:t>
      </w:r>
      <w:proofErr w:type="spellEnd"/>
      <w:r w:rsidRPr="007C104B">
        <w:rPr>
          <w:rFonts w:ascii="Aptos" w:hAnsi="Aptos"/>
        </w:rPr>
        <w:t xml:space="preserve"> framework for understanding how individuals make choices among competing alternatives. According to RUT, each person associates a certain level of utility with every available option, and the option that yields the highest utility is chosen (McFadden 1974). The total utility that an individual derives from a particular alternative can be expressed as the sum of a systematic component and a random component. The systematic part reflects observable factors such as the attributes of the alternatives and the characteristics of the decision-maker, while the random component captures unobserved influences and measurement errors.</w:t>
      </w:r>
    </w:p>
    <w:p w14:paraId="0CB98A25" w14:textId="77777777" w:rsidR="007F65A7" w:rsidRPr="007C104B" w:rsidRDefault="007F65A7" w:rsidP="007F65A7">
      <w:pPr>
        <w:pStyle w:val="NormalWeb"/>
        <w:rPr>
          <w:rFonts w:ascii="Aptos" w:hAnsi="Aptos"/>
        </w:rPr>
      </w:pPr>
      <w:r w:rsidRPr="007C104B">
        <w:rPr>
          <w:rFonts w:ascii="Aptos" w:hAnsi="Aptos"/>
        </w:rPr>
        <w:lastRenderedPageBreak/>
        <w:t xml:space="preserve">Formally, the probability that an individual selects a given alternative depends on the likelihood that its utility exceeds that of all other available options. This probabilistic treatment of choice </w:t>
      </w:r>
      <w:proofErr w:type="spellStart"/>
      <w:r w:rsidRPr="007C104B">
        <w:rPr>
          <w:rFonts w:ascii="Aptos" w:hAnsi="Aptos"/>
        </w:rPr>
        <w:t>behaviour</w:t>
      </w:r>
      <w:proofErr w:type="spellEnd"/>
      <w:r w:rsidRPr="007C104B">
        <w:rPr>
          <w:rFonts w:ascii="Aptos" w:hAnsi="Aptos"/>
        </w:rPr>
        <w:t xml:space="preserve"> allows researchers to model decision-making under uncertainty, while still inferring the relative importance of attributes. Within this framework, coefficients estimated from discrete choice models represent marginal utilities, and trade-offs between attributes can be expressed as marginal rates of substitution or, when a monetary attribute is included, as willingness-to-pay (WTP) measures.</w:t>
      </w:r>
    </w:p>
    <w:p w14:paraId="44F576CC" w14:textId="77777777" w:rsidR="007F65A7" w:rsidRPr="007C104B" w:rsidRDefault="007F65A7" w:rsidP="007F65A7">
      <w:pPr>
        <w:pStyle w:val="NormalWeb"/>
        <w:rPr>
          <w:rFonts w:ascii="Aptos" w:hAnsi="Aptos"/>
        </w:rPr>
      </w:pPr>
      <w:r w:rsidRPr="007C104B">
        <w:rPr>
          <w:rFonts w:ascii="Aptos" w:hAnsi="Aptos"/>
        </w:rPr>
        <w:t xml:space="preserve">In housing research, RUT offers a flexible and empirically tractable way to </w:t>
      </w:r>
      <w:proofErr w:type="spellStart"/>
      <w:r w:rsidRPr="007C104B">
        <w:rPr>
          <w:rFonts w:ascii="Aptos" w:hAnsi="Aptos"/>
        </w:rPr>
        <w:t>analyse</w:t>
      </w:r>
      <w:proofErr w:type="spellEnd"/>
      <w:r w:rsidRPr="007C104B">
        <w:rPr>
          <w:rFonts w:ascii="Aptos" w:hAnsi="Aptos"/>
        </w:rPr>
        <w:t xml:space="preserve"> how individuals evaluate combinations of dwelling and </w:t>
      </w:r>
      <w:proofErr w:type="spellStart"/>
      <w:r w:rsidRPr="007C104B">
        <w:rPr>
          <w:rFonts w:ascii="Aptos" w:hAnsi="Aptos"/>
        </w:rPr>
        <w:t>neighbourhood</w:t>
      </w:r>
      <w:proofErr w:type="spellEnd"/>
      <w:r w:rsidRPr="007C104B">
        <w:rPr>
          <w:rFonts w:ascii="Aptos" w:hAnsi="Aptos"/>
        </w:rPr>
        <w:t xml:space="preserve"> attributes. It accommodates the idea that housing decisions involve both rational evaluations of objective features—such as price, distance, or accessibility—and subjective considerations related to lifestyle, attachment, and perceived wellbeing. Extensions of the basic model, such as mixed logit and latent class frameworks, relax the assumption of homogeneous preferences by allowing coefficients to vary across individuals or groups. These extensions make RUT particularly suitable for studying heterogeneous populations like older adults, whose housing preferences may differ systematically by age, health status, or socio-economic background.</w:t>
      </w:r>
    </w:p>
    <w:bookmarkEnd w:id="6"/>
    <w:p w14:paraId="17DB4348" w14:textId="054B5506" w:rsidR="007F65A7" w:rsidRPr="007C104B" w:rsidRDefault="007F65A7" w:rsidP="007F65A7">
      <w:pPr>
        <w:rPr>
          <w:rFonts w:ascii="Aptos" w:hAnsi="Aptos"/>
        </w:rPr>
      </w:pPr>
    </w:p>
    <w:p w14:paraId="51B0EC75" w14:textId="36096BF8" w:rsidR="007F65A7" w:rsidRPr="007C104B" w:rsidRDefault="007F65A7" w:rsidP="007F65A7">
      <w:pPr>
        <w:pStyle w:val="Heading2"/>
        <w:rPr>
          <w:rFonts w:ascii="Aptos" w:hAnsi="Aptos"/>
          <w:lang w:val="en-US"/>
        </w:rPr>
      </w:pPr>
      <w:bookmarkStart w:id="7" w:name="_Hlk212627541"/>
      <w:r w:rsidRPr="007C104B">
        <w:rPr>
          <w:rFonts w:ascii="Aptos" w:hAnsi="Aptos"/>
          <w:lang w:val="en-US"/>
        </w:rPr>
        <w:t>Determinants of Preference Heterogeneity</w:t>
      </w:r>
    </w:p>
    <w:p w14:paraId="0B6C3367" w14:textId="77777777" w:rsidR="007F65A7" w:rsidRPr="007C104B" w:rsidRDefault="007F65A7" w:rsidP="007F65A7">
      <w:pPr>
        <w:pStyle w:val="NormalWeb"/>
        <w:rPr>
          <w:rFonts w:ascii="Aptos" w:hAnsi="Aptos"/>
        </w:rPr>
      </w:pPr>
      <w:r w:rsidRPr="007C104B">
        <w:rPr>
          <w:rFonts w:ascii="Aptos" w:hAnsi="Aptos"/>
        </w:rPr>
        <w:t>Housing preferences are rarely uniform across individuals. Economic capacity, household composition, tenure status, and health conditions can all shape how people evaluate residential alternatives. Studies have shown that income influences willingness to pay for proximity and comfort amenities, while tenure reflects differences in security, attachment, and investment orientation (Opoku and Abdul-Muhmin 2010; Wang and Li 2004). Ageing itself introduces new dimensions of heterogeneity, as physical ability, mobility, and social networks evolve over time (Iwarsson et al. 2013).</w:t>
      </w:r>
    </w:p>
    <w:p w14:paraId="50FCA34D" w14:textId="77777777" w:rsidR="007F65A7" w:rsidRPr="007C104B" w:rsidRDefault="007F65A7" w:rsidP="007F65A7">
      <w:pPr>
        <w:pStyle w:val="NormalWeb"/>
        <w:rPr>
          <w:rFonts w:ascii="Aptos" w:hAnsi="Aptos"/>
        </w:rPr>
      </w:pPr>
      <w:r w:rsidRPr="007C104B">
        <w:rPr>
          <w:rFonts w:ascii="Aptos" w:hAnsi="Aptos"/>
        </w:rPr>
        <w:t xml:space="preserve">Recent DCE studies have started to incorporate interaction terms to capture systematic variation in preferences. Caplan et al. (2021) and </w:t>
      </w:r>
      <w:proofErr w:type="spellStart"/>
      <w:r w:rsidRPr="007C104B">
        <w:rPr>
          <w:rFonts w:ascii="Aptos" w:hAnsi="Aptos"/>
        </w:rPr>
        <w:t>Ardeshiri</w:t>
      </w:r>
      <w:proofErr w:type="spellEnd"/>
      <w:r w:rsidRPr="007C104B">
        <w:rPr>
          <w:rFonts w:ascii="Aptos" w:hAnsi="Aptos"/>
        </w:rPr>
        <w:t xml:space="preserve"> et al. (2024) both included demographic and lifestyle interactions to identify heterogeneous effects in mixed logit or latent class frameworks. These studies demonstrate that preferences for attributes such as proximity to amenities, green space, and transport depend strongly on income, age, and household characteristics. However, the evidence base for older populations remains thin, and most findings are context-specific, reflecting local housing systems and welfare regimes.</w:t>
      </w:r>
    </w:p>
    <w:bookmarkEnd w:id="7"/>
    <w:p w14:paraId="0711933F" w14:textId="662AB68D" w:rsidR="007F65A7" w:rsidRPr="007C104B" w:rsidRDefault="007F65A7" w:rsidP="007F65A7">
      <w:pPr>
        <w:rPr>
          <w:rFonts w:ascii="Aptos" w:hAnsi="Aptos"/>
        </w:rPr>
      </w:pPr>
    </w:p>
    <w:p w14:paraId="484A9C4C" w14:textId="67D07B2B" w:rsidR="007F65A7" w:rsidRPr="007C104B" w:rsidRDefault="007F65A7" w:rsidP="007F65A7">
      <w:pPr>
        <w:pStyle w:val="Heading2"/>
        <w:rPr>
          <w:rFonts w:ascii="Aptos" w:hAnsi="Aptos"/>
          <w:lang w:val="en-US"/>
        </w:rPr>
      </w:pPr>
      <w:bookmarkStart w:id="8" w:name="_Hlk212627566"/>
      <w:r w:rsidRPr="007C104B">
        <w:rPr>
          <w:rFonts w:ascii="Aptos" w:hAnsi="Aptos"/>
          <w:lang w:val="en-US"/>
        </w:rPr>
        <w:t>Research Gap and Study Contribution</w:t>
      </w:r>
    </w:p>
    <w:p w14:paraId="715AE33A" w14:textId="77777777" w:rsidR="007F65A7" w:rsidRPr="007C104B" w:rsidRDefault="007F65A7" w:rsidP="007F65A7">
      <w:pPr>
        <w:pStyle w:val="NormalWeb"/>
        <w:rPr>
          <w:rFonts w:ascii="Aptos" w:hAnsi="Aptos"/>
        </w:rPr>
      </w:pPr>
      <w:r w:rsidRPr="007C104B">
        <w:rPr>
          <w:rFonts w:ascii="Aptos" w:hAnsi="Aptos"/>
        </w:rPr>
        <w:t xml:space="preserve">Despite a growing body of work on housing choice and ageing, there remains limited quantitative evidence on how older adults in Northern Europe evaluate alternative </w:t>
      </w:r>
      <w:r w:rsidRPr="007C104B">
        <w:rPr>
          <w:rFonts w:ascii="Aptos" w:hAnsi="Aptos"/>
        </w:rPr>
        <w:lastRenderedPageBreak/>
        <w:t>housing options. Few studies have applied stated-preference methods to capture trade-offs among locational and amenity attributes, and even fewer have considered within-group heterogeneity by age, income, or tenure.</w:t>
      </w:r>
    </w:p>
    <w:p w14:paraId="46CC1D2F" w14:textId="77777777" w:rsidR="007F65A7" w:rsidRPr="007C104B" w:rsidRDefault="007F65A7" w:rsidP="007F65A7">
      <w:pPr>
        <w:pStyle w:val="NormalWeb"/>
        <w:rPr>
          <w:rFonts w:ascii="Aptos" w:hAnsi="Aptos"/>
        </w:rPr>
      </w:pPr>
      <w:r w:rsidRPr="007C104B">
        <w:rPr>
          <w:rFonts w:ascii="Aptos" w:hAnsi="Aptos"/>
        </w:rPr>
        <w:t>This study contributes to closing this gap by employing a discrete choice experiment embedded within a large, national sample of older adults in Sweden. By combining a robust experimental design with mixed logit modelling, we identify key determinants of housing preferences and quantify their associated willingness-to-pay values. In doing so, the study adds new empirical evidence to the literature on ageing and housing, demonstrating how demographic and economic differences translate into distinct patterns of residential choice within an ageing population.</w:t>
      </w:r>
    </w:p>
    <w:bookmarkEnd w:id="8"/>
    <w:p w14:paraId="752AB3BF" w14:textId="337126DB" w:rsidR="007F65A7" w:rsidRPr="007C104B" w:rsidRDefault="007F65A7" w:rsidP="007F65A7">
      <w:pPr>
        <w:pStyle w:val="Heading1"/>
        <w:rPr>
          <w:rFonts w:ascii="Aptos" w:hAnsi="Aptos"/>
          <w:lang w:val="en-US"/>
        </w:rPr>
      </w:pPr>
      <w:r w:rsidRPr="007C104B">
        <w:rPr>
          <w:rFonts w:ascii="Aptos" w:hAnsi="Aptos"/>
          <w:lang w:val="en-US"/>
        </w:rPr>
        <w:t>Study Context</w:t>
      </w:r>
    </w:p>
    <w:p w14:paraId="023E9B6E" w14:textId="16EC5D74" w:rsidR="007F65A7" w:rsidRPr="007C104B" w:rsidRDefault="007F65A7" w:rsidP="007F65A7">
      <w:pPr>
        <w:pStyle w:val="Heading2"/>
        <w:rPr>
          <w:rFonts w:ascii="Aptos" w:hAnsi="Aptos"/>
          <w:lang w:val="en-US"/>
        </w:rPr>
      </w:pPr>
      <w:r w:rsidRPr="007C104B">
        <w:rPr>
          <w:rFonts w:ascii="Aptos" w:hAnsi="Aptos"/>
          <w:lang w:val="en-US"/>
        </w:rPr>
        <w:t>The Swedish Housing and Demographic Landscape</w:t>
      </w:r>
    </w:p>
    <w:p w14:paraId="36DD73F3" w14:textId="77777777" w:rsidR="007F65A7" w:rsidRPr="007C104B" w:rsidRDefault="007F65A7" w:rsidP="007F65A7">
      <w:pPr>
        <w:pStyle w:val="NormalWeb"/>
        <w:rPr>
          <w:rFonts w:ascii="Aptos" w:hAnsi="Aptos"/>
        </w:rPr>
      </w:pPr>
      <w:r w:rsidRPr="007C104B">
        <w:rPr>
          <w:rFonts w:ascii="Aptos" w:hAnsi="Aptos"/>
        </w:rPr>
        <w:t>Sweden, like many European countries, faces the dual challenge of a rapidly ageing population and a housing stock that is ill-suited to the needs of older residents. In 2024, approximately 20 percent of the Swedish population was aged 65 or older, and this share is projected to rise steadily in the coming decades (Statistics Sweden, 2024). While Sweden’s social welfare system promotes independence and ageing in place, the physical and spatial characteristics of much of the existing housing stock reflect an era of urban expansion rather than adaptation to demographic change.</w:t>
      </w:r>
    </w:p>
    <w:p w14:paraId="68B5F277" w14:textId="77777777" w:rsidR="007F65A7" w:rsidRPr="007C104B" w:rsidRDefault="007F65A7" w:rsidP="007F65A7">
      <w:pPr>
        <w:pStyle w:val="NormalWeb"/>
        <w:rPr>
          <w:rFonts w:ascii="Aptos" w:hAnsi="Aptos"/>
        </w:rPr>
      </w:pPr>
      <w:proofErr w:type="gramStart"/>
      <w:r w:rsidRPr="007C104B">
        <w:rPr>
          <w:rFonts w:ascii="Aptos" w:hAnsi="Aptos"/>
        </w:rPr>
        <w:t>The majority of</w:t>
      </w:r>
      <w:proofErr w:type="gramEnd"/>
      <w:r w:rsidRPr="007C104B">
        <w:rPr>
          <w:rFonts w:ascii="Aptos" w:hAnsi="Aptos"/>
        </w:rPr>
        <w:t xml:space="preserve"> older Swedes live in standard dwellings rather than in </w:t>
      </w:r>
      <w:proofErr w:type="spellStart"/>
      <w:r w:rsidRPr="007C104B">
        <w:rPr>
          <w:rFonts w:ascii="Aptos" w:hAnsi="Aptos"/>
        </w:rPr>
        <w:t>specialised</w:t>
      </w:r>
      <w:proofErr w:type="spellEnd"/>
      <w:r w:rsidRPr="007C104B">
        <w:rPr>
          <w:rFonts w:ascii="Aptos" w:hAnsi="Aptos"/>
        </w:rPr>
        <w:t xml:space="preserve"> housing. National surveys show that roughly 94 percent of people aged 65 and above remain in ordinary housing, often in homes that were purchased decades earlier and may not meet accessibility standards or contemporary comfort expectations (Jennbert, 2009). Many of these dwellings </w:t>
      </w:r>
      <w:proofErr w:type="gramStart"/>
      <w:r w:rsidRPr="007C104B">
        <w:rPr>
          <w:rFonts w:ascii="Aptos" w:hAnsi="Aptos"/>
        </w:rPr>
        <w:t>are located in</w:t>
      </w:r>
      <w:proofErr w:type="gramEnd"/>
      <w:r w:rsidRPr="007C104B">
        <w:rPr>
          <w:rFonts w:ascii="Aptos" w:hAnsi="Aptos"/>
        </w:rPr>
        <w:t xml:space="preserve"> suburban or peri-urban areas, requiring access to public transport and local services that are not always available. At the same time, the construction of smaller, accessible units suitable for downsizing has not kept pace with demand, leading to mismatches between housing supply and the evolving preferences of older adults.</w:t>
      </w:r>
    </w:p>
    <w:p w14:paraId="2723B120" w14:textId="77777777" w:rsidR="007F65A7" w:rsidRPr="007C104B" w:rsidRDefault="007F65A7" w:rsidP="007F65A7">
      <w:pPr>
        <w:pStyle w:val="NormalWeb"/>
        <w:rPr>
          <w:rFonts w:ascii="Aptos" w:hAnsi="Aptos"/>
        </w:rPr>
      </w:pPr>
      <w:r w:rsidRPr="007C104B">
        <w:rPr>
          <w:rFonts w:ascii="Aptos" w:hAnsi="Aptos"/>
        </w:rPr>
        <w:t xml:space="preserve">Housing policy in Sweden is </w:t>
      </w:r>
      <w:proofErr w:type="spellStart"/>
      <w:r w:rsidRPr="007C104B">
        <w:rPr>
          <w:rFonts w:ascii="Aptos" w:hAnsi="Aptos"/>
        </w:rPr>
        <w:t>decentralised</w:t>
      </w:r>
      <w:proofErr w:type="spellEnd"/>
      <w:r w:rsidRPr="007C104B">
        <w:rPr>
          <w:rFonts w:ascii="Aptos" w:hAnsi="Aptos"/>
        </w:rPr>
        <w:t xml:space="preserve">, with municipalities holding the main responsibility for ensuring adequate and accessible housing for all residents. National </w:t>
      </w:r>
      <w:proofErr w:type="spellStart"/>
      <w:r w:rsidRPr="007C104B">
        <w:rPr>
          <w:rFonts w:ascii="Aptos" w:hAnsi="Aptos"/>
        </w:rPr>
        <w:t>programmes</w:t>
      </w:r>
      <w:proofErr w:type="spellEnd"/>
      <w:r w:rsidRPr="007C104B">
        <w:rPr>
          <w:rFonts w:ascii="Aptos" w:hAnsi="Aptos"/>
        </w:rPr>
        <w:t xml:space="preserve"> such as </w:t>
      </w:r>
      <w:proofErr w:type="spellStart"/>
      <w:r w:rsidRPr="007C104B">
        <w:rPr>
          <w:rStyle w:val="Emphasis"/>
          <w:rFonts w:ascii="Aptos" w:eastAsiaTheme="majorEastAsia" w:hAnsi="Aptos"/>
        </w:rPr>
        <w:t>bostadsanpassningsbidrag</w:t>
      </w:r>
      <w:proofErr w:type="spellEnd"/>
      <w:r w:rsidRPr="007C104B">
        <w:rPr>
          <w:rFonts w:ascii="Aptos" w:hAnsi="Aptos"/>
        </w:rPr>
        <w:t xml:space="preserve"> (housing adaptation grants) aim to support home modifications for individuals with mobility limitations, while </w:t>
      </w:r>
      <w:proofErr w:type="spellStart"/>
      <w:r w:rsidRPr="007C104B">
        <w:rPr>
          <w:rStyle w:val="Emphasis"/>
          <w:rFonts w:ascii="Aptos" w:eastAsiaTheme="majorEastAsia" w:hAnsi="Aptos"/>
        </w:rPr>
        <w:t>seniorbostäder</w:t>
      </w:r>
      <w:proofErr w:type="spellEnd"/>
      <w:r w:rsidRPr="007C104B">
        <w:rPr>
          <w:rFonts w:ascii="Aptos" w:hAnsi="Aptos"/>
        </w:rPr>
        <w:t xml:space="preserve"> (senior housing) and </w:t>
      </w:r>
      <w:proofErr w:type="spellStart"/>
      <w:r w:rsidRPr="007C104B">
        <w:rPr>
          <w:rStyle w:val="Emphasis"/>
          <w:rFonts w:ascii="Aptos" w:eastAsiaTheme="majorEastAsia" w:hAnsi="Aptos"/>
        </w:rPr>
        <w:t>trygghetsboenden</w:t>
      </w:r>
      <w:proofErr w:type="spellEnd"/>
      <w:r w:rsidRPr="007C104B">
        <w:rPr>
          <w:rFonts w:ascii="Aptos" w:hAnsi="Aptos"/>
        </w:rPr>
        <w:t xml:space="preserve"> (safety or community housing) provide intermediate options between ordinary dwellings and institutional care. Despite these initiatives, the supply of such housing remains uneven across regions, and relocation often depends on individual initiative rather than systematic planning. These dynamics create an environment in which older adults must make complex choices when considering </w:t>
      </w:r>
      <w:proofErr w:type="gramStart"/>
      <w:r w:rsidRPr="007C104B">
        <w:rPr>
          <w:rFonts w:ascii="Aptos" w:hAnsi="Aptos"/>
        </w:rPr>
        <w:t>relocation—</w:t>
      </w:r>
      <w:proofErr w:type="gramEnd"/>
      <w:r w:rsidRPr="007C104B">
        <w:rPr>
          <w:rFonts w:ascii="Aptos" w:hAnsi="Aptos"/>
        </w:rPr>
        <w:t>balancing familiarity and autonomy with accessibility, affordability, and social participation.</w:t>
      </w:r>
    </w:p>
    <w:p w14:paraId="1F4ECFB3" w14:textId="27BDB262" w:rsidR="007F65A7" w:rsidRPr="007C104B" w:rsidRDefault="007F65A7" w:rsidP="007F65A7">
      <w:pPr>
        <w:rPr>
          <w:rFonts w:ascii="Aptos" w:hAnsi="Aptos"/>
        </w:rPr>
      </w:pPr>
    </w:p>
    <w:p w14:paraId="2D82CCE9" w14:textId="333E7E03" w:rsidR="007F65A7" w:rsidRPr="007C104B" w:rsidRDefault="007F65A7" w:rsidP="007F65A7">
      <w:pPr>
        <w:pStyle w:val="Heading2"/>
        <w:rPr>
          <w:rFonts w:ascii="Aptos" w:hAnsi="Aptos"/>
          <w:lang w:val="en-US"/>
        </w:rPr>
      </w:pPr>
      <w:r w:rsidRPr="007C104B">
        <w:rPr>
          <w:rFonts w:ascii="Aptos" w:hAnsi="Aptos"/>
          <w:lang w:val="en-US"/>
        </w:rPr>
        <w:t>The RELOC-AGE Project</w:t>
      </w:r>
    </w:p>
    <w:p w14:paraId="0DFBDA0B" w14:textId="77777777" w:rsidR="007F65A7" w:rsidRPr="007C104B" w:rsidRDefault="007F65A7" w:rsidP="007F65A7">
      <w:pPr>
        <w:pStyle w:val="NormalWeb"/>
        <w:rPr>
          <w:rFonts w:ascii="Aptos" w:hAnsi="Aptos"/>
        </w:rPr>
      </w:pPr>
      <w:r w:rsidRPr="007C104B">
        <w:rPr>
          <w:rFonts w:ascii="Aptos" w:hAnsi="Aptos"/>
        </w:rPr>
        <w:t xml:space="preserve">The present study forms part of the Prospective RELOC-AGE project, a national research </w:t>
      </w:r>
      <w:proofErr w:type="spellStart"/>
      <w:r w:rsidRPr="007C104B">
        <w:rPr>
          <w:rFonts w:ascii="Aptos" w:hAnsi="Aptos"/>
        </w:rPr>
        <w:t>programme</w:t>
      </w:r>
      <w:proofErr w:type="spellEnd"/>
      <w:r w:rsidRPr="007C104B">
        <w:rPr>
          <w:rFonts w:ascii="Aptos" w:hAnsi="Aptos"/>
        </w:rPr>
        <w:t xml:space="preserve"> designed to investigate relocation, housing choice, and wellbeing among older adults in Sweden. The project follows a longitudinal, mixed-methods design that combines survey data, qualitative interviews, and a discrete choice experiment (DCE) to explore housing preferences and decision processes over time.</w:t>
      </w:r>
    </w:p>
    <w:p w14:paraId="11E891D8" w14:textId="77777777" w:rsidR="007F65A7" w:rsidRPr="007C104B" w:rsidRDefault="007F65A7" w:rsidP="007F65A7">
      <w:pPr>
        <w:pStyle w:val="NormalWeb"/>
        <w:rPr>
          <w:rFonts w:ascii="Aptos" w:hAnsi="Aptos"/>
        </w:rPr>
      </w:pPr>
      <w:r w:rsidRPr="007C104B">
        <w:rPr>
          <w:rFonts w:ascii="Aptos" w:hAnsi="Aptos"/>
        </w:rPr>
        <w:t xml:space="preserve">Participants were recruited through collaborations with three housing providers: two municipal housing companies and one national cooperative </w:t>
      </w:r>
      <w:proofErr w:type="spellStart"/>
      <w:r w:rsidRPr="007C104B">
        <w:rPr>
          <w:rFonts w:ascii="Aptos" w:hAnsi="Aptos"/>
        </w:rPr>
        <w:t>organisation</w:t>
      </w:r>
      <w:proofErr w:type="spellEnd"/>
      <w:r w:rsidRPr="007C104B">
        <w:rPr>
          <w:rFonts w:ascii="Aptos" w:hAnsi="Aptos"/>
        </w:rPr>
        <w:t xml:space="preserve"> managing tenant-owned dwellings. The study targeted individuals aged 55 years and older who had expressed interest in relocating or registering for housing queues. This approach ensured that respondents were actively considering housing options, rather than reflecting on purely hypothetical choices.</w:t>
      </w:r>
    </w:p>
    <w:p w14:paraId="222FC7A3" w14:textId="77777777" w:rsidR="007F65A7" w:rsidRPr="007C104B" w:rsidRDefault="007F65A7" w:rsidP="007F65A7">
      <w:pPr>
        <w:pStyle w:val="NormalWeb"/>
        <w:rPr>
          <w:rFonts w:ascii="Aptos" w:hAnsi="Aptos"/>
        </w:rPr>
      </w:pPr>
      <w:r w:rsidRPr="007C104B">
        <w:rPr>
          <w:rFonts w:ascii="Aptos" w:hAnsi="Aptos"/>
        </w:rPr>
        <w:t>The RELOC-AGE project was reviewed and approved by the Swedish Ethical Review Authority (</w:t>
      </w:r>
      <w:proofErr w:type="spellStart"/>
      <w:r w:rsidRPr="007C104B">
        <w:rPr>
          <w:rFonts w:ascii="Aptos" w:hAnsi="Aptos"/>
        </w:rPr>
        <w:t>Dnr</w:t>
      </w:r>
      <w:proofErr w:type="spellEnd"/>
      <w:r w:rsidRPr="007C104B">
        <w:rPr>
          <w:rFonts w:ascii="Aptos" w:hAnsi="Aptos"/>
        </w:rPr>
        <w:t xml:space="preserve"> 2020–03457) and adheres to the principles outlined in the Declaration of Helsinki. Participation was voluntary, and informed consent was considered given upon submission of the completed survey. By integrating </w:t>
      </w:r>
      <w:proofErr w:type="spellStart"/>
      <w:r w:rsidRPr="007C104B">
        <w:rPr>
          <w:rFonts w:ascii="Aptos" w:hAnsi="Aptos"/>
        </w:rPr>
        <w:t>behavioural</w:t>
      </w:r>
      <w:proofErr w:type="spellEnd"/>
      <w:r w:rsidRPr="007C104B">
        <w:rPr>
          <w:rFonts w:ascii="Aptos" w:hAnsi="Aptos"/>
        </w:rPr>
        <w:t xml:space="preserve"> and demographic data within a large and diverse sample, RELOC-AGE provides a robust empirical foundation for understanding housing preferences across the later stages of life.</w:t>
      </w:r>
    </w:p>
    <w:p w14:paraId="1E0A8C96" w14:textId="3D2324F4" w:rsidR="007F65A7" w:rsidRPr="007C104B" w:rsidRDefault="007F65A7" w:rsidP="007F65A7">
      <w:pPr>
        <w:rPr>
          <w:rFonts w:ascii="Aptos" w:hAnsi="Aptos"/>
        </w:rPr>
      </w:pPr>
    </w:p>
    <w:p w14:paraId="15C01E34" w14:textId="084D74AB" w:rsidR="007F65A7" w:rsidRPr="007C104B" w:rsidRDefault="007F65A7" w:rsidP="007F65A7">
      <w:pPr>
        <w:pStyle w:val="Heading2"/>
        <w:rPr>
          <w:rFonts w:ascii="Aptos" w:hAnsi="Aptos"/>
          <w:lang w:val="en-US"/>
        </w:rPr>
      </w:pPr>
      <w:r w:rsidRPr="007C104B">
        <w:rPr>
          <w:rFonts w:ascii="Aptos" w:hAnsi="Aptos"/>
          <w:lang w:val="en-US"/>
        </w:rPr>
        <w:t>Empirical Setting for the Discrete Choice Experiment</w:t>
      </w:r>
    </w:p>
    <w:p w14:paraId="06535DDA" w14:textId="77777777" w:rsidR="007F65A7" w:rsidRPr="007C104B" w:rsidRDefault="007F65A7" w:rsidP="007F65A7">
      <w:pPr>
        <w:pStyle w:val="NormalWeb"/>
        <w:rPr>
          <w:rFonts w:ascii="Aptos" w:hAnsi="Aptos"/>
        </w:rPr>
      </w:pPr>
      <w:r w:rsidRPr="007C104B">
        <w:rPr>
          <w:rFonts w:ascii="Aptos" w:hAnsi="Aptos"/>
        </w:rPr>
        <w:t>The discrete choice experiment (DCE) conducted within the RELOC-AGE study was designed to reflect the real-world housing context faced by older Swedes. Respondents were asked to choose between hypothetical housing alternatives that varied systematically in key locational and amenity attributes identified as relevant in earlier research and policy discussions. These included proximity to green areas, shops and services, access to public transportation, parking availability, and monthly housing costs.</w:t>
      </w:r>
    </w:p>
    <w:p w14:paraId="47442712" w14:textId="77777777" w:rsidR="007F65A7" w:rsidRPr="007C104B" w:rsidRDefault="007F65A7" w:rsidP="007F65A7">
      <w:pPr>
        <w:pStyle w:val="NormalWeb"/>
        <w:rPr>
          <w:rFonts w:ascii="Aptos" w:hAnsi="Aptos"/>
        </w:rPr>
      </w:pPr>
      <w:r w:rsidRPr="007C104B">
        <w:rPr>
          <w:rFonts w:ascii="Aptos" w:hAnsi="Aptos"/>
        </w:rPr>
        <w:t>The selection of attributes was guided by both theoretical considerations and practical relevance. In Sweden, spatial accessibility and mobility are increasingly viewed as determinants of quality of life in later life, especially for those who no longer drive or live alone. Similarly, proximity to green areas and social amenities supports health, social inclusion, and independence—objectives central to Sweden’s national strategy for ageing populations. The inclusion of housing cost as a percentage change from each respondent’s current or planned monthly expenditure allowed the experiment to capture realistic financial trade-offs, enabling the estimation of marginal willingness-to-pay values for each attribute.</w:t>
      </w:r>
    </w:p>
    <w:p w14:paraId="1C9BC431" w14:textId="77777777" w:rsidR="007F65A7" w:rsidRPr="007C104B" w:rsidRDefault="007F65A7" w:rsidP="007F65A7">
      <w:pPr>
        <w:pStyle w:val="NormalWeb"/>
        <w:rPr>
          <w:rFonts w:ascii="Aptos" w:hAnsi="Aptos"/>
        </w:rPr>
      </w:pPr>
      <w:r w:rsidRPr="007C104B">
        <w:rPr>
          <w:rFonts w:ascii="Aptos" w:hAnsi="Aptos"/>
        </w:rPr>
        <w:t xml:space="preserve">Together, the demographic composition of Sweden’s ageing population, the </w:t>
      </w:r>
      <w:proofErr w:type="spellStart"/>
      <w:r w:rsidRPr="007C104B">
        <w:rPr>
          <w:rFonts w:ascii="Aptos" w:hAnsi="Aptos"/>
        </w:rPr>
        <w:t>decentralised</w:t>
      </w:r>
      <w:proofErr w:type="spellEnd"/>
      <w:r w:rsidRPr="007C104B">
        <w:rPr>
          <w:rFonts w:ascii="Aptos" w:hAnsi="Aptos"/>
        </w:rPr>
        <w:t xml:space="preserve"> structure of housing policy, and the methodological design of the </w:t>
      </w:r>
      <w:r w:rsidRPr="007C104B">
        <w:rPr>
          <w:rFonts w:ascii="Aptos" w:hAnsi="Aptos"/>
        </w:rPr>
        <w:lastRenderedPageBreak/>
        <w:t>RELOC-AGE project create a unique empirical setting for examining how older individuals balance economic, social, and environmental factors when making relocation decisions. This context provides not only the basis for the present analysis but also a framework for comparing results across international studies on ageing and housing choice.</w:t>
      </w:r>
    </w:p>
    <w:p w14:paraId="586B8037" w14:textId="5C353724" w:rsidR="00A07DD7" w:rsidRPr="00A07DD7" w:rsidRDefault="00A07DD7" w:rsidP="00A07DD7">
      <w:pPr>
        <w:spacing w:after="0" w:line="240" w:lineRule="auto"/>
        <w:rPr>
          <w:rFonts w:ascii="Aptos" w:eastAsia="Times New Roman" w:hAnsi="Aptos" w:cs="Arial"/>
          <w:kern w:val="0"/>
          <w:lang w:val="en-US"/>
          <w14:ligatures w14:val="none"/>
        </w:rPr>
      </w:pPr>
    </w:p>
    <w:p w14:paraId="17813386" w14:textId="77777777" w:rsidR="007F65A7" w:rsidRPr="007C104B" w:rsidRDefault="007F65A7" w:rsidP="007F65A7">
      <w:pPr>
        <w:pStyle w:val="Heading1"/>
        <w:rPr>
          <w:rFonts w:ascii="Aptos" w:hAnsi="Aptos"/>
          <w:lang w:val="en-US"/>
        </w:rPr>
      </w:pPr>
      <w:r w:rsidRPr="007C104B">
        <w:rPr>
          <w:rFonts w:ascii="Aptos" w:hAnsi="Aptos"/>
          <w:lang w:val="en-US"/>
        </w:rPr>
        <w:t>Methodology</w:t>
      </w:r>
    </w:p>
    <w:p w14:paraId="52A26A21" w14:textId="77777777" w:rsidR="007F65A7" w:rsidRPr="007C104B" w:rsidRDefault="007F65A7" w:rsidP="007F65A7">
      <w:pPr>
        <w:pStyle w:val="Heading2"/>
        <w:rPr>
          <w:rFonts w:ascii="Aptos" w:hAnsi="Aptos"/>
          <w:lang w:val="en-US"/>
        </w:rPr>
      </w:pPr>
      <w:r w:rsidRPr="007C104B">
        <w:rPr>
          <w:rFonts w:ascii="Aptos" w:hAnsi="Aptos"/>
          <w:lang w:val="en-US"/>
        </w:rPr>
        <w:t>Experimental design and attributes</w:t>
      </w:r>
    </w:p>
    <w:p w14:paraId="3BCE54A5" w14:textId="77777777" w:rsidR="007F65A7" w:rsidRPr="007C104B" w:rsidRDefault="007F65A7" w:rsidP="007F65A7">
      <w:pPr>
        <w:pStyle w:val="NormalWeb"/>
        <w:rPr>
          <w:rFonts w:ascii="Aptos" w:hAnsi="Aptos"/>
        </w:rPr>
      </w:pPr>
      <w:r w:rsidRPr="007C104B">
        <w:rPr>
          <w:rFonts w:ascii="Aptos" w:hAnsi="Aptos"/>
        </w:rPr>
        <w:t>This study employed a discrete choice experiment (DCE) to identify how older adults in Sweden value different housing and locational attributes when considering relocation. DCEs are well suited for examining residential preferences because they simulate real-world decision-making in a controlled environment and allow the estimation of trade-offs between multiple attributes. Respondents are presented with a set of hypothetical housing alternatives and asked to select their preferred option in each choice scenario. By systematically varying the attribute levels across these scenarios, researchers can infer the relative importance of each attribute and estimate respondents’ willingness to pay for improvements.</w:t>
      </w:r>
    </w:p>
    <w:p w14:paraId="759223EA" w14:textId="77777777" w:rsidR="007F65A7" w:rsidRPr="007C104B" w:rsidRDefault="007F65A7" w:rsidP="007F65A7">
      <w:pPr>
        <w:pStyle w:val="NormalWeb"/>
        <w:rPr>
          <w:rFonts w:ascii="Aptos" w:hAnsi="Aptos"/>
        </w:rPr>
      </w:pPr>
      <w:r w:rsidRPr="007C104B">
        <w:rPr>
          <w:rFonts w:ascii="Aptos" w:hAnsi="Aptos"/>
        </w:rPr>
        <w:t xml:space="preserve">The selection of attributes and their levels was guided by a combination of literature review, expert consultation, and pilot testing. Attributes were chosen to reflect key elements of housing and </w:t>
      </w:r>
      <w:proofErr w:type="spellStart"/>
      <w:r w:rsidRPr="007C104B">
        <w:rPr>
          <w:rFonts w:ascii="Aptos" w:hAnsi="Aptos"/>
        </w:rPr>
        <w:t>neighbourhood</w:t>
      </w:r>
      <w:proofErr w:type="spellEnd"/>
      <w:r w:rsidRPr="007C104B">
        <w:rPr>
          <w:rFonts w:ascii="Aptos" w:hAnsi="Aptos"/>
        </w:rPr>
        <w:t xml:space="preserve"> quality that are particularly relevant for older adults: proximity to green areas, proximity to shops and services, access to public transport, availability of parking, and monthly housing cost. These factors were identified in earlier research as critical determinants of quality of life and residential satisfaction in later life (Caplan et al. 2021; </w:t>
      </w:r>
      <w:proofErr w:type="spellStart"/>
      <w:r w:rsidRPr="007C104B">
        <w:rPr>
          <w:rFonts w:ascii="Aptos" w:hAnsi="Aptos"/>
        </w:rPr>
        <w:t>Ossokina</w:t>
      </w:r>
      <w:proofErr w:type="spellEnd"/>
      <w:r w:rsidRPr="007C104B">
        <w:rPr>
          <w:rFonts w:ascii="Aptos" w:hAnsi="Aptos"/>
        </w:rPr>
        <w:t xml:space="preserve"> and </w:t>
      </w:r>
      <w:proofErr w:type="spellStart"/>
      <w:r w:rsidRPr="007C104B">
        <w:rPr>
          <w:rFonts w:ascii="Aptos" w:hAnsi="Aptos"/>
        </w:rPr>
        <w:t>Arentze</w:t>
      </w:r>
      <w:proofErr w:type="spellEnd"/>
      <w:r w:rsidRPr="007C104B">
        <w:rPr>
          <w:rFonts w:ascii="Aptos" w:hAnsi="Aptos"/>
        </w:rPr>
        <w:t xml:space="preserve"> 2022; Iwarsson et al. 2013).</w:t>
      </w:r>
    </w:p>
    <w:p w14:paraId="0278D062" w14:textId="77777777" w:rsidR="007F65A7" w:rsidRPr="007C104B" w:rsidRDefault="007F65A7" w:rsidP="007F65A7">
      <w:pPr>
        <w:pStyle w:val="NormalWeb"/>
        <w:rPr>
          <w:rFonts w:ascii="Aptos" w:hAnsi="Aptos"/>
        </w:rPr>
      </w:pPr>
      <w:r w:rsidRPr="007C104B">
        <w:rPr>
          <w:rFonts w:ascii="Aptos" w:hAnsi="Aptos"/>
        </w:rPr>
        <w:t xml:space="preserve">Each attribute was assigned three to five levels to capture realistic variations observed in the Swedish housing context. For example, distance to green areas and shops was expressed as being within 500 </w:t>
      </w:r>
      <w:proofErr w:type="spellStart"/>
      <w:r w:rsidRPr="007C104B">
        <w:rPr>
          <w:rFonts w:ascii="Aptos" w:hAnsi="Aptos"/>
        </w:rPr>
        <w:t>metres</w:t>
      </w:r>
      <w:proofErr w:type="spellEnd"/>
      <w:r w:rsidRPr="007C104B">
        <w:rPr>
          <w:rFonts w:ascii="Aptos" w:hAnsi="Aptos"/>
        </w:rPr>
        <w:t xml:space="preserve">, 5 </w:t>
      </w:r>
      <w:proofErr w:type="spellStart"/>
      <w:r w:rsidRPr="007C104B">
        <w:rPr>
          <w:rFonts w:ascii="Aptos" w:hAnsi="Aptos"/>
        </w:rPr>
        <w:t>kilometres</w:t>
      </w:r>
      <w:proofErr w:type="spellEnd"/>
      <w:r w:rsidRPr="007C104B">
        <w:rPr>
          <w:rFonts w:ascii="Aptos" w:hAnsi="Aptos"/>
        </w:rPr>
        <w:t xml:space="preserve">, or 15 </w:t>
      </w:r>
      <w:proofErr w:type="spellStart"/>
      <w:r w:rsidRPr="007C104B">
        <w:rPr>
          <w:rFonts w:ascii="Aptos" w:hAnsi="Aptos"/>
        </w:rPr>
        <w:t>kilometres</w:t>
      </w:r>
      <w:proofErr w:type="spellEnd"/>
      <w:r w:rsidRPr="007C104B">
        <w:rPr>
          <w:rFonts w:ascii="Aptos" w:hAnsi="Aptos"/>
        </w:rPr>
        <w:t xml:space="preserve">, while access to public transport was represented as the distance to the nearest stop (300, 600, or 900 </w:t>
      </w:r>
      <w:proofErr w:type="spellStart"/>
      <w:r w:rsidRPr="007C104B">
        <w:rPr>
          <w:rFonts w:ascii="Aptos" w:hAnsi="Aptos"/>
        </w:rPr>
        <w:t>metres</w:t>
      </w:r>
      <w:proofErr w:type="spellEnd"/>
      <w:r w:rsidRPr="007C104B">
        <w:rPr>
          <w:rFonts w:ascii="Aptos" w:hAnsi="Aptos"/>
        </w:rPr>
        <w:t xml:space="preserve">). Parking availability was expressed as no reserved parking, </w:t>
      </w:r>
      <w:proofErr w:type="gramStart"/>
      <w:r w:rsidRPr="007C104B">
        <w:rPr>
          <w:rFonts w:ascii="Aptos" w:hAnsi="Aptos"/>
        </w:rPr>
        <w:t>a reserved</w:t>
      </w:r>
      <w:proofErr w:type="gramEnd"/>
      <w:r w:rsidRPr="007C104B">
        <w:rPr>
          <w:rFonts w:ascii="Aptos" w:hAnsi="Aptos"/>
        </w:rPr>
        <w:t xml:space="preserve"> space, or </w:t>
      </w:r>
      <w:proofErr w:type="gramStart"/>
      <w:r w:rsidRPr="007C104B">
        <w:rPr>
          <w:rFonts w:ascii="Aptos" w:hAnsi="Aptos"/>
        </w:rPr>
        <w:t>a reserved</w:t>
      </w:r>
      <w:proofErr w:type="gramEnd"/>
      <w:r w:rsidRPr="007C104B">
        <w:rPr>
          <w:rFonts w:ascii="Aptos" w:hAnsi="Aptos"/>
        </w:rPr>
        <w:t xml:space="preserve"> garage. Monthly housing cost was presented as a percentage change relative to the respondent’s current or planned expenditure, ranging from 20 percent less to 20 percent more. These levels ensured interpretability of results and enabled the calculation of meaningful willingness-to-pay estimates.</w:t>
      </w:r>
    </w:p>
    <w:p w14:paraId="6FDEE331" w14:textId="77777777" w:rsidR="007F65A7" w:rsidRPr="007C104B" w:rsidRDefault="007F65A7" w:rsidP="007F65A7">
      <w:pPr>
        <w:pStyle w:val="NormalWeb"/>
        <w:rPr>
          <w:rFonts w:ascii="Aptos" w:hAnsi="Aptos"/>
        </w:rPr>
      </w:pPr>
      <w:r w:rsidRPr="007C104B">
        <w:rPr>
          <w:rFonts w:ascii="Aptos" w:hAnsi="Aptos"/>
        </w:rPr>
        <w:t xml:space="preserve">To reduce cognitive burden, a D-optimal fractional factorial design was generated to select a subset of efficient choice sets from the full factorial combination of attribute levels. Each respondent was presented with nine choice scenarios, each containing two housing alternatives that varied in the attributes listed above. Prior to the experiment, respondents were provided with clear definitions and visual examples to </w:t>
      </w:r>
      <w:r w:rsidRPr="007C104B">
        <w:rPr>
          <w:rFonts w:ascii="Aptos" w:hAnsi="Aptos"/>
        </w:rPr>
        <w:lastRenderedPageBreak/>
        <w:t>ensure consistent interpretation of each attribute. Pilot testing confirmed that the number of tasks and attribute descriptions were appropriate for the target population.</w:t>
      </w:r>
    </w:p>
    <w:p w14:paraId="54BEB35B" w14:textId="77777777" w:rsidR="007F65A7" w:rsidRPr="007C104B" w:rsidRDefault="007F65A7" w:rsidP="007F65A7">
      <w:pPr>
        <w:pStyle w:val="Heading2"/>
        <w:rPr>
          <w:rFonts w:ascii="Aptos" w:hAnsi="Aptos"/>
          <w:lang w:val="en-US"/>
        </w:rPr>
      </w:pPr>
      <w:r w:rsidRPr="007C104B">
        <w:rPr>
          <w:rFonts w:ascii="Aptos" w:hAnsi="Aptos"/>
          <w:lang w:val="en-US"/>
        </w:rPr>
        <w:t>Data collection and sample</w:t>
      </w:r>
    </w:p>
    <w:p w14:paraId="32F391D6" w14:textId="77777777" w:rsidR="007F65A7" w:rsidRPr="007C104B" w:rsidRDefault="007F65A7" w:rsidP="007F65A7">
      <w:pPr>
        <w:pStyle w:val="NormalWeb"/>
        <w:rPr>
          <w:rFonts w:ascii="Aptos" w:hAnsi="Aptos"/>
        </w:rPr>
      </w:pPr>
      <w:r w:rsidRPr="007C104B">
        <w:rPr>
          <w:rFonts w:ascii="Aptos" w:hAnsi="Aptos"/>
        </w:rPr>
        <w:t>Data were collected in May 2024 as part of the follow-up survey of the Prospective RELOC-AGE project. Participants were recruited from three housing companies and represented a geographically diverse sample of older adults across Sweden. Eligible participants were aged 55 years or older, had expressed interest in moving, and were registered with at least one of the collaborating housing providers. Respondents completed the web-based survey independently, and participation was voluntary. Ethical approval was granted by the Swedish Ethical Review Authority (</w:t>
      </w:r>
      <w:proofErr w:type="spellStart"/>
      <w:r w:rsidRPr="007C104B">
        <w:rPr>
          <w:rFonts w:ascii="Aptos" w:hAnsi="Aptos"/>
        </w:rPr>
        <w:t>Dnr</w:t>
      </w:r>
      <w:proofErr w:type="spellEnd"/>
      <w:r w:rsidRPr="007C104B">
        <w:rPr>
          <w:rFonts w:ascii="Aptos" w:hAnsi="Aptos"/>
        </w:rPr>
        <w:t xml:space="preserve"> 2020–03457).</w:t>
      </w:r>
    </w:p>
    <w:p w14:paraId="452E882C" w14:textId="77777777" w:rsidR="007F65A7" w:rsidRPr="007C104B" w:rsidRDefault="007F65A7" w:rsidP="007F65A7">
      <w:pPr>
        <w:pStyle w:val="NormalWeb"/>
        <w:rPr>
          <w:rFonts w:ascii="Aptos" w:hAnsi="Aptos"/>
        </w:rPr>
      </w:pPr>
      <w:r w:rsidRPr="007C104B">
        <w:rPr>
          <w:rFonts w:ascii="Aptos" w:hAnsi="Aptos"/>
        </w:rPr>
        <w:t>A total of 1,247 individuals were invited to participate, and 957 completed the discrete choice experiment, corresponding to a response rate of 73 percent. The final sample included both homeowners (n = 790) and renters (n = 167), with a mean age of 72 years and 55 percent women. Most respondents were retired, lived in one- or two-person households, and resided in urban or semi-urban areas. These characteristics broadly reflect the demographic profile of Sweden’s ageing population, lending confidence to the representativeness of the data.</w:t>
      </w:r>
    </w:p>
    <w:p w14:paraId="252ADA20" w14:textId="77777777" w:rsidR="007F65A7" w:rsidRPr="007C104B" w:rsidRDefault="007F65A7" w:rsidP="007F65A7">
      <w:pPr>
        <w:pStyle w:val="Heading2"/>
        <w:rPr>
          <w:rFonts w:ascii="Aptos" w:hAnsi="Aptos"/>
          <w:lang w:val="en-US"/>
        </w:rPr>
      </w:pPr>
      <w:r w:rsidRPr="007C104B">
        <w:rPr>
          <w:rFonts w:ascii="Aptos" w:hAnsi="Aptos"/>
          <w:lang w:val="en-US"/>
        </w:rPr>
        <w:t>Econometric model</w:t>
      </w:r>
    </w:p>
    <w:p w14:paraId="77FEC4CE" w14:textId="77777777" w:rsidR="007F65A7" w:rsidRPr="007C104B" w:rsidRDefault="007F65A7" w:rsidP="007F65A7">
      <w:pPr>
        <w:pStyle w:val="NormalWeb"/>
        <w:rPr>
          <w:rFonts w:ascii="Aptos" w:hAnsi="Aptos"/>
        </w:rPr>
      </w:pPr>
      <w:r w:rsidRPr="007C104B">
        <w:rPr>
          <w:rFonts w:ascii="Aptos" w:hAnsi="Aptos"/>
        </w:rPr>
        <w:t xml:space="preserve">Respondents’ choices were </w:t>
      </w:r>
      <w:proofErr w:type="spellStart"/>
      <w:r w:rsidRPr="007C104B">
        <w:rPr>
          <w:rFonts w:ascii="Aptos" w:hAnsi="Aptos"/>
        </w:rPr>
        <w:t>analysed</w:t>
      </w:r>
      <w:proofErr w:type="spellEnd"/>
      <w:r w:rsidRPr="007C104B">
        <w:rPr>
          <w:rFonts w:ascii="Aptos" w:hAnsi="Aptos"/>
        </w:rPr>
        <w:t xml:space="preserve"> within the framework of random utility theory, which assumes that </w:t>
      </w:r>
      <w:proofErr w:type="gramStart"/>
      <w:r w:rsidRPr="007C104B">
        <w:rPr>
          <w:rFonts w:ascii="Aptos" w:hAnsi="Aptos"/>
        </w:rPr>
        <w:t>each individual</w:t>
      </w:r>
      <w:proofErr w:type="gramEnd"/>
      <w:r w:rsidRPr="007C104B">
        <w:rPr>
          <w:rFonts w:ascii="Aptos" w:hAnsi="Aptos"/>
        </w:rPr>
        <w:t xml:space="preserve"> selects the housing alternative that provides the greatest perceived utility. The utility that individual </w:t>
      </w:r>
      <w:proofErr w:type="spellStart"/>
      <w:r w:rsidRPr="007C104B">
        <w:rPr>
          <w:rStyle w:val="Emphasis"/>
          <w:rFonts w:ascii="Aptos" w:eastAsiaTheme="majorEastAsia" w:hAnsi="Aptos"/>
        </w:rPr>
        <w:t>i</w:t>
      </w:r>
      <w:proofErr w:type="spellEnd"/>
      <w:r w:rsidRPr="007C104B">
        <w:rPr>
          <w:rFonts w:ascii="Aptos" w:hAnsi="Aptos"/>
        </w:rPr>
        <w:t xml:space="preserve"> </w:t>
      </w:r>
      <w:proofErr w:type="gramStart"/>
      <w:r w:rsidRPr="007C104B">
        <w:rPr>
          <w:rFonts w:ascii="Aptos" w:hAnsi="Aptos"/>
        </w:rPr>
        <w:t>associates</w:t>
      </w:r>
      <w:proofErr w:type="gramEnd"/>
      <w:r w:rsidRPr="007C104B">
        <w:rPr>
          <w:rFonts w:ascii="Aptos" w:hAnsi="Aptos"/>
        </w:rPr>
        <w:t xml:space="preserve"> with alternative </w:t>
      </w:r>
      <w:r w:rsidRPr="007C104B">
        <w:rPr>
          <w:rStyle w:val="Emphasis"/>
          <w:rFonts w:ascii="Aptos" w:eastAsiaTheme="majorEastAsia" w:hAnsi="Aptos"/>
        </w:rPr>
        <w:t>j</w:t>
      </w:r>
      <w:r w:rsidRPr="007C104B">
        <w:rPr>
          <w:rFonts w:ascii="Aptos" w:hAnsi="Aptos"/>
        </w:rPr>
        <w:t xml:space="preserve"> in choice task </w:t>
      </w:r>
      <w:r w:rsidRPr="007C104B">
        <w:rPr>
          <w:rStyle w:val="Emphasis"/>
          <w:rFonts w:ascii="Aptos" w:eastAsiaTheme="majorEastAsia" w:hAnsi="Aptos"/>
        </w:rPr>
        <w:t>t</w:t>
      </w:r>
      <w:r w:rsidRPr="007C104B">
        <w:rPr>
          <w:rFonts w:ascii="Aptos" w:hAnsi="Aptos"/>
        </w:rPr>
        <w:t xml:space="preserve"> can be expressed as the sum of a systematic component and a random error term. The systematic component is a function of the observed attributes of the alternative, while the random term captures unobserved influences.</w:t>
      </w:r>
    </w:p>
    <w:p w14:paraId="03D1021C" w14:textId="77777777" w:rsidR="007F65A7" w:rsidRPr="007C104B" w:rsidRDefault="007F65A7" w:rsidP="007F65A7">
      <w:pPr>
        <w:pStyle w:val="NormalWeb"/>
        <w:rPr>
          <w:rFonts w:ascii="Aptos" w:hAnsi="Aptos"/>
        </w:rPr>
      </w:pPr>
      <w:r w:rsidRPr="007C104B">
        <w:rPr>
          <w:rFonts w:ascii="Aptos" w:hAnsi="Aptos"/>
        </w:rPr>
        <w:t>We first estimated multinomial logit (MNL) models as a baseline, assuming homogeneous preferences and independently distributed errors. Although simple, the MNL model provides a useful reference for assessing model fit and directional consistency of coefficients. To account for unobserved heterogeneity in preferences, we then estimated mixed logit (ML) models, allowing selected parameters to vary randomly across individuals. In the ML model, the coefficients of non-monetary attributes are assumed to follow a normal distribution, while the coefficient of the cost attribute is fixed to facilitate the computation of monetary trade-offs.</w:t>
      </w:r>
    </w:p>
    <w:p w14:paraId="044A959C" w14:textId="77777777" w:rsidR="007F65A7" w:rsidRPr="007C104B" w:rsidRDefault="007F65A7" w:rsidP="007F65A7">
      <w:pPr>
        <w:pStyle w:val="NormalWeb"/>
        <w:rPr>
          <w:rFonts w:ascii="Aptos" w:hAnsi="Aptos"/>
        </w:rPr>
      </w:pPr>
      <w:r w:rsidRPr="007C104B">
        <w:rPr>
          <w:rFonts w:ascii="Aptos" w:hAnsi="Aptos"/>
        </w:rPr>
        <w:t xml:space="preserve">Parameters were estimated by simulated maximum likelihood using 100 Sobol draws per respondent. Model fit was assessed using standard measures such as log-likelihood, Akaike and Bayesian information criteria, and McFadden’s pseudo-R². Mixed logit estimation was performed using the R package </w:t>
      </w:r>
      <w:proofErr w:type="spellStart"/>
      <w:r w:rsidRPr="007C104B">
        <w:rPr>
          <w:rStyle w:val="Emphasis"/>
          <w:rFonts w:ascii="Aptos" w:eastAsiaTheme="majorEastAsia" w:hAnsi="Aptos"/>
        </w:rPr>
        <w:t>logitr</w:t>
      </w:r>
      <w:proofErr w:type="spellEnd"/>
      <w:r w:rsidRPr="007C104B">
        <w:rPr>
          <w:rFonts w:ascii="Aptos" w:hAnsi="Aptos"/>
        </w:rPr>
        <w:t xml:space="preserve"> (Helveston 2023), which provides flexible estimation routines for both MNL and ML specifications.</w:t>
      </w:r>
    </w:p>
    <w:p w14:paraId="3C5A464F" w14:textId="77777777" w:rsidR="007F65A7" w:rsidRPr="007C104B" w:rsidRDefault="007F65A7" w:rsidP="007F65A7">
      <w:pPr>
        <w:pStyle w:val="Heading2"/>
        <w:rPr>
          <w:rFonts w:ascii="Aptos" w:hAnsi="Aptos"/>
          <w:lang w:val="en-US"/>
        </w:rPr>
      </w:pPr>
      <w:r w:rsidRPr="007C104B">
        <w:rPr>
          <w:rFonts w:ascii="Aptos" w:hAnsi="Aptos"/>
          <w:lang w:val="en-US"/>
        </w:rPr>
        <w:lastRenderedPageBreak/>
        <w:t>Calculation of willingness to pay</w:t>
      </w:r>
    </w:p>
    <w:p w14:paraId="6E4806DC" w14:textId="77777777" w:rsidR="007F65A7" w:rsidRPr="007C104B" w:rsidRDefault="007F65A7" w:rsidP="007F65A7">
      <w:pPr>
        <w:pStyle w:val="NormalWeb"/>
        <w:rPr>
          <w:rFonts w:ascii="Aptos" w:hAnsi="Aptos"/>
        </w:rPr>
      </w:pPr>
      <w:r w:rsidRPr="007C104B">
        <w:rPr>
          <w:rFonts w:ascii="Aptos" w:hAnsi="Aptos"/>
        </w:rPr>
        <w:t xml:space="preserve">To facilitate interpretation, coefficients were converted into marginal willingness-to-pay (MWTP) estimates for each attribute. The MWTP for attribute </w:t>
      </w:r>
      <w:r w:rsidRPr="007C104B">
        <w:rPr>
          <w:rStyle w:val="Emphasis"/>
          <w:rFonts w:ascii="Aptos" w:eastAsiaTheme="majorEastAsia" w:hAnsi="Aptos"/>
        </w:rPr>
        <w:t>k</w:t>
      </w:r>
      <w:r w:rsidRPr="007C104B">
        <w:rPr>
          <w:rFonts w:ascii="Aptos" w:hAnsi="Aptos"/>
        </w:rPr>
        <w:t xml:space="preserve"> was computed as the ratio of the attribute’s coefficient to the negative of the cost coefficient. Because the price attribute was specified as a percentage change from </w:t>
      </w:r>
      <w:proofErr w:type="gramStart"/>
      <w:r w:rsidRPr="007C104B">
        <w:rPr>
          <w:rFonts w:ascii="Aptos" w:hAnsi="Aptos"/>
        </w:rPr>
        <w:t>respondents’</w:t>
      </w:r>
      <w:proofErr w:type="gramEnd"/>
      <w:r w:rsidRPr="007C104B">
        <w:rPr>
          <w:rFonts w:ascii="Aptos" w:hAnsi="Aptos"/>
        </w:rPr>
        <w:t xml:space="preserve"> expected monthly housing cost, MWTP values were scaled by 10 percent of the mean reported cost within each subsample. These estimates represent the amount that respondents are willing to pay per month for improvements in each housing attribute, relative to their current expenditure.</w:t>
      </w:r>
    </w:p>
    <w:p w14:paraId="5C3C0EAC" w14:textId="77777777" w:rsidR="007F65A7" w:rsidRPr="007C104B" w:rsidRDefault="007F65A7" w:rsidP="007F65A7">
      <w:pPr>
        <w:pStyle w:val="NormalWeb"/>
        <w:rPr>
          <w:rFonts w:ascii="Aptos" w:hAnsi="Aptos"/>
        </w:rPr>
      </w:pPr>
      <w:r w:rsidRPr="007C104B">
        <w:rPr>
          <w:rFonts w:ascii="Aptos" w:hAnsi="Aptos"/>
        </w:rPr>
        <w:t>This modelling framework allows for both the estimation of average preferences and the exploration of systematic heterogeneity across key demographic groups. In the following section, we present results for the overall sample and investigate differences by age, income, and tenure status.</w:t>
      </w:r>
    </w:p>
    <w:p w14:paraId="11051DEC" w14:textId="57A0D96F" w:rsidR="00A07DD7" w:rsidRPr="00A07DD7" w:rsidRDefault="00A07DD7" w:rsidP="00A07DD7">
      <w:pPr>
        <w:spacing w:after="0" w:line="240" w:lineRule="auto"/>
        <w:rPr>
          <w:rFonts w:ascii="Aptos" w:eastAsia="Times New Roman" w:hAnsi="Aptos" w:cs="Arial"/>
          <w:kern w:val="0"/>
          <w:lang w:val="en-US"/>
          <w14:ligatures w14:val="none"/>
        </w:rPr>
      </w:pPr>
    </w:p>
    <w:p w14:paraId="0D1CCAB9" w14:textId="77777777" w:rsidR="00033697" w:rsidRPr="007C104B" w:rsidRDefault="00033697" w:rsidP="00033697">
      <w:pPr>
        <w:pStyle w:val="Heading1"/>
        <w:rPr>
          <w:rFonts w:ascii="Aptos" w:hAnsi="Aptos"/>
          <w:lang w:val="en-US"/>
        </w:rPr>
      </w:pPr>
      <w:r w:rsidRPr="007C104B">
        <w:rPr>
          <w:rFonts w:ascii="Aptos" w:hAnsi="Aptos"/>
          <w:lang w:val="en-US"/>
        </w:rPr>
        <w:t>Results</w:t>
      </w:r>
    </w:p>
    <w:p w14:paraId="2499C8B1" w14:textId="77777777" w:rsidR="00033697" w:rsidRPr="007C104B" w:rsidRDefault="00033697" w:rsidP="00033697">
      <w:pPr>
        <w:pStyle w:val="Heading2"/>
        <w:rPr>
          <w:rFonts w:ascii="Aptos" w:hAnsi="Aptos"/>
          <w:lang w:val="en-US"/>
        </w:rPr>
      </w:pPr>
      <w:r w:rsidRPr="007C104B">
        <w:rPr>
          <w:rFonts w:ascii="Aptos" w:hAnsi="Aptos"/>
          <w:lang w:val="en-US"/>
        </w:rPr>
        <w:t>Descriptive statistics</w:t>
      </w:r>
    </w:p>
    <w:p w14:paraId="3AB4EB98" w14:textId="77777777" w:rsidR="00033697" w:rsidRPr="007C104B" w:rsidRDefault="00033697" w:rsidP="00033697">
      <w:pPr>
        <w:pStyle w:val="NormalWeb"/>
        <w:rPr>
          <w:rFonts w:ascii="Aptos" w:hAnsi="Aptos"/>
        </w:rPr>
      </w:pPr>
      <w:r w:rsidRPr="007C104B">
        <w:rPr>
          <w:rFonts w:ascii="Aptos" w:hAnsi="Aptos"/>
        </w:rPr>
        <w:t xml:space="preserve">The sample consisted of 957 respondents aged 55 years and above, of whom 55 percent were women. The mean age was 72 years, with 20 percent aged 55–64, 44 percent aged 65–74, and 36 percent aged 75 or older. Most participants were retired (77 percent) and lived in one- or two-person households (95 percent). </w:t>
      </w:r>
      <w:proofErr w:type="gramStart"/>
      <w:r w:rsidRPr="007C104B">
        <w:rPr>
          <w:rFonts w:ascii="Aptos" w:hAnsi="Aptos"/>
        </w:rPr>
        <w:t>A majority of</w:t>
      </w:r>
      <w:proofErr w:type="gramEnd"/>
      <w:r w:rsidRPr="007C104B">
        <w:rPr>
          <w:rFonts w:ascii="Aptos" w:hAnsi="Aptos"/>
        </w:rPr>
        <w:t xml:space="preserve"> respondents were homeowners (83 percent), and 63 percent lived in apartments or condominiums. Roughly two-thirds lived in city or town locations, while 9 percent lived in rural areas.</w:t>
      </w:r>
    </w:p>
    <w:p w14:paraId="49BEF006" w14:textId="77777777" w:rsidR="00033697" w:rsidRPr="007C104B" w:rsidRDefault="00033697" w:rsidP="00033697">
      <w:pPr>
        <w:pStyle w:val="NormalWeb"/>
        <w:rPr>
          <w:rFonts w:ascii="Aptos" w:hAnsi="Aptos"/>
        </w:rPr>
      </w:pPr>
      <w:r w:rsidRPr="007C104B">
        <w:rPr>
          <w:rFonts w:ascii="Aptos" w:hAnsi="Aptos"/>
        </w:rPr>
        <w:t>Educational attainment was generally high: 48 percent had at least three years of university education. The average monthly household income was 46,700 SEK, and the mean planned monthly housing cost was 10,500 SEK. These values are broadly consistent with the income and expenditure distribution of older Swedish households reported in national statistics, suggesting that the sample is representative of the target population.</w:t>
      </w:r>
    </w:p>
    <w:p w14:paraId="3D0AECCC" w14:textId="77777777" w:rsidR="00033697" w:rsidRPr="007C104B" w:rsidRDefault="00033697" w:rsidP="00033697">
      <w:pPr>
        <w:pStyle w:val="NormalWeb"/>
        <w:rPr>
          <w:rFonts w:ascii="Aptos" w:hAnsi="Aptos"/>
        </w:rPr>
      </w:pPr>
      <w:r w:rsidRPr="007C104B">
        <w:rPr>
          <w:rFonts w:ascii="Aptos" w:hAnsi="Aptos"/>
        </w:rPr>
        <w:t xml:space="preserve">Overall, the descriptive profile indicates that the respondents were relatively healthy, financially stable, and experienced with online </w:t>
      </w:r>
      <w:proofErr w:type="gramStart"/>
      <w:r w:rsidRPr="007C104B">
        <w:rPr>
          <w:rFonts w:ascii="Aptos" w:hAnsi="Aptos"/>
        </w:rPr>
        <w:t>surveys—</w:t>
      </w:r>
      <w:proofErr w:type="gramEnd"/>
      <w:r w:rsidRPr="007C104B">
        <w:rPr>
          <w:rFonts w:ascii="Aptos" w:hAnsi="Aptos"/>
        </w:rPr>
        <w:t>characteristics that facilitated reliable participation in the discrete choice experiment.</w:t>
      </w:r>
    </w:p>
    <w:p w14:paraId="672B270C" w14:textId="77777777" w:rsidR="00033697" w:rsidRPr="007C104B" w:rsidRDefault="00033697" w:rsidP="00033697">
      <w:pPr>
        <w:pStyle w:val="Heading2"/>
        <w:rPr>
          <w:rFonts w:ascii="Aptos" w:hAnsi="Aptos"/>
          <w:lang w:val="en-US"/>
        </w:rPr>
      </w:pPr>
      <w:r w:rsidRPr="007C104B">
        <w:rPr>
          <w:rFonts w:ascii="Aptos" w:hAnsi="Aptos"/>
          <w:lang w:val="en-US"/>
        </w:rPr>
        <w:t>Baseline model results</w:t>
      </w:r>
    </w:p>
    <w:p w14:paraId="7D85E87F" w14:textId="77777777" w:rsidR="00033697" w:rsidRPr="007C104B" w:rsidRDefault="00033697" w:rsidP="00033697">
      <w:pPr>
        <w:pStyle w:val="NormalWeb"/>
        <w:rPr>
          <w:rFonts w:ascii="Aptos" w:hAnsi="Aptos"/>
        </w:rPr>
      </w:pPr>
      <w:r w:rsidRPr="007C104B">
        <w:rPr>
          <w:rFonts w:ascii="Aptos" w:hAnsi="Aptos"/>
        </w:rPr>
        <w:t xml:space="preserve">Table 3 </w:t>
      </w:r>
      <w:proofErr w:type="spellStart"/>
      <w:r w:rsidRPr="007C104B">
        <w:rPr>
          <w:rFonts w:ascii="Aptos" w:hAnsi="Aptos"/>
        </w:rPr>
        <w:t>summarises</w:t>
      </w:r>
      <w:proofErr w:type="spellEnd"/>
      <w:r w:rsidRPr="007C104B">
        <w:rPr>
          <w:rFonts w:ascii="Aptos" w:hAnsi="Aptos"/>
        </w:rPr>
        <w:t xml:space="preserve"> the results from the multinomial logit (MNL) and mixed logit (ML) models estimated for homeowners. The direction and significance of coefficients were consistent across both models, although the mixed logit specification showed </w:t>
      </w:r>
      <w:r w:rsidRPr="007C104B">
        <w:rPr>
          <w:rFonts w:ascii="Aptos" w:hAnsi="Aptos"/>
        </w:rPr>
        <w:lastRenderedPageBreak/>
        <w:t>systematically higher coefficient magnitudes and better model fit. A similar pattern was observed for renters (Table 4).</w:t>
      </w:r>
    </w:p>
    <w:p w14:paraId="15355AFB" w14:textId="77777777" w:rsidR="00033697" w:rsidRPr="007C104B" w:rsidRDefault="00033697" w:rsidP="00033697">
      <w:pPr>
        <w:pStyle w:val="NormalWeb"/>
        <w:rPr>
          <w:rFonts w:ascii="Aptos" w:hAnsi="Aptos"/>
        </w:rPr>
      </w:pPr>
      <w:r w:rsidRPr="007C104B">
        <w:rPr>
          <w:rFonts w:ascii="Aptos" w:hAnsi="Aptos"/>
        </w:rPr>
        <w:t>For both tenure groups, the estimated coefficients confirmed the expected utility ranking of attribute levels. Respondents strongly preferred shorter distances to green areas, shops, and public transportation, as well as access to reserved parking. The coefficient on monthly housing cost was negative and highly significant, consistent with economic theory.</w:t>
      </w:r>
    </w:p>
    <w:p w14:paraId="3AF018FD" w14:textId="77777777" w:rsidR="00033697" w:rsidRPr="007C104B" w:rsidRDefault="00033697" w:rsidP="00033697">
      <w:pPr>
        <w:pStyle w:val="NormalWeb"/>
        <w:rPr>
          <w:rFonts w:ascii="Aptos" w:hAnsi="Aptos"/>
        </w:rPr>
      </w:pPr>
      <w:r w:rsidRPr="007C104B">
        <w:rPr>
          <w:rFonts w:ascii="Aptos" w:hAnsi="Aptos"/>
        </w:rPr>
        <w:t xml:space="preserve">For homeowners, the mixed logit model indicated that proximity to green areas within 500 </w:t>
      </w:r>
      <w:proofErr w:type="spellStart"/>
      <w:r w:rsidRPr="007C104B">
        <w:rPr>
          <w:rFonts w:ascii="Aptos" w:hAnsi="Aptos"/>
        </w:rPr>
        <w:t>metres</w:t>
      </w:r>
      <w:proofErr w:type="spellEnd"/>
      <w:r w:rsidRPr="007C104B">
        <w:rPr>
          <w:rFonts w:ascii="Aptos" w:hAnsi="Aptos"/>
        </w:rPr>
        <w:t xml:space="preserve"> increased utility the most, followed by proximity to shops and access to a reserved garage. The estimated willingness to pay (MWTP) for living within 500 </w:t>
      </w:r>
      <w:proofErr w:type="spellStart"/>
      <w:r w:rsidRPr="007C104B">
        <w:rPr>
          <w:rFonts w:ascii="Aptos" w:hAnsi="Aptos"/>
        </w:rPr>
        <w:t>metres</w:t>
      </w:r>
      <w:proofErr w:type="spellEnd"/>
      <w:r w:rsidRPr="007C104B">
        <w:rPr>
          <w:rFonts w:ascii="Aptos" w:hAnsi="Aptos"/>
        </w:rPr>
        <w:t xml:space="preserve"> of green space was approximately 440 SEK per month, and for shops within 500 </w:t>
      </w:r>
      <w:proofErr w:type="spellStart"/>
      <w:r w:rsidRPr="007C104B">
        <w:rPr>
          <w:rFonts w:ascii="Aptos" w:hAnsi="Aptos"/>
        </w:rPr>
        <w:t>metres</w:t>
      </w:r>
      <w:proofErr w:type="spellEnd"/>
      <w:r w:rsidRPr="007C104B">
        <w:rPr>
          <w:rFonts w:ascii="Aptos" w:hAnsi="Aptos"/>
        </w:rPr>
        <w:t xml:space="preserve"> it was 620 SEK per month. Homeowners were willing to pay about 615 SEK per month for a reserved garage compared with no parking.</w:t>
      </w:r>
    </w:p>
    <w:p w14:paraId="27FB7887" w14:textId="77777777" w:rsidR="00033697" w:rsidRPr="007C104B" w:rsidRDefault="00033697" w:rsidP="00033697">
      <w:pPr>
        <w:pStyle w:val="NormalWeb"/>
        <w:rPr>
          <w:rFonts w:ascii="Aptos" w:hAnsi="Aptos"/>
        </w:rPr>
      </w:pPr>
      <w:r w:rsidRPr="007C104B">
        <w:rPr>
          <w:rFonts w:ascii="Aptos" w:hAnsi="Aptos"/>
        </w:rPr>
        <w:t xml:space="preserve">Renters exhibited similar preferences but stronger sensitivity to locational proximity. Their MWTP for living within 500 </w:t>
      </w:r>
      <w:proofErr w:type="spellStart"/>
      <w:r w:rsidRPr="007C104B">
        <w:rPr>
          <w:rFonts w:ascii="Aptos" w:hAnsi="Aptos"/>
        </w:rPr>
        <w:t>metres</w:t>
      </w:r>
      <w:proofErr w:type="spellEnd"/>
      <w:r w:rsidRPr="007C104B">
        <w:rPr>
          <w:rFonts w:ascii="Aptos" w:hAnsi="Aptos"/>
        </w:rPr>
        <w:t xml:space="preserve"> of green areas and shops was 618 SEK and 637 SEK per month, respectively. Renters also valued public transport accessibility, showing positive utility for stops within 300 or 600 </w:t>
      </w:r>
      <w:proofErr w:type="spellStart"/>
      <w:r w:rsidRPr="007C104B">
        <w:rPr>
          <w:rFonts w:ascii="Aptos" w:hAnsi="Aptos"/>
        </w:rPr>
        <w:t>metres</w:t>
      </w:r>
      <w:proofErr w:type="spellEnd"/>
      <w:r w:rsidRPr="007C104B">
        <w:rPr>
          <w:rFonts w:ascii="Aptos" w:hAnsi="Aptos"/>
        </w:rPr>
        <w:t xml:space="preserve">. For both groups, proximity to amenities outweighed the importance of other physical characteristics, underscoring the relevance of </w:t>
      </w:r>
      <w:proofErr w:type="spellStart"/>
      <w:r w:rsidRPr="007C104B">
        <w:rPr>
          <w:rFonts w:ascii="Aptos" w:hAnsi="Aptos"/>
        </w:rPr>
        <w:t>neighbourhood</w:t>
      </w:r>
      <w:proofErr w:type="spellEnd"/>
      <w:r w:rsidRPr="007C104B">
        <w:rPr>
          <w:rFonts w:ascii="Aptos" w:hAnsi="Aptos"/>
        </w:rPr>
        <w:t xml:space="preserve"> accessibility for older adults.</w:t>
      </w:r>
    </w:p>
    <w:p w14:paraId="754BABFB" w14:textId="77777777" w:rsidR="00033697" w:rsidRPr="007C104B" w:rsidRDefault="00033697" w:rsidP="00033697">
      <w:pPr>
        <w:pStyle w:val="NormalWeb"/>
        <w:rPr>
          <w:rFonts w:ascii="Aptos" w:hAnsi="Aptos"/>
        </w:rPr>
      </w:pPr>
      <w:r w:rsidRPr="007C104B">
        <w:rPr>
          <w:rFonts w:ascii="Aptos" w:hAnsi="Aptos"/>
        </w:rPr>
        <w:t>Mixed logit estimates revealed substantial unobserved heterogeneity across respondents, with significant standard deviations for several random parameters. The model fit improved markedly over the MNL specification (ΔAIC ≈ 12 percent, ΔBIC ≈ 8 percent), supporting the inclusion of random coefficients.</w:t>
      </w:r>
    </w:p>
    <w:p w14:paraId="7311AD53" w14:textId="77777777" w:rsidR="00033697" w:rsidRPr="007C104B" w:rsidRDefault="00033697" w:rsidP="00033697">
      <w:pPr>
        <w:pStyle w:val="Heading2"/>
        <w:rPr>
          <w:rFonts w:ascii="Aptos" w:hAnsi="Aptos"/>
          <w:lang w:val="en-US"/>
        </w:rPr>
      </w:pPr>
      <w:r w:rsidRPr="007C104B">
        <w:rPr>
          <w:rFonts w:ascii="Aptos" w:hAnsi="Aptos"/>
          <w:lang w:val="en-US"/>
        </w:rPr>
        <w:t>Heterogeneity by age</w:t>
      </w:r>
    </w:p>
    <w:p w14:paraId="08332DC9" w14:textId="77777777" w:rsidR="00033697" w:rsidRPr="007C104B" w:rsidRDefault="00033697" w:rsidP="00033697">
      <w:pPr>
        <w:pStyle w:val="NormalWeb"/>
        <w:rPr>
          <w:rFonts w:ascii="Aptos" w:hAnsi="Aptos"/>
        </w:rPr>
      </w:pPr>
      <w:r w:rsidRPr="007C104B">
        <w:rPr>
          <w:rFonts w:ascii="Aptos" w:hAnsi="Aptos"/>
        </w:rPr>
        <w:t>To explore whether preferences varied systematically with age, interaction terms were introduced between attribute levels and three age categories (55–64, 65–74, and 75+ years). Results showed that preferences remained relatively stable between the first two age groups but shifted notably among the oldest respondents.</w:t>
      </w:r>
    </w:p>
    <w:p w14:paraId="2E702966" w14:textId="77777777" w:rsidR="00033697" w:rsidRPr="007C104B" w:rsidRDefault="00033697" w:rsidP="00033697">
      <w:pPr>
        <w:pStyle w:val="NormalWeb"/>
        <w:rPr>
          <w:rFonts w:ascii="Aptos" w:hAnsi="Aptos"/>
        </w:rPr>
      </w:pPr>
      <w:r w:rsidRPr="007C104B">
        <w:rPr>
          <w:rFonts w:ascii="Aptos" w:hAnsi="Aptos"/>
        </w:rPr>
        <w:t>For homeowners aged 75 and above, MWTP for proximity to green areas and shops declined slightly, while the value placed on parking amenities increased. The oldest group was willing to pay approximately 700 SEK per month for a reserved garage and 640 SEK per month for a reserved space—values about 40 percent higher than those of younger groups. This suggests that private and easily accessible parking becomes increasingly important in later life, potentially reflecting mobility limitations and safety concerns.</w:t>
      </w:r>
    </w:p>
    <w:p w14:paraId="1FF0FC6F" w14:textId="77777777" w:rsidR="00033697" w:rsidRPr="007C104B" w:rsidRDefault="00033697" w:rsidP="00033697">
      <w:pPr>
        <w:pStyle w:val="NormalWeb"/>
        <w:rPr>
          <w:rFonts w:ascii="Aptos" w:hAnsi="Aptos"/>
        </w:rPr>
      </w:pPr>
      <w:r w:rsidRPr="007C104B">
        <w:rPr>
          <w:rFonts w:ascii="Aptos" w:hAnsi="Aptos"/>
        </w:rPr>
        <w:t xml:space="preserve">Among renters aged 75 and above, proximity to green areas and shops remained highly valued, but WTP for reserved parking also rose substantially. Older renters expressed less concern with distance to the city </w:t>
      </w:r>
      <w:proofErr w:type="spellStart"/>
      <w:r w:rsidRPr="007C104B">
        <w:rPr>
          <w:rFonts w:ascii="Aptos" w:hAnsi="Aptos"/>
        </w:rPr>
        <w:t>centre</w:t>
      </w:r>
      <w:proofErr w:type="spellEnd"/>
      <w:r w:rsidRPr="007C104B">
        <w:rPr>
          <w:rFonts w:ascii="Aptos" w:hAnsi="Aptos"/>
        </w:rPr>
        <w:t xml:space="preserve"> and more with immediate accessibility and </w:t>
      </w:r>
      <w:r w:rsidRPr="007C104B">
        <w:rPr>
          <w:rFonts w:ascii="Aptos" w:hAnsi="Aptos"/>
        </w:rPr>
        <w:lastRenderedPageBreak/>
        <w:t>comfort. The results highlight a gradual shift from spatial convenience to personal security and autonomy as individuals age.</w:t>
      </w:r>
    </w:p>
    <w:p w14:paraId="7B10E1A6" w14:textId="77777777" w:rsidR="00033697" w:rsidRPr="007C104B" w:rsidRDefault="00033697" w:rsidP="00033697">
      <w:pPr>
        <w:pStyle w:val="Heading2"/>
        <w:rPr>
          <w:rFonts w:ascii="Aptos" w:hAnsi="Aptos"/>
          <w:lang w:val="en-US"/>
        </w:rPr>
      </w:pPr>
      <w:r w:rsidRPr="007C104B">
        <w:rPr>
          <w:rFonts w:ascii="Aptos" w:hAnsi="Aptos"/>
          <w:lang w:val="en-US"/>
        </w:rPr>
        <w:t>Heterogeneity by income and retirement status</w:t>
      </w:r>
    </w:p>
    <w:p w14:paraId="51AD8767" w14:textId="77777777" w:rsidR="00033697" w:rsidRPr="007C104B" w:rsidRDefault="00033697" w:rsidP="00033697">
      <w:pPr>
        <w:pStyle w:val="NormalWeb"/>
        <w:rPr>
          <w:rFonts w:ascii="Aptos" w:hAnsi="Aptos"/>
        </w:rPr>
      </w:pPr>
      <w:r w:rsidRPr="007C104B">
        <w:rPr>
          <w:rFonts w:ascii="Aptos" w:hAnsi="Aptos"/>
        </w:rPr>
        <w:t xml:space="preserve">Differences by income were examined by </w:t>
      </w:r>
      <w:proofErr w:type="gramStart"/>
      <w:r w:rsidRPr="007C104B">
        <w:rPr>
          <w:rFonts w:ascii="Aptos" w:hAnsi="Aptos"/>
        </w:rPr>
        <w:t>interacting</w:t>
      </w:r>
      <w:proofErr w:type="gramEnd"/>
      <w:r w:rsidRPr="007C104B">
        <w:rPr>
          <w:rFonts w:ascii="Aptos" w:hAnsi="Aptos"/>
        </w:rPr>
        <w:t xml:space="preserve"> key attributes with a binary indicator for high-income households (above the sample median). Among retired respondents, preferences were broadly consistent across income levels, but the magnitude of MWTP values differed. High-income homeowners were willing to pay significantly more for parking and proximity to shops, while low-income households </w:t>
      </w:r>
      <w:proofErr w:type="spellStart"/>
      <w:proofErr w:type="gramStart"/>
      <w:r w:rsidRPr="007C104B">
        <w:rPr>
          <w:rFonts w:ascii="Aptos" w:hAnsi="Aptos"/>
        </w:rPr>
        <w:t>prioritised</w:t>
      </w:r>
      <w:proofErr w:type="spellEnd"/>
      <w:proofErr w:type="gramEnd"/>
      <w:r w:rsidRPr="007C104B">
        <w:rPr>
          <w:rFonts w:ascii="Aptos" w:hAnsi="Aptos"/>
        </w:rPr>
        <w:t xml:space="preserve"> green areas and transport access.</w:t>
      </w:r>
    </w:p>
    <w:p w14:paraId="09305C0E" w14:textId="77777777" w:rsidR="00033697" w:rsidRPr="007C104B" w:rsidRDefault="00033697" w:rsidP="00033697">
      <w:pPr>
        <w:pStyle w:val="NormalWeb"/>
        <w:rPr>
          <w:rFonts w:ascii="Aptos" w:hAnsi="Aptos"/>
        </w:rPr>
      </w:pPr>
      <w:r w:rsidRPr="007C104B">
        <w:rPr>
          <w:rFonts w:ascii="Aptos" w:hAnsi="Aptos"/>
        </w:rPr>
        <w:t>Notably, high-income respondents displayed a stronger preference for reserved garages, with MWTP values exceeding 830 SEK per month, compared with 510 SEK among low-income respondents. Renters with higher incomes were also willing to pay more for proximity to shops and transit, suggesting that economic capacity amplifies the value placed on locational amenities.</w:t>
      </w:r>
    </w:p>
    <w:p w14:paraId="1F482C33" w14:textId="77777777" w:rsidR="00033697" w:rsidRPr="007C104B" w:rsidRDefault="00033697" w:rsidP="00033697">
      <w:pPr>
        <w:pStyle w:val="NormalWeb"/>
        <w:rPr>
          <w:rFonts w:ascii="Aptos" w:hAnsi="Aptos"/>
        </w:rPr>
      </w:pPr>
      <w:r w:rsidRPr="007C104B">
        <w:rPr>
          <w:rFonts w:ascii="Aptos" w:hAnsi="Aptos"/>
        </w:rPr>
        <w:t>These results indicate that while the qualitative ranking of preferences remains stable across income groups, the strength of preferences—and consequently the capacity to act upon them—varies with financial resources.</w:t>
      </w:r>
    </w:p>
    <w:p w14:paraId="2ED47353" w14:textId="77777777" w:rsidR="00033697" w:rsidRPr="007C104B" w:rsidRDefault="00033697" w:rsidP="00033697">
      <w:pPr>
        <w:pStyle w:val="Heading2"/>
        <w:rPr>
          <w:rFonts w:ascii="Aptos" w:hAnsi="Aptos"/>
          <w:lang w:val="en-US"/>
        </w:rPr>
      </w:pPr>
      <w:r w:rsidRPr="007C104B">
        <w:rPr>
          <w:rFonts w:ascii="Aptos" w:hAnsi="Aptos"/>
          <w:lang w:val="en-US"/>
        </w:rPr>
        <w:t>Summary of findings</w:t>
      </w:r>
    </w:p>
    <w:p w14:paraId="275905FB" w14:textId="77777777" w:rsidR="00033697" w:rsidRPr="007C104B" w:rsidRDefault="00033697" w:rsidP="00033697">
      <w:pPr>
        <w:pStyle w:val="NormalWeb"/>
        <w:rPr>
          <w:rFonts w:ascii="Aptos" w:hAnsi="Aptos"/>
        </w:rPr>
      </w:pPr>
      <w:r w:rsidRPr="007C104B">
        <w:rPr>
          <w:rFonts w:ascii="Aptos" w:hAnsi="Aptos"/>
        </w:rPr>
        <w:t>Across all model specifications, proximity to daily amenities and green areas emerged as the most important determinants of housing choice among older Swedes. Both homeowners and renters placed substantial value on being within walking distance of shops and green spaces. The value placed on public transport access and parking also confirms the significance of mobility for maintaining independence in later life.</w:t>
      </w:r>
    </w:p>
    <w:p w14:paraId="1D4724F5" w14:textId="77777777" w:rsidR="00033697" w:rsidRPr="007C104B" w:rsidRDefault="00033697" w:rsidP="00033697">
      <w:pPr>
        <w:pStyle w:val="NormalWeb"/>
        <w:rPr>
          <w:rFonts w:ascii="Aptos" w:hAnsi="Aptos"/>
        </w:rPr>
      </w:pPr>
      <w:r w:rsidRPr="007C104B">
        <w:rPr>
          <w:rFonts w:ascii="Aptos" w:hAnsi="Aptos"/>
        </w:rPr>
        <w:t xml:space="preserve">Systematic heterogeneity </w:t>
      </w:r>
      <w:proofErr w:type="gramStart"/>
      <w:r w:rsidRPr="007C104B">
        <w:rPr>
          <w:rFonts w:ascii="Aptos" w:hAnsi="Aptos"/>
        </w:rPr>
        <w:t>analyses</w:t>
      </w:r>
      <w:proofErr w:type="gramEnd"/>
      <w:r w:rsidRPr="007C104B">
        <w:rPr>
          <w:rFonts w:ascii="Aptos" w:hAnsi="Aptos"/>
        </w:rPr>
        <w:t xml:space="preserve"> revealed that preferences evolve with age and income. Younger respondents </w:t>
      </w:r>
      <w:proofErr w:type="spellStart"/>
      <w:r w:rsidRPr="007C104B">
        <w:rPr>
          <w:rFonts w:ascii="Aptos" w:hAnsi="Aptos"/>
        </w:rPr>
        <w:t>emphasised</w:t>
      </w:r>
      <w:proofErr w:type="spellEnd"/>
      <w:r w:rsidRPr="007C104B">
        <w:rPr>
          <w:rFonts w:ascii="Aptos" w:hAnsi="Aptos"/>
        </w:rPr>
        <w:t xml:space="preserve"> spatial accessibility, while older individuals placed increasing importance on security, comfort, and ease of mobility. Income differences amplified these patterns, reflecting disparities in resources and lifestyle flexibility among older adults.</w:t>
      </w:r>
    </w:p>
    <w:p w14:paraId="4D619C60" w14:textId="77777777" w:rsidR="00033697" w:rsidRPr="007C104B" w:rsidRDefault="00033697" w:rsidP="00033697">
      <w:pPr>
        <w:pStyle w:val="NormalWeb"/>
        <w:rPr>
          <w:rFonts w:ascii="Aptos" w:hAnsi="Aptos"/>
        </w:rPr>
      </w:pPr>
      <w:r w:rsidRPr="007C104B">
        <w:rPr>
          <w:rFonts w:ascii="Aptos" w:hAnsi="Aptos"/>
        </w:rPr>
        <w:t xml:space="preserve">Together, these findings demonstrate that residential preferences in later life are far from homogeneous. They underscore the need for diverse housing and </w:t>
      </w:r>
      <w:proofErr w:type="spellStart"/>
      <w:r w:rsidRPr="007C104B">
        <w:rPr>
          <w:rFonts w:ascii="Aptos" w:hAnsi="Aptos"/>
        </w:rPr>
        <w:t>neighbourhood</w:t>
      </w:r>
      <w:proofErr w:type="spellEnd"/>
      <w:r w:rsidRPr="007C104B">
        <w:rPr>
          <w:rFonts w:ascii="Aptos" w:hAnsi="Aptos"/>
        </w:rPr>
        <w:t xml:space="preserve"> options that accommodate varying physical abilities, financial capacities, and lifestyle priorities within the ageing population.</w:t>
      </w:r>
    </w:p>
    <w:p w14:paraId="7D4E0BA9" w14:textId="6B0E2D2D" w:rsidR="00A07DD7" w:rsidRPr="00A07DD7" w:rsidRDefault="00A07DD7" w:rsidP="00A07DD7">
      <w:pPr>
        <w:spacing w:after="0" w:line="240" w:lineRule="auto"/>
        <w:rPr>
          <w:rFonts w:ascii="Aptos" w:eastAsia="Times New Roman" w:hAnsi="Aptos" w:cs="Arial"/>
          <w:kern w:val="0"/>
          <w:lang w:val="en-US"/>
          <w14:ligatures w14:val="none"/>
        </w:rPr>
      </w:pPr>
    </w:p>
    <w:p w14:paraId="2CD700A8" w14:textId="77777777" w:rsidR="00033697" w:rsidRPr="007C104B" w:rsidRDefault="00033697" w:rsidP="007C104B">
      <w:pPr>
        <w:pStyle w:val="Heading1"/>
        <w:rPr>
          <w:rFonts w:ascii="Aptos" w:hAnsi="Aptos"/>
          <w:lang w:val="en-US"/>
        </w:rPr>
      </w:pPr>
      <w:r w:rsidRPr="007C104B">
        <w:rPr>
          <w:rFonts w:ascii="Aptos" w:hAnsi="Aptos"/>
          <w:lang w:val="en-US"/>
        </w:rPr>
        <w:lastRenderedPageBreak/>
        <w:t>Discussion</w:t>
      </w:r>
    </w:p>
    <w:p w14:paraId="4F40F2CA" w14:textId="77777777" w:rsidR="00033697" w:rsidRPr="007C104B" w:rsidRDefault="00033697" w:rsidP="00033697">
      <w:pPr>
        <w:pStyle w:val="NormalWeb"/>
        <w:rPr>
          <w:rFonts w:ascii="Aptos" w:hAnsi="Aptos"/>
        </w:rPr>
      </w:pPr>
      <w:r w:rsidRPr="007C104B">
        <w:rPr>
          <w:rFonts w:ascii="Aptos" w:hAnsi="Aptos"/>
        </w:rPr>
        <w:t xml:space="preserve">This study provides new evidence on how older adults in Sweden value key housing and </w:t>
      </w:r>
      <w:proofErr w:type="spellStart"/>
      <w:r w:rsidRPr="007C104B">
        <w:rPr>
          <w:rFonts w:ascii="Aptos" w:hAnsi="Aptos"/>
        </w:rPr>
        <w:t>neighbourhood</w:t>
      </w:r>
      <w:proofErr w:type="spellEnd"/>
      <w:r w:rsidRPr="007C104B">
        <w:rPr>
          <w:rFonts w:ascii="Aptos" w:hAnsi="Aptos"/>
        </w:rPr>
        <w:t xml:space="preserve"> attributes when considering relocation. The findings highlight substantial heterogeneity in preferences, both across tenure types and within demographic subgroups. By integrating a discrete choice experiment within the RELOC-AGE project, the analysis contributes to a growing body of literature that applies </w:t>
      </w:r>
      <w:proofErr w:type="spellStart"/>
      <w:r w:rsidRPr="007C104B">
        <w:rPr>
          <w:rFonts w:ascii="Aptos" w:hAnsi="Aptos"/>
        </w:rPr>
        <w:t>behavioural</w:t>
      </w:r>
      <w:proofErr w:type="spellEnd"/>
      <w:r w:rsidRPr="007C104B">
        <w:rPr>
          <w:rFonts w:ascii="Aptos" w:hAnsi="Aptos"/>
        </w:rPr>
        <w:t xml:space="preserve"> modelling to housing and ageing, offering insights that extend beyond descriptive or revealed-preference approaches.</w:t>
      </w:r>
    </w:p>
    <w:p w14:paraId="09AF0D59" w14:textId="77777777" w:rsidR="00033697" w:rsidRPr="007C104B" w:rsidRDefault="00033697" w:rsidP="007C104B">
      <w:pPr>
        <w:pStyle w:val="Heading2"/>
        <w:rPr>
          <w:rFonts w:ascii="Aptos" w:hAnsi="Aptos"/>
          <w:lang w:val="en-US"/>
        </w:rPr>
      </w:pPr>
      <w:r w:rsidRPr="007C104B">
        <w:rPr>
          <w:rFonts w:ascii="Aptos" w:hAnsi="Aptos"/>
          <w:lang w:val="en-US"/>
        </w:rPr>
        <w:t>Locational preferences and ageing in place</w:t>
      </w:r>
    </w:p>
    <w:p w14:paraId="1B9FBA45" w14:textId="77777777" w:rsidR="00033697" w:rsidRPr="007C104B" w:rsidRDefault="00033697" w:rsidP="00033697">
      <w:pPr>
        <w:pStyle w:val="NormalWeb"/>
        <w:rPr>
          <w:rFonts w:ascii="Aptos" w:hAnsi="Aptos"/>
        </w:rPr>
      </w:pPr>
      <w:r w:rsidRPr="007C104B">
        <w:rPr>
          <w:rFonts w:ascii="Aptos" w:hAnsi="Aptos"/>
        </w:rPr>
        <w:t xml:space="preserve">The results show that proximity to daily amenities—particularly shops, services, and green areas—is highly valued among older adults. These findings are consistent with previous DCE studies, such as Caplan et al. (2021) in the United States and </w:t>
      </w:r>
      <w:proofErr w:type="spellStart"/>
      <w:r w:rsidRPr="007C104B">
        <w:rPr>
          <w:rFonts w:ascii="Aptos" w:hAnsi="Aptos"/>
        </w:rPr>
        <w:t>Ossokina</w:t>
      </w:r>
      <w:proofErr w:type="spellEnd"/>
      <w:r w:rsidRPr="007C104B">
        <w:rPr>
          <w:rFonts w:ascii="Aptos" w:hAnsi="Aptos"/>
        </w:rPr>
        <w:t xml:space="preserve"> and </w:t>
      </w:r>
      <w:proofErr w:type="spellStart"/>
      <w:r w:rsidRPr="007C104B">
        <w:rPr>
          <w:rFonts w:ascii="Aptos" w:hAnsi="Aptos"/>
        </w:rPr>
        <w:t>Arentze</w:t>
      </w:r>
      <w:proofErr w:type="spellEnd"/>
      <w:r w:rsidRPr="007C104B">
        <w:rPr>
          <w:rFonts w:ascii="Aptos" w:hAnsi="Aptos"/>
        </w:rPr>
        <w:t xml:space="preserve"> (2022) in the Netherlands, which found that accessibility and </w:t>
      </w:r>
      <w:proofErr w:type="spellStart"/>
      <w:r w:rsidRPr="007C104B">
        <w:rPr>
          <w:rFonts w:ascii="Aptos" w:hAnsi="Aptos"/>
        </w:rPr>
        <w:t>neighbourhood</w:t>
      </w:r>
      <w:proofErr w:type="spellEnd"/>
      <w:r w:rsidRPr="007C104B">
        <w:rPr>
          <w:rFonts w:ascii="Aptos" w:hAnsi="Aptos"/>
        </w:rPr>
        <w:t xml:space="preserve"> quality are central to residential choice. For older Swedes, these attributes are directly linked to independence and participation in community life. Easy access to shops and green spaces supports physical activity and social engagement, both of which are </w:t>
      </w:r>
      <w:proofErr w:type="spellStart"/>
      <w:r w:rsidRPr="007C104B">
        <w:rPr>
          <w:rFonts w:ascii="Aptos" w:hAnsi="Aptos"/>
        </w:rPr>
        <w:t>recognised</w:t>
      </w:r>
      <w:proofErr w:type="spellEnd"/>
      <w:r w:rsidRPr="007C104B">
        <w:rPr>
          <w:rFonts w:ascii="Aptos" w:hAnsi="Aptos"/>
        </w:rPr>
        <w:t xml:space="preserve"> determinants of ageing well (Iwarsson et al. 2013; Wiles et al. 2012).</w:t>
      </w:r>
    </w:p>
    <w:p w14:paraId="59B99F9D" w14:textId="77777777" w:rsidR="00033697" w:rsidRPr="007C104B" w:rsidRDefault="00033697" w:rsidP="00033697">
      <w:pPr>
        <w:pStyle w:val="NormalWeb"/>
        <w:rPr>
          <w:rFonts w:ascii="Aptos" w:hAnsi="Aptos"/>
        </w:rPr>
      </w:pPr>
      <w:r w:rsidRPr="007C104B">
        <w:rPr>
          <w:rFonts w:ascii="Aptos" w:hAnsi="Aptos"/>
        </w:rPr>
        <w:t xml:space="preserve">The strong emphasis on </w:t>
      </w:r>
      <w:proofErr w:type="spellStart"/>
      <w:r w:rsidRPr="007C104B">
        <w:rPr>
          <w:rFonts w:ascii="Aptos" w:hAnsi="Aptos"/>
        </w:rPr>
        <w:t>neighbourhood</w:t>
      </w:r>
      <w:proofErr w:type="spellEnd"/>
      <w:r w:rsidRPr="007C104B">
        <w:rPr>
          <w:rFonts w:ascii="Aptos" w:hAnsi="Aptos"/>
        </w:rPr>
        <w:t xml:space="preserve"> accessibility underscores the importance of integrated urban planning that aligns with Sweden’s “ageing-in-place” policy objectives. While many municipalities have implemented initiatives to promote accessibility through </w:t>
      </w:r>
      <w:proofErr w:type="spellStart"/>
      <w:r w:rsidRPr="007C104B">
        <w:rPr>
          <w:rStyle w:val="Emphasis"/>
          <w:rFonts w:ascii="Aptos" w:eastAsiaTheme="majorEastAsia" w:hAnsi="Aptos"/>
        </w:rPr>
        <w:t>bostadsanpassningsbidrag</w:t>
      </w:r>
      <w:proofErr w:type="spellEnd"/>
      <w:r w:rsidRPr="007C104B">
        <w:rPr>
          <w:rFonts w:ascii="Aptos" w:hAnsi="Aptos"/>
        </w:rPr>
        <w:t xml:space="preserve"> and the development of </w:t>
      </w:r>
      <w:proofErr w:type="spellStart"/>
      <w:r w:rsidRPr="007C104B">
        <w:rPr>
          <w:rStyle w:val="Emphasis"/>
          <w:rFonts w:ascii="Aptos" w:eastAsiaTheme="majorEastAsia" w:hAnsi="Aptos"/>
        </w:rPr>
        <w:t>seniorbostäder</w:t>
      </w:r>
      <w:proofErr w:type="spellEnd"/>
      <w:r w:rsidRPr="007C104B">
        <w:rPr>
          <w:rFonts w:ascii="Aptos" w:hAnsi="Aptos"/>
        </w:rPr>
        <w:t>, the results suggest that the locational context of these dwellings remains crucial. Proximity to amenities and transport is not simply a convenience but a condition for sustained independence. These findings therefore call for coordinated planning between housing developers, local authorities, and transport agencies to ensure that new senior housing options are situated in accessible environments.</w:t>
      </w:r>
    </w:p>
    <w:p w14:paraId="412D2CDE" w14:textId="77777777" w:rsidR="00033697" w:rsidRPr="007C104B" w:rsidRDefault="00033697" w:rsidP="007C104B">
      <w:pPr>
        <w:pStyle w:val="Heading2"/>
        <w:rPr>
          <w:rFonts w:ascii="Aptos" w:hAnsi="Aptos"/>
          <w:lang w:val="en-US"/>
        </w:rPr>
      </w:pPr>
      <w:r w:rsidRPr="007C104B">
        <w:rPr>
          <w:rFonts w:ascii="Aptos" w:hAnsi="Aptos"/>
          <w:lang w:val="en-US"/>
        </w:rPr>
        <w:t>Mobility, parking, and autonomy</w:t>
      </w:r>
    </w:p>
    <w:p w14:paraId="7D1F0A86" w14:textId="77777777" w:rsidR="00033697" w:rsidRPr="007C104B" w:rsidRDefault="00033697" w:rsidP="00033697">
      <w:pPr>
        <w:pStyle w:val="NormalWeb"/>
        <w:rPr>
          <w:rFonts w:ascii="Aptos" w:hAnsi="Aptos"/>
        </w:rPr>
      </w:pPr>
      <w:r w:rsidRPr="007C104B">
        <w:rPr>
          <w:rFonts w:ascii="Aptos" w:hAnsi="Aptos"/>
        </w:rPr>
        <w:t>One of the most striking results concerns the increasing value of parking among the oldest age group. Respondents aged 75 and older were willing to pay considerably more for a reserved parking space or garage than younger participants. This pattern contrasts with common assumptions that driving declines uniformly with age and suggests a persistent desire for mobility autonomy, even among those with emerging mobility limitations. Similar findings were reported by Caplan et al. (2021), who found that ease of transport access remained a strong predictor of utility in older cohorts.</w:t>
      </w:r>
    </w:p>
    <w:p w14:paraId="2AE3BAA1" w14:textId="77777777" w:rsidR="00033697" w:rsidRPr="007C104B" w:rsidRDefault="00033697" w:rsidP="00033697">
      <w:pPr>
        <w:pStyle w:val="NormalWeb"/>
        <w:rPr>
          <w:rFonts w:ascii="Aptos" w:hAnsi="Aptos"/>
        </w:rPr>
      </w:pPr>
      <w:r w:rsidRPr="007C104B">
        <w:rPr>
          <w:rFonts w:ascii="Aptos" w:hAnsi="Aptos"/>
        </w:rPr>
        <w:t xml:space="preserve">In the Swedish context, where car ownership remains common outside the largest metropolitan areas, access to secure and nearby parking may represent both safety and control. Reserved parking eliminates the physical strain associated with searching for parking and may reduce the perceived risk of accidents. For planners, this </w:t>
      </w:r>
      <w:r w:rsidRPr="007C104B">
        <w:rPr>
          <w:rFonts w:ascii="Aptos" w:hAnsi="Aptos"/>
        </w:rPr>
        <w:lastRenderedPageBreak/>
        <w:t>underscores the importance of designing housing that combines accessibility to public transport with flexible mobility options, including car parking, shared mobility schemes, and safe pedestrian environments.</w:t>
      </w:r>
    </w:p>
    <w:p w14:paraId="7D7B8761" w14:textId="77777777" w:rsidR="00033697" w:rsidRPr="007C104B" w:rsidRDefault="00033697" w:rsidP="007C104B">
      <w:pPr>
        <w:pStyle w:val="Heading2"/>
        <w:rPr>
          <w:rFonts w:ascii="Aptos" w:hAnsi="Aptos"/>
          <w:lang w:val="en-US"/>
        </w:rPr>
      </w:pPr>
      <w:r w:rsidRPr="007C104B">
        <w:rPr>
          <w:rFonts w:ascii="Aptos" w:hAnsi="Aptos"/>
          <w:lang w:val="en-US"/>
        </w:rPr>
        <w:t>Socioeconomic heterogeneity and housing inequalities</w:t>
      </w:r>
    </w:p>
    <w:p w14:paraId="07058CBA" w14:textId="77777777" w:rsidR="00033697" w:rsidRPr="007C104B" w:rsidRDefault="00033697" w:rsidP="00033697">
      <w:pPr>
        <w:pStyle w:val="NormalWeb"/>
        <w:rPr>
          <w:rFonts w:ascii="Aptos" w:hAnsi="Aptos"/>
        </w:rPr>
      </w:pPr>
      <w:r w:rsidRPr="007C104B">
        <w:rPr>
          <w:rFonts w:ascii="Aptos" w:hAnsi="Aptos"/>
        </w:rPr>
        <w:t xml:space="preserve">Differences by income reveal how economic resources shape housing preferences in later life. While all groups valued proximity to amenities and green areas, high-income respondents were willing to pay substantially more for these features. These findings resonate with </w:t>
      </w:r>
      <w:proofErr w:type="spellStart"/>
      <w:r w:rsidRPr="007C104B">
        <w:rPr>
          <w:rFonts w:ascii="Aptos" w:hAnsi="Aptos"/>
        </w:rPr>
        <w:t>Ardeshiri</w:t>
      </w:r>
      <w:proofErr w:type="spellEnd"/>
      <w:r w:rsidRPr="007C104B">
        <w:rPr>
          <w:rFonts w:ascii="Aptos" w:hAnsi="Aptos"/>
        </w:rPr>
        <w:t xml:space="preserve"> et al. (2024), who observed that wealthier households exhibited stronger preferences for amenity-rich locations and secure parking, reflecting greater capacity to translate preferences into action.</w:t>
      </w:r>
    </w:p>
    <w:p w14:paraId="7AF4720A" w14:textId="77777777" w:rsidR="00033697" w:rsidRPr="007C104B" w:rsidRDefault="00033697" w:rsidP="00033697">
      <w:pPr>
        <w:pStyle w:val="NormalWeb"/>
        <w:rPr>
          <w:rFonts w:ascii="Aptos" w:hAnsi="Aptos"/>
        </w:rPr>
      </w:pPr>
      <w:r w:rsidRPr="007C104B">
        <w:rPr>
          <w:rFonts w:ascii="Aptos" w:hAnsi="Aptos"/>
        </w:rPr>
        <w:t xml:space="preserve">This economic gradient </w:t>
      </w:r>
      <w:proofErr w:type="gramStart"/>
      <w:r w:rsidRPr="007C104B">
        <w:rPr>
          <w:rFonts w:ascii="Aptos" w:hAnsi="Aptos"/>
        </w:rPr>
        <w:t>in</w:t>
      </w:r>
      <w:proofErr w:type="gramEnd"/>
      <w:r w:rsidRPr="007C104B">
        <w:rPr>
          <w:rFonts w:ascii="Aptos" w:hAnsi="Aptos"/>
        </w:rPr>
        <w:t xml:space="preserve"> willingness to pay points to an important policy challenge. As Sweden’s housing market becomes increasingly competitive, affordability constraints may restrict lower-income older adults from accessing desirable, accessible locations. The results therefore highlight the need for housing policies that ensure equitable access to age-friendly environments, including affordable and well-located rental housing for retirees with limited financial means. Maintaining diversity in tenure and location can help mitigate the risk of spatial segregation by income in older age.</w:t>
      </w:r>
    </w:p>
    <w:p w14:paraId="0EC7EBDD" w14:textId="77777777" w:rsidR="00033697" w:rsidRPr="007C104B" w:rsidRDefault="00033697" w:rsidP="007C104B">
      <w:pPr>
        <w:pStyle w:val="Heading2"/>
        <w:rPr>
          <w:rFonts w:ascii="Aptos" w:hAnsi="Aptos"/>
          <w:lang w:val="en-US"/>
        </w:rPr>
      </w:pPr>
      <w:r w:rsidRPr="007C104B">
        <w:rPr>
          <w:rFonts w:ascii="Aptos" w:hAnsi="Aptos"/>
          <w:lang w:val="en-US"/>
        </w:rPr>
        <w:t xml:space="preserve">Interpreting heterogeneity through </w:t>
      </w:r>
      <w:proofErr w:type="gramStart"/>
      <w:r w:rsidRPr="007C104B">
        <w:rPr>
          <w:rFonts w:ascii="Aptos" w:hAnsi="Aptos"/>
          <w:lang w:val="en-US"/>
        </w:rPr>
        <w:t>the life course</w:t>
      </w:r>
      <w:proofErr w:type="gramEnd"/>
    </w:p>
    <w:p w14:paraId="26B02513" w14:textId="77777777" w:rsidR="00033697" w:rsidRPr="007C104B" w:rsidRDefault="00033697" w:rsidP="00033697">
      <w:pPr>
        <w:pStyle w:val="NormalWeb"/>
        <w:rPr>
          <w:rFonts w:ascii="Aptos" w:hAnsi="Aptos"/>
        </w:rPr>
      </w:pPr>
      <w:r w:rsidRPr="007C104B">
        <w:rPr>
          <w:rFonts w:ascii="Aptos" w:hAnsi="Aptos"/>
        </w:rPr>
        <w:t xml:space="preserve">The analysis also demonstrates that preferences evolve over the ageing process. The oldest participants placed greater emphasis on comfort and accessibility features such as parking, while younger and mid-aged respondents (55–74) </w:t>
      </w:r>
      <w:proofErr w:type="spellStart"/>
      <w:r w:rsidRPr="007C104B">
        <w:rPr>
          <w:rFonts w:ascii="Aptos" w:hAnsi="Aptos"/>
        </w:rPr>
        <w:t>prioritised</w:t>
      </w:r>
      <w:proofErr w:type="spellEnd"/>
      <w:r w:rsidRPr="007C104B">
        <w:rPr>
          <w:rFonts w:ascii="Aptos" w:hAnsi="Aptos"/>
        </w:rPr>
        <w:t xml:space="preserve"> proximity to shops and green areas. This progression mirrors findings from life-course studies (Beer et al. 2011; Rowles and Bernard 2013), which describe a shift from activity-oriented preferences toward safety, stability, and familiarity in later stages of life. Such variation within the older population cautions against treating “older adults” as a homogeneous policy category.</w:t>
      </w:r>
    </w:p>
    <w:p w14:paraId="4E8B0EB0" w14:textId="77777777" w:rsidR="00033697" w:rsidRPr="007C104B" w:rsidRDefault="00033697" w:rsidP="00033697">
      <w:pPr>
        <w:pStyle w:val="NormalWeb"/>
        <w:rPr>
          <w:rFonts w:ascii="Aptos" w:hAnsi="Aptos"/>
        </w:rPr>
      </w:pPr>
      <w:r w:rsidRPr="007C104B">
        <w:rPr>
          <w:rFonts w:ascii="Aptos" w:hAnsi="Aptos"/>
        </w:rPr>
        <w:t>The mixed logit framework proved particularly effective in revealing this diversity, capturing both unobserved heterogeneity and systematic differences by age, income, and tenure. In doing so, it complements qualitative evidence on the complex motivations underlying relocation among older people. By quantifying trade-offs, the model provides an empirically grounded way to assess how demographic change may translate into differentiated housing demand.</w:t>
      </w:r>
    </w:p>
    <w:p w14:paraId="47BF4609" w14:textId="77777777" w:rsidR="00033697" w:rsidRPr="007C104B" w:rsidRDefault="00033697" w:rsidP="007C104B">
      <w:pPr>
        <w:pStyle w:val="Heading2"/>
        <w:rPr>
          <w:rFonts w:ascii="Aptos" w:hAnsi="Aptos"/>
          <w:lang w:val="en-US"/>
        </w:rPr>
      </w:pPr>
      <w:r w:rsidRPr="007C104B">
        <w:rPr>
          <w:rFonts w:ascii="Aptos" w:hAnsi="Aptos"/>
          <w:lang w:val="en-US"/>
        </w:rPr>
        <w:t>Policy implications</w:t>
      </w:r>
    </w:p>
    <w:p w14:paraId="0FEEA7C8" w14:textId="77777777" w:rsidR="00033697" w:rsidRPr="007C104B" w:rsidRDefault="00033697" w:rsidP="00033697">
      <w:pPr>
        <w:pStyle w:val="NormalWeb"/>
        <w:rPr>
          <w:rFonts w:ascii="Aptos" w:hAnsi="Aptos"/>
        </w:rPr>
      </w:pPr>
      <w:r w:rsidRPr="007C104B">
        <w:rPr>
          <w:rFonts w:ascii="Aptos" w:hAnsi="Aptos"/>
        </w:rPr>
        <w:t xml:space="preserve">These results carry several implications for Swedish housing policy and urban development. First, ensuring proximity to everyday amenities and public transport should be a central consideration in planning new senior housing and renovating existing stock. Locating senior dwellings in walkable, service-rich areas may reduce dependence on private transport and support active ageing. Second, expanding the </w:t>
      </w:r>
      <w:r w:rsidRPr="007C104B">
        <w:rPr>
          <w:rFonts w:ascii="Aptos" w:hAnsi="Aptos"/>
        </w:rPr>
        <w:lastRenderedPageBreak/>
        <w:t xml:space="preserve">supply of smaller, accessible units in mixed-tenure developments could help accommodate the varied financial capacities revealed in this study. Finally, policy frameworks should </w:t>
      </w:r>
      <w:proofErr w:type="spellStart"/>
      <w:r w:rsidRPr="007C104B">
        <w:rPr>
          <w:rFonts w:ascii="Aptos" w:hAnsi="Aptos"/>
        </w:rPr>
        <w:t>recognise</w:t>
      </w:r>
      <w:proofErr w:type="spellEnd"/>
      <w:r w:rsidRPr="007C104B">
        <w:rPr>
          <w:rFonts w:ascii="Aptos" w:hAnsi="Aptos"/>
        </w:rPr>
        <w:t xml:space="preserve"> the importance of </w:t>
      </w:r>
      <w:proofErr w:type="gramStart"/>
      <w:r w:rsidRPr="007C104B">
        <w:rPr>
          <w:rFonts w:ascii="Aptos" w:hAnsi="Aptos"/>
        </w:rPr>
        <w:t>mobility autonomy—</w:t>
      </w:r>
      <w:proofErr w:type="gramEnd"/>
      <w:r w:rsidRPr="007C104B">
        <w:rPr>
          <w:rFonts w:ascii="Aptos" w:hAnsi="Aptos"/>
        </w:rPr>
        <w:t>both through accessible public transport and secure parking options—to support independence among older adults.</w:t>
      </w:r>
    </w:p>
    <w:p w14:paraId="51A75555" w14:textId="77777777" w:rsidR="00033697" w:rsidRPr="007C104B" w:rsidRDefault="00033697" w:rsidP="00033697">
      <w:pPr>
        <w:pStyle w:val="NormalWeb"/>
        <w:rPr>
          <w:rFonts w:ascii="Aptos" w:hAnsi="Aptos"/>
        </w:rPr>
      </w:pPr>
      <w:r w:rsidRPr="007C104B">
        <w:rPr>
          <w:rFonts w:ascii="Aptos" w:hAnsi="Aptos"/>
        </w:rPr>
        <w:t>Together, these measures align with Sweden’s broader objective of promoting age-friendly environments, as outlined in national strategies for housing, health, and social care. By grounding these strategies in evidence on actual preferences and trade-offs, the present study contributes to more nuanced and effective policy design.</w:t>
      </w:r>
    </w:p>
    <w:p w14:paraId="1B818821" w14:textId="77777777" w:rsidR="00033697" w:rsidRPr="007C104B" w:rsidRDefault="00033697" w:rsidP="007C104B">
      <w:pPr>
        <w:pStyle w:val="Heading2"/>
        <w:rPr>
          <w:rFonts w:ascii="Aptos" w:hAnsi="Aptos"/>
          <w:lang w:val="en-US"/>
        </w:rPr>
      </w:pPr>
      <w:r w:rsidRPr="007C104B">
        <w:rPr>
          <w:rFonts w:ascii="Aptos" w:hAnsi="Aptos"/>
          <w:lang w:val="en-US"/>
        </w:rPr>
        <w:t>Broader relevance</w:t>
      </w:r>
    </w:p>
    <w:p w14:paraId="53502331" w14:textId="77777777" w:rsidR="00033697" w:rsidRPr="007C104B" w:rsidRDefault="00033697" w:rsidP="00033697">
      <w:pPr>
        <w:pStyle w:val="NormalWeb"/>
        <w:rPr>
          <w:rFonts w:ascii="Aptos" w:hAnsi="Aptos"/>
        </w:rPr>
      </w:pPr>
      <w:r w:rsidRPr="007C104B">
        <w:rPr>
          <w:rFonts w:ascii="Aptos" w:hAnsi="Aptos"/>
        </w:rPr>
        <w:t xml:space="preserve">Although the study focuses on Sweden, the findings have broader implications for ageing societies in other developed economies. In contexts where older adults constitute a growing share of the housing market, understanding how preferences vary within this demographic can inform both policy and market responses. The combination of stated-preference data and </w:t>
      </w:r>
      <w:proofErr w:type="spellStart"/>
      <w:r w:rsidRPr="007C104B">
        <w:rPr>
          <w:rFonts w:ascii="Aptos" w:hAnsi="Aptos"/>
        </w:rPr>
        <w:t>behavioural</w:t>
      </w:r>
      <w:proofErr w:type="spellEnd"/>
      <w:r w:rsidRPr="007C104B">
        <w:rPr>
          <w:rFonts w:ascii="Aptos" w:hAnsi="Aptos"/>
        </w:rPr>
        <w:t xml:space="preserve"> modelling offers a framework that can be adapted to different institutional and cultural settings. The emphasis on heterogeneity—rather than average effects—provides a clearer picture of how social and economic factors shape housing demand in later life.</w:t>
      </w:r>
    </w:p>
    <w:p w14:paraId="4C26025D" w14:textId="139DEE98" w:rsidR="00A07DD7" w:rsidRPr="00A07DD7" w:rsidRDefault="00A07DD7" w:rsidP="00A07DD7">
      <w:pPr>
        <w:spacing w:after="0" w:line="240" w:lineRule="auto"/>
        <w:rPr>
          <w:rFonts w:ascii="Aptos" w:eastAsia="Times New Roman" w:hAnsi="Aptos" w:cs="Arial"/>
          <w:kern w:val="0"/>
          <w:lang w:val="en-US"/>
          <w14:ligatures w14:val="none"/>
        </w:rPr>
      </w:pPr>
    </w:p>
    <w:p w14:paraId="08A4F93F" w14:textId="77777777" w:rsidR="007C104B" w:rsidRPr="007C104B" w:rsidRDefault="007C104B" w:rsidP="007C104B">
      <w:pPr>
        <w:pStyle w:val="Heading1"/>
        <w:rPr>
          <w:rFonts w:ascii="Aptos" w:hAnsi="Aptos"/>
          <w:lang w:val="en-US"/>
        </w:rPr>
      </w:pPr>
      <w:r w:rsidRPr="007C104B">
        <w:rPr>
          <w:rFonts w:ascii="Aptos" w:hAnsi="Aptos"/>
          <w:lang w:val="en-US"/>
        </w:rPr>
        <w:t>Limitations</w:t>
      </w:r>
    </w:p>
    <w:p w14:paraId="3BFAA833" w14:textId="77777777" w:rsidR="007C104B" w:rsidRPr="007C104B" w:rsidRDefault="007C104B" w:rsidP="007C104B">
      <w:pPr>
        <w:pStyle w:val="NormalWeb"/>
        <w:rPr>
          <w:rFonts w:ascii="Aptos" w:hAnsi="Aptos"/>
        </w:rPr>
      </w:pPr>
      <w:r w:rsidRPr="007C104B">
        <w:rPr>
          <w:rFonts w:ascii="Aptos" w:hAnsi="Aptos"/>
        </w:rPr>
        <w:t xml:space="preserve">While this study provides new insights into housing preferences among older adults in Sweden, several limitations should be acknowledged. First, as with all stated-preference methods, discrete choice experiments rely on hypothetical rather than real-world decisions. Although attributes and levels were designed to reflect realistic housing options, </w:t>
      </w:r>
      <w:proofErr w:type="gramStart"/>
      <w:r w:rsidRPr="007C104B">
        <w:rPr>
          <w:rFonts w:ascii="Aptos" w:hAnsi="Aptos"/>
        </w:rPr>
        <w:t>respondents’</w:t>
      </w:r>
      <w:proofErr w:type="gramEnd"/>
      <w:r w:rsidRPr="007C104B">
        <w:rPr>
          <w:rFonts w:ascii="Aptos" w:hAnsi="Aptos"/>
        </w:rPr>
        <w:t xml:space="preserve"> stated choices may not fully correspond to their actual </w:t>
      </w:r>
      <w:proofErr w:type="spellStart"/>
      <w:r w:rsidRPr="007C104B">
        <w:rPr>
          <w:rFonts w:ascii="Aptos" w:hAnsi="Aptos"/>
        </w:rPr>
        <w:t>behaviour</w:t>
      </w:r>
      <w:proofErr w:type="spellEnd"/>
      <w:r w:rsidRPr="007C104B">
        <w:rPr>
          <w:rFonts w:ascii="Aptos" w:hAnsi="Aptos"/>
        </w:rPr>
        <w:t xml:space="preserve"> in the market. This hypothetical bias is an inherent limitation of DCEs, though previous research suggests that careful experimental design and clear contextual framing can reduce its impact.</w:t>
      </w:r>
    </w:p>
    <w:p w14:paraId="1A137CDA" w14:textId="77777777" w:rsidR="007C104B" w:rsidRPr="007C104B" w:rsidRDefault="007C104B" w:rsidP="007C104B">
      <w:pPr>
        <w:pStyle w:val="NormalWeb"/>
        <w:rPr>
          <w:rFonts w:ascii="Aptos" w:hAnsi="Aptos"/>
        </w:rPr>
      </w:pPr>
      <w:r w:rsidRPr="007C104B">
        <w:rPr>
          <w:rFonts w:ascii="Aptos" w:hAnsi="Aptos"/>
        </w:rPr>
        <w:t>Second, the sample may not fully capture the diversity of older adults in Sweden. Participants were recruited through housing providers and had already expressed interest in relocating, which means they may differ from older adults who are not currently considering a move. As a result, the findings primarily reflect the preferences of individuals who are more proactive or better informed about housing alternatives. While this group represents a relevant target for housing policy and development, future studies should include less mobile or more vulnerable subgroups to provide a broader understanding of preferences across the ageing population.</w:t>
      </w:r>
    </w:p>
    <w:p w14:paraId="78A9863E" w14:textId="77777777" w:rsidR="007C104B" w:rsidRPr="007C104B" w:rsidRDefault="007C104B" w:rsidP="007C104B">
      <w:pPr>
        <w:pStyle w:val="NormalWeb"/>
        <w:rPr>
          <w:rFonts w:ascii="Aptos" w:hAnsi="Aptos"/>
        </w:rPr>
      </w:pPr>
      <w:r w:rsidRPr="007C104B">
        <w:rPr>
          <w:rFonts w:ascii="Aptos" w:hAnsi="Aptos"/>
        </w:rPr>
        <w:t xml:space="preserve">Third, the data are cross-sectional, reflecting preferences at a single point in time. Housing needs and priorities are likely to evolve as individuals age or experience </w:t>
      </w:r>
      <w:r w:rsidRPr="007C104B">
        <w:rPr>
          <w:rFonts w:ascii="Aptos" w:hAnsi="Aptos"/>
        </w:rPr>
        <w:lastRenderedPageBreak/>
        <w:t>changes in health, income, or household composition. Longitudinal data would allow for examination of how preferences shift over the life course and how relocation intentions translate into actual moves.</w:t>
      </w:r>
    </w:p>
    <w:p w14:paraId="1A8FEA91" w14:textId="77777777" w:rsidR="007C104B" w:rsidRPr="007C104B" w:rsidRDefault="007C104B" w:rsidP="007C104B">
      <w:pPr>
        <w:pStyle w:val="NormalWeb"/>
        <w:rPr>
          <w:rFonts w:ascii="Aptos" w:hAnsi="Aptos"/>
        </w:rPr>
      </w:pPr>
      <w:r w:rsidRPr="007C104B">
        <w:rPr>
          <w:rFonts w:ascii="Aptos" w:hAnsi="Aptos"/>
        </w:rPr>
        <w:t xml:space="preserve">Fourth, while the mixed logit framework accounts for unobserved heterogeneity, it does not capture all possible sources of variation in preferences. Factors such as health status, social networks, and regional housing market conditions were not directly included in the model but may significantly influence decision-making. Incorporating such variables in future analyses, possibly through a hybrid choice or latent class modelling approach, could enhance the explanatory power and </w:t>
      </w:r>
      <w:proofErr w:type="spellStart"/>
      <w:r w:rsidRPr="007C104B">
        <w:rPr>
          <w:rFonts w:ascii="Aptos" w:hAnsi="Aptos"/>
        </w:rPr>
        <w:t>behavioural</w:t>
      </w:r>
      <w:proofErr w:type="spellEnd"/>
      <w:r w:rsidRPr="007C104B">
        <w:rPr>
          <w:rFonts w:ascii="Aptos" w:hAnsi="Aptos"/>
        </w:rPr>
        <w:t xml:space="preserve"> realism of the results.</w:t>
      </w:r>
    </w:p>
    <w:p w14:paraId="1E2681D6" w14:textId="77777777" w:rsidR="007C104B" w:rsidRPr="007C104B" w:rsidRDefault="007C104B" w:rsidP="007C104B">
      <w:pPr>
        <w:pStyle w:val="NormalWeb"/>
        <w:rPr>
          <w:rFonts w:ascii="Aptos" w:hAnsi="Aptos"/>
        </w:rPr>
      </w:pPr>
      <w:r w:rsidRPr="007C104B">
        <w:rPr>
          <w:rFonts w:ascii="Aptos" w:hAnsi="Aptos"/>
        </w:rPr>
        <w:t>Finally, the experiment focused on a limited set of attributes to keep the task manageable for respondents. Attributes such as dwelling size, accessibility features, and social environment—known to be important for older adults—were not included. Expanding the attribute set in future studies could provide a more complete picture of how older people evaluate trade-offs when considering relocation.</w:t>
      </w:r>
    </w:p>
    <w:p w14:paraId="464FBB52" w14:textId="77777777" w:rsidR="007C104B" w:rsidRPr="007C104B" w:rsidRDefault="007C104B" w:rsidP="007C104B">
      <w:pPr>
        <w:pStyle w:val="NormalWeb"/>
        <w:rPr>
          <w:rFonts w:ascii="Aptos" w:hAnsi="Aptos"/>
        </w:rPr>
      </w:pPr>
      <w:r w:rsidRPr="007C104B">
        <w:rPr>
          <w:rFonts w:ascii="Aptos" w:hAnsi="Aptos"/>
        </w:rPr>
        <w:t xml:space="preserve">Despite these limitations, the study offers robust and policy-relevant evidence by combining a large and diverse national sample with an experimentally rigorous design. The findings should therefore be interpreted as indicative of the main drivers of housing preferences among older Swedes, while </w:t>
      </w:r>
      <w:proofErr w:type="spellStart"/>
      <w:r w:rsidRPr="007C104B">
        <w:rPr>
          <w:rFonts w:ascii="Aptos" w:hAnsi="Aptos"/>
        </w:rPr>
        <w:t>recognising</w:t>
      </w:r>
      <w:proofErr w:type="spellEnd"/>
      <w:r w:rsidRPr="007C104B">
        <w:rPr>
          <w:rFonts w:ascii="Aptos" w:hAnsi="Aptos"/>
        </w:rPr>
        <w:t xml:space="preserve"> that actual choices may be shaped by additional contextual and personal factors.</w:t>
      </w:r>
    </w:p>
    <w:p w14:paraId="5AC62E30" w14:textId="77777777" w:rsidR="007C104B" w:rsidRPr="007C104B" w:rsidRDefault="007C104B" w:rsidP="007C104B">
      <w:pPr>
        <w:pStyle w:val="Heading1"/>
        <w:rPr>
          <w:rFonts w:ascii="Aptos" w:hAnsi="Aptos"/>
          <w:lang w:val="en-US"/>
        </w:rPr>
      </w:pPr>
      <w:r w:rsidRPr="007C104B">
        <w:rPr>
          <w:rFonts w:ascii="Aptos" w:hAnsi="Aptos"/>
          <w:lang w:val="en-US"/>
        </w:rPr>
        <w:t>Conclusion</w:t>
      </w:r>
    </w:p>
    <w:p w14:paraId="7FE6C71E" w14:textId="77777777" w:rsidR="007C104B" w:rsidRPr="007C104B" w:rsidRDefault="007C104B" w:rsidP="007C104B">
      <w:pPr>
        <w:pStyle w:val="NormalWeb"/>
        <w:rPr>
          <w:rFonts w:ascii="Aptos" w:hAnsi="Aptos"/>
        </w:rPr>
      </w:pPr>
      <w:r w:rsidRPr="007C104B">
        <w:rPr>
          <w:rFonts w:ascii="Aptos" w:hAnsi="Aptos"/>
        </w:rPr>
        <w:t>This study examined how older adults in Sweden evaluate housing and locational attributes when considering relocation. Using a discrete choice experiment embedded within the Prospective RELOC-AGE project, we estimated mixed logit models to capture both average preferences and heterogeneity across age, income, and tenure groups. The findings provide new empirical evidence on the complex trade-offs older individuals make between accessibility, affordability, and comfort when choosing where to live.</w:t>
      </w:r>
    </w:p>
    <w:p w14:paraId="5371C860" w14:textId="77777777" w:rsidR="007C104B" w:rsidRPr="007C104B" w:rsidRDefault="007C104B" w:rsidP="007C104B">
      <w:pPr>
        <w:pStyle w:val="NormalWeb"/>
        <w:rPr>
          <w:rFonts w:ascii="Aptos" w:hAnsi="Aptos"/>
        </w:rPr>
      </w:pPr>
      <w:r w:rsidRPr="007C104B">
        <w:rPr>
          <w:rFonts w:ascii="Aptos" w:hAnsi="Aptos"/>
        </w:rPr>
        <w:t xml:space="preserve">Across the sample, proximity to shops, services, and green areas emerged as the most valued attributes, confirming the central role of </w:t>
      </w:r>
      <w:proofErr w:type="spellStart"/>
      <w:r w:rsidRPr="007C104B">
        <w:rPr>
          <w:rFonts w:ascii="Aptos" w:hAnsi="Aptos"/>
        </w:rPr>
        <w:t>neighbourhood</w:t>
      </w:r>
      <w:proofErr w:type="spellEnd"/>
      <w:r w:rsidRPr="007C104B">
        <w:rPr>
          <w:rFonts w:ascii="Aptos" w:hAnsi="Aptos"/>
        </w:rPr>
        <w:t xml:space="preserve"> accessibility for maintaining independence and wellbeing in later life. Access to public transportation and secure parking were also important, highlighting the ongoing importance of mobility autonomy. Systematic heterogeneity </w:t>
      </w:r>
      <w:proofErr w:type="gramStart"/>
      <w:r w:rsidRPr="007C104B">
        <w:rPr>
          <w:rFonts w:ascii="Aptos" w:hAnsi="Aptos"/>
        </w:rPr>
        <w:t>analyses</w:t>
      </w:r>
      <w:proofErr w:type="gramEnd"/>
      <w:r w:rsidRPr="007C104B">
        <w:rPr>
          <w:rFonts w:ascii="Aptos" w:hAnsi="Aptos"/>
        </w:rPr>
        <w:t xml:space="preserve"> revealed that preferences shift across the ageing process: younger respondents </w:t>
      </w:r>
      <w:proofErr w:type="spellStart"/>
      <w:r w:rsidRPr="007C104B">
        <w:rPr>
          <w:rFonts w:ascii="Aptos" w:hAnsi="Aptos"/>
        </w:rPr>
        <w:t>prioritised</w:t>
      </w:r>
      <w:proofErr w:type="spellEnd"/>
      <w:r w:rsidRPr="007C104B">
        <w:rPr>
          <w:rFonts w:ascii="Aptos" w:hAnsi="Aptos"/>
        </w:rPr>
        <w:t xml:space="preserve"> proximity to amenities and green areas, whereas older individuals placed increasing emphasis on parking, safety, and comfort. Income differences further amplified these patterns, suggesting that financial capacity shapes not only housing opportunities but also the relative importance attached to specific amenities.</w:t>
      </w:r>
    </w:p>
    <w:p w14:paraId="4F20FC17" w14:textId="77777777" w:rsidR="007C104B" w:rsidRPr="007C104B" w:rsidRDefault="007C104B" w:rsidP="007C104B">
      <w:pPr>
        <w:pStyle w:val="NormalWeb"/>
        <w:rPr>
          <w:rFonts w:ascii="Aptos" w:hAnsi="Aptos"/>
        </w:rPr>
      </w:pPr>
      <w:r w:rsidRPr="007C104B">
        <w:rPr>
          <w:rFonts w:ascii="Aptos" w:hAnsi="Aptos"/>
        </w:rPr>
        <w:t xml:space="preserve">These results carry clear implications for Swedish housing policy and urban planning. Ensuring that senior housing is located near essential services, public transport, and </w:t>
      </w:r>
      <w:r w:rsidRPr="007C104B">
        <w:rPr>
          <w:rFonts w:ascii="Aptos" w:hAnsi="Aptos"/>
        </w:rPr>
        <w:lastRenderedPageBreak/>
        <w:t xml:space="preserve">green areas is vital to enabling ageing in place. Expanding the supply of accessible, affordable dwellings in well-connected </w:t>
      </w:r>
      <w:proofErr w:type="spellStart"/>
      <w:r w:rsidRPr="007C104B">
        <w:rPr>
          <w:rFonts w:ascii="Aptos" w:hAnsi="Aptos"/>
        </w:rPr>
        <w:t>neighbourhoods</w:t>
      </w:r>
      <w:proofErr w:type="spellEnd"/>
      <w:r w:rsidRPr="007C104B">
        <w:rPr>
          <w:rFonts w:ascii="Aptos" w:hAnsi="Aptos"/>
        </w:rPr>
        <w:t xml:space="preserve"> could support social inclusion and reduce inequalities among older adults. At the same time, maintaining a diversity of housing options—by tenure, size, and location—will be critical for accommodating the varied needs of an ageing population.</w:t>
      </w:r>
    </w:p>
    <w:p w14:paraId="3F73E9CE" w14:textId="77777777" w:rsidR="007C104B" w:rsidRPr="007C104B" w:rsidRDefault="007C104B" w:rsidP="007C104B">
      <w:pPr>
        <w:pStyle w:val="NormalWeb"/>
        <w:rPr>
          <w:rFonts w:ascii="Aptos" w:hAnsi="Aptos"/>
        </w:rPr>
      </w:pPr>
      <w:r w:rsidRPr="007C104B">
        <w:rPr>
          <w:rFonts w:ascii="Aptos" w:hAnsi="Aptos"/>
        </w:rPr>
        <w:t xml:space="preserve">Beyond its policy relevance, this study contributes methodologically to housing and ageing research by demonstrating the value of stated-preference methods for capturing </w:t>
      </w:r>
      <w:proofErr w:type="spellStart"/>
      <w:r w:rsidRPr="007C104B">
        <w:rPr>
          <w:rFonts w:ascii="Aptos" w:hAnsi="Aptos"/>
        </w:rPr>
        <w:t>behavioural</w:t>
      </w:r>
      <w:proofErr w:type="spellEnd"/>
      <w:r w:rsidRPr="007C104B">
        <w:rPr>
          <w:rFonts w:ascii="Aptos" w:hAnsi="Aptos"/>
        </w:rPr>
        <w:t xml:space="preserve"> complexity in later life. The combination of discrete choice experiments and mixed logit modelling offers a powerful framework for quantifying trade-offs and uncovering systematic variation in preferences. Future research could build on these findings by incorporating longitudinal or revealed-preference data, exploring regional housing market dynamics, and expanding the range of attributes to include social and accessibility features.</w:t>
      </w:r>
    </w:p>
    <w:p w14:paraId="5CDD4971" w14:textId="77777777" w:rsidR="007C104B" w:rsidRPr="007C104B" w:rsidRDefault="007C104B" w:rsidP="007C104B">
      <w:pPr>
        <w:pStyle w:val="NormalWeb"/>
        <w:rPr>
          <w:rFonts w:ascii="Aptos" w:hAnsi="Aptos"/>
        </w:rPr>
      </w:pPr>
      <w:r w:rsidRPr="007C104B">
        <w:rPr>
          <w:rFonts w:ascii="Aptos" w:hAnsi="Aptos"/>
        </w:rPr>
        <w:t xml:space="preserve">In sum, the evidence presented here underscores that housing decisions in later life are not uniform but shaped by diverse personal circumstances and values. </w:t>
      </w:r>
      <w:proofErr w:type="spellStart"/>
      <w:r w:rsidRPr="007C104B">
        <w:rPr>
          <w:rFonts w:ascii="Aptos" w:hAnsi="Aptos"/>
        </w:rPr>
        <w:t>Recognising</w:t>
      </w:r>
      <w:proofErr w:type="spellEnd"/>
      <w:r w:rsidRPr="007C104B">
        <w:rPr>
          <w:rFonts w:ascii="Aptos" w:hAnsi="Aptos"/>
        </w:rPr>
        <w:t xml:space="preserve"> and responding to this diversity is essential for developing age-friendly housing and communities that support independence, dignity, and quality of life for all older adults.</w:t>
      </w:r>
    </w:p>
    <w:p w14:paraId="2E7C6979" w14:textId="77777777" w:rsidR="007C104B" w:rsidRPr="007C104B" w:rsidRDefault="007C104B" w:rsidP="007C104B">
      <w:pPr>
        <w:pStyle w:val="NormalWeb"/>
        <w:rPr>
          <w:rFonts w:ascii="Aptos" w:hAnsi="Aptos"/>
        </w:rPr>
      </w:pPr>
    </w:p>
    <w:sectPr w:rsidR="007C104B" w:rsidRPr="007C10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202"/>
    <w:multiLevelType w:val="multilevel"/>
    <w:tmpl w:val="F134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2E1DF7"/>
    <w:multiLevelType w:val="multilevel"/>
    <w:tmpl w:val="6E58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934196"/>
    <w:multiLevelType w:val="multilevel"/>
    <w:tmpl w:val="9712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887589"/>
    <w:multiLevelType w:val="multilevel"/>
    <w:tmpl w:val="9792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292DB3"/>
    <w:multiLevelType w:val="multilevel"/>
    <w:tmpl w:val="A9FC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520FF1"/>
    <w:multiLevelType w:val="multilevel"/>
    <w:tmpl w:val="A3301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9817754">
    <w:abstractNumId w:val="1"/>
  </w:num>
  <w:num w:numId="2" w16cid:durableId="1377662552">
    <w:abstractNumId w:val="5"/>
  </w:num>
  <w:num w:numId="3" w16cid:durableId="201988422">
    <w:abstractNumId w:val="4"/>
  </w:num>
  <w:num w:numId="4" w16cid:durableId="892811467">
    <w:abstractNumId w:val="2"/>
  </w:num>
  <w:num w:numId="5" w16cid:durableId="766192183">
    <w:abstractNumId w:val="0"/>
  </w:num>
  <w:num w:numId="6" w16cid:durableId="9847050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DD7"/>
    <w:rsid w:val="00033697"/>
    <w:rsid w:val="00050D21"/>
    <w:rsid w:val="00161FC1"/>
    <w:rsid w:val="003326DC"/>
    <w:rsid w:val="0038260B"/>
    <w:rsid w:val="003D66F3"/>
    <w:rsid w:val="004730D6"/>
    <w:rsid w:val="006626B4"/>
    <w:rsid w:val="00673CAE"/>
    <w:rsid w:val="006E52AA"/>
    <w:rsid w:val="007B0837"/>
    <w:rsid w:val="007B6382"/>
    <w:rsid w:val="007C104B"/>
    <w:rsid w:val="007F65A7"/>
    <w:rsid w:val="00807358"/>
    <w:rsid w:val="00877718"/>
    <w:rsid w:val="0096374E"/>
    <w:rsid w:val="00A07DD7"/>
    <w:rsid w:val="00B458BD"/>
    <w:rsid w:val="00F6549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44928"/>
  <w15:chartTrackingRefBased/>
  <w15:docId w15:val="{3F9567DA-DD1D-4523-9DE0-BA696C706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D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7D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7D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07D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D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D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7D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7D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07D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D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DD7"/>
    <w:rPr>
      <w:rFonts w:eastAsiaTheme="majorEastAsia" w:cstheme="majorBidi"/>
      <w:color w:val="272727" w:themeColor="text1" w:themeTint="D8"/>
    </w:rPr>
  </w:style>
  <w:style w:type="paragraph" w:styleId="Title">
    <w:name w:val="Title"/>
    <w:basedOn w:val="Normal"/>
    <w:next w:val="Normal"/>
    <w:link w:val="TitleChar"/>
    <w:uiPriority w:val="10"/>
    <w:qFormat/>
    <w:rsid w:val="00A07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DD7"/>
    <w:pPr>
      <w:spacing w:before="160"/>
      <w:jc w:val="center"/>
    </w:pPr>
    <w:rPr>
      <w:i/>
      <w:iCs/>
      <w:color w:val="404040" w:themeColor="text1" w:themeTint="BF"/>
    </w:rPr>
  </w:style>
  <w:style w:type="character" w:customStyle="1" w:styleId="QuoteChar">
    <w:name w:val="Quote Char"/>
    <w:basedOn w:val="DefaultParagraphFont"/>
    <w:link w:val="Quote"/>
    <w:uiPriority w:val="29"/>
    <w:rsid w:val="00A07DD7"/>
    <w:rPr>
      <w:i/>
      <w:iCs/>
      <w:color w:val="404040" w:themeColor="text1" w:themeTint="BF"/>
    </w:rPr>
  </w:style>
  <w:style w:type="paragraph" w:styleId="ListParagraph">
    <w:name w:val="List Paragraph"/>
    <w:basedOn w:val="Normal"/>
    <w:uiPriority w:val="34"/>
    <w:qFormat/>
    <w:rsid w:val="00A07DD7"/>
    <w:pPr>
      <w:ind w:left="720"/>
      <w:contextualSpacing/>
    </w:pPr>
  </w:style>
  <w:style w:type="character" w:styleId="IntenseEmphasis">
    <w:name w:val="Intense Emphasis"/>
    <w:basedOn w:val="DefaultParagraphFont"/>
    <w:uiPriority w:val="21"/>
    <w:qFormat/>
    <w:rsid w:val="00A07DD7"/>
    <w:rPr>
      <w:i/>
      <w:iCs/>
      <w:color w:val="0F4761" w:themeColor="accent1" w:themeShade="BF"/>
    </w:rPr>
  </w:style>
  <w:style w:type="paragraph" w:styleId="IntenseQuote">
    <w:name w:val="Intense Quote"/>
    <w:basedOn w:val="Normal"/>
    <w:next w:val="Normal"/>
    <w:link w:val="IntenseQuoteChar"/>
    <w:uiPriority w:val="30"/>
    <w:qFormat/>
    <w:rsid w:val="00A07D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DD7"/>
    <w:rPr>
      <w:i/>
      <w:iCs/>
      <w:color w:val="0F4761" w:themeColor="accent1" w:themeShade="BF"/>
    </w:rPr>
  </w:style>
  <w:style w:type="character" w:styleId="IntenseReference">
    <w:name w:val="Intense Reference"/>
    <w:basedOn w:val="DefaultParagraphFont"/>
    <w:uiPriority w:val="32"/>
    <w:qFormat/>
    <w:rsid w:val="00A07DD7"/>
    <w:rPr>
      <w:b/>
      <w:bCs/>
      <w:smallCaps/>
      <w:color w:val="0F4761" w:themeColor="accent1" w:themeShade="BF"/>
      <w:spacing w:val="5"/>
    </w:rPr>
  </w:style>
  <w:style w:type="character" w:styleId="Strong">
    <w:name w:val="Strong"/>
    <w:basedOn w:val="DefaultParagraphFont"/>
    <w:uiPriority w:val="22"/>
    <w:qFormat/>
    <w:rsid w:val="00A07DD7"/>
    <w:rPr>
      <w:b/>
      <w:bCs/>
    </w:rPr>
  </w:style>
  <w:style w:type="paragraph" w:styleId="NormalWeb">
    <w:name w:val="Normal (Web)"/>
    <w:basedOn w:val="Normal"/>
    <w:uiPriority w:val="99"/>
    <w:unhideWhenUsed/>
    <w:rsid w:val="00A07DD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A07DD7"/>
    <w:rPr>
      <w:i/>
      <w:iCs/>
    </w:rPr>
  </w:style>
  <w:style w:type="paragraph" w:customStyle="1" w:styleId="whitespace-normal">
    <w:name w:val="whitespace-normal"/>
    <w:basedOn w:val="Normal"/>
    <w:rsid w:val="00F6549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CC6527-AF03-4F56-BFB9-CE5EF1F72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1250</TotalTime>
  <Pages>16</Pages>
  <Words>6513</Words>
  <Characters>37128</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Christie</dc:creator>
  <cp:keywords/>
  <dc:description/>
  <cp:lastModifiedBy>Nick Christie</cp:lastModifiedBy>
  <cp:revision>3</cp:revision>
  <dcterms:created xsi:type="dcterms:W3CDTF">2025-10-28T13:01:00Z</dcterms:created>
  <dcterms:modified xsi:type="dcterms:W3CDTF">2025-10-30T15:24:00Z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id="Ta3fBvDc"/&gt;&lt;style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