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Björn Slaug</w:t>
      </w:r>
      <w:r w:rsidR="00B1514E" w:rsidRPr="00394920">
        <w:rPr>
          <w:vertAlign w:val="superscript"/>
        </w:rPr>
        <w:t>a</w:t>
      </w:r>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Susanne Iwarsson</w:t>
      </w:r>
      <w:r w:rsidR="00B1514E" w:rsidRPr="00394920">
        <w:rPr>
          <w:vertAlign w:val="superscript"/>
        </w:rPr>
        <w:t>a</w:t>
      </w:r>
    </w:p>
    <w:p w14:paraId="2BBA20F1" w14:textId="77777777" w:rsidR="00FC45F1" w:rsidRPr="00FC45F1" w:rsidRDefault="00FC45F1" w:rsidP="00FC45F1"/>
    <w:p w14:paraId="69CDBCF6" w14:textId="77777777" w:rsidR="00FC45F1" w:rsidRDefault="00B1514E" w:rsidP="00FC45F1">
      <w:pPr>
        <w:pStyle w:val="Affiliation"/>
        <w:spacing w:before="0" w:line="240" w:lineRule="auto"/>
      </w:pPr>
      <w:r w:rsidRPr="00394920">
        <w:rPr>
          <w:vertAlign w:val="superscript"/>
        </w:rPr>
        <w:t>a</w:t>
      </w:r>
      <w:r>
        <w:t>Department of Health Sciences, Faculty of Medicine, Lund University, Lund, Sweden</w:t>
      </w:r>
      <w:r w:rsidR="00B64FA3">
        <w:t>;</w:t>
      </w:r>
      <w:r w:rsidR="00B64FA3" w:rsidRPr="003152C8">
        <w:t xml:space="preserve"> </w:t>
      </w:r>
      <w:r w:rsidR="00B64FA3" w:rsidRPr="00394920">
        <w:rPr>
          <w:vertAlign w:val="superscript"/>
        </w:rPr>
        <w:t>b</w:t>
      </w:r>
      <w:r w:rsidR="00FC45F1" w:rsidRPr="00FC45F1">
        <w:t>Health and Social Care Administration, Municipality of Östersund, Östersund,</w:t>
      </w:r>
      <w:r w:rsidR="00FC45F1">
        <w:t xml:space="preserve"> </w:t>
      </w:r>
      <w:r w:rsidR="00FC45F1">
        <w:rPr>
          <w:vertAlign w:val="superscript"/>
        </w:rPr>
        <w:t>c</w:t>
      </w:r>
      <w:r w:rsidR="00FC45F1" w:rsidRPr="00FC45F1">
        <w:t>Community Medicine and Rehabilitation, Umeå University, Umeå, Sweden</w:t>
      </w:r>
      <w:r w:rsidR="00FC45F1">
        <w:t>;</w:t>
      </w:r>
      <w:r w:rsidR="00FC45F1" w:rsidRPr="00FC45F1">
        <w:t xml:space="preserve"> </w:t>
      </w:r>
    </w:p>
    <w:p w14:paraId="3C80D971" w14:textId="46B0D0E8" w:rsidR="00FC45F1" w:rsidRDefault="00FC45F1" w:rsidP="00FC45F1">
      <w:pPr>
        <w:pStyle w:val="Affiliation"/>
        <w:spacing w:before="0" w:line="240" w:lineRule="auto"/>
      </w:pPr>
      <w:r>
        <w:rPr>
          <w:vertAlign w:val="superscript"/>
        </w:rPr>
        <w:t>d</w:t>
      </w:r>
      <w:r w:rsidRPr="00FC45F1">
        <w:t>Clinical Studies Sweden, Forum South, Skåne University Hospital, Lund, Sweden</w:t>
      </w:r>
      <w:r>
        <w:t>;</w:t>
      </w:r>
    </w:p>
    <w:p w14:paraId="1C8606CD" w14:textId="3CF511EF" w:rsidR="00997B0F" w:rsidRDefault="00FC45F1" w:rsidP="00FC45F1">
      <w:pPr>
        <w:pStyle w:val="Affiliation"/>
        <w:spacing w:before="0" w:line="240" w:lineRule="auto"/>
      </w:pPr>
      <w:r>
        <w:rPr>
          <w:vertAlign w:val="superscript"/>
        </w:rPr>
        <w:t>e</w:t>
      </w:r>
      <w:r w:rsidRPr="00FC45F1">
        <w:t>Division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4F39049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an Associate Professor in Occupational Therapy and affiliated researcher at Epidemiology and Global Health, Umeå University. His work focuses on health promotion, falls prevention, and re</w:t>
      </w:r>
      <w:r w:rsidR="00D74B85">
        <w:rPr>
          <w:lang w:val="en-US" w:eastAsia="en-US"/>
        </w:rPr>
        <w:t>-</w:t>
      </w:r>
      <w:r w:rsidRPr="000E0072">
        <w:rPr>
          <w:lang w:val="en-US" w:eastAsia="en-US"/>
        </w:rPr>
        <w:t>ablement for older adults, and he leads R&amp;D for active and healthy ageing in the Municipality of Östersund.</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178B198A"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Stradins University, Latvia. Her research in environmental gerontology focuses on ageing, health, housing, and participation</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Ageing, and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07E426E9" w14:textId="77777777" w:rsidR="000E0072" w:rsidRPr="00DD6569"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leGrid"/>
        <w:tblW w:w="0" w:type="auto"/>
        <w:tblLook w:val="04A0" w:firstRow="1" w:lastRow="0" w:firstColumn="1" w:lastColumn="0" w:noHBand="0" w:noVBand="1"/>
      </w:tblPr>
      <w:tblGrid>
        <w:gridCol w:w="4094"/>
        <w:gridCol w:w="4395"/>
      </w:tblGrid>
      <w:tr w:rsidR="00633DD5" w:rsidRPr="00F15126" w14:paraId="10A754E4" w14:textId="77777777" w:rsidTr="00FC45F1">
        <w:tc>
          <w:tcPr>
            <w:tcW w:w="4094" w:type="dxa"/>
          </w:tcPr>
          <w:p w14:paraId="4B099519" w14:textId="3D408FAF" w:rsidR="00633DD5" w:rsidRPr="00FC45F1" w:rsidRDefault="00633DD5" w:rsidP="00F15126">
            <w:pPr>
              <w:pStyle w:val="Notesoncontributors"/>
              <w:spacing w:before="0" w:line="240" w:lineRule="auto"/>
              <w:rPr>
                <w:sz w:val="18"/>
                <w:szCs w:val="18"/>
              </w:rPr>
            </w:pPr>
            <w:r w:rsidRPr="00FC45F1">
              <w:rPr>
                <w:sz w:val="18"/>
                <w:szCs w:val="18"/>
              </w:rPr>
              <w:t>Research Aim</w:t>
            </w:r>
            <w:r w:rsidR="00940A32">
              <w:rPr>
                <w:sz w:val="18"/>
                <w:szCs w:val="18"/>
              </w:rPr>
              <w:t xml:space="preserve"> (variations on a theme)</w:t>
            </w:r>
          </w:p>
        </w:tc>
        <w:tc>
          <w:tcPr>
            <w:tcW w:w="4395" w:type="dxa"/>
          </w:tcPr>
          <w:p w14:paraId="6A693762"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explore willingness-to-pay estimates of preferred locational attributes for older individuals in Sweden considering relocation.</w:t>
            </w:r>
          </w:p>
          <w:p w14:paraId="617EA748"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Explore heterogeneity in locational preferences for older individuals in Sweden considering relocation.</w:t>
            </w:r>
          </w:p>
          <w:p w14:paraId="59DB7ACA" w14:textId="43AF8421"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identify differences in willingness to pay estimates among older individuals considering relocation in Sweden.</w:t>
            </w:r>
          </w:p>
          <w:p w14:paraId="49A9C2EA" w14:textId="77777777" w:rsidR="00633DD5" w:rsidRPr="00FC45F1" w:rsidRDefault="00633DD5" w:rsidP="00F15126">
            <w:pPr>
              <w:pStyle w:val="Notesoncontributors"/>
              <w:spacing w:before="0" w:line="240" w:lineRule="auto"/>
              <w:rPr>
                <w:sz w:val="18"/>
                <w:szCs w:val="18"/>
              </w:rPr>
            </w:pPr>
          </w:p>
        </w:tc>
      </w:tr>
      <w:tr w:rsidR="00633DD5" w:rsidRPr="00F15126" w14:paraId="7C9800A5" w14:textId="77777777" w:rsidTr="00FC45F1">
        <w:tc>
          <w:tcPr>
            <w:tcW w:w="4094" w:type="dxa"/>
          </w:tcPr>
          <w:p w14:paraId="7E70660C" w14:textId="5C26FECB" w:rsidR="00633DD5" w:rsidRPr="00FC45F1" w:rsidRDefault="00633DD5" w:rsidP="00F15126">
            <w:pPr>
              <w:pStyle w:val="Notesoncontributors"/>
              <w:spacing w:before="0" w:line="240" w:lineRule="auto"/>
              <w:rPr>
                <w:sz w:val="18"/>
                <w:szCs w:val="18"/>
              </w:rPr>
            </w:pPr>
            <w:r w:rsidRPr="00FC45F1">
              <w:rPr>
                <w:sz w:val="18"/>
                <w:szCs w:val="18"/>
              </w:rPr>
              <w:t>Journals</w:t>
            </w:r>
          </w:p>
        </w:tc>
        <w:tc>
          <w:tcPr>
            <w:tcW w:w="4395" w:type="dxa"/>
          </w:tcPr>
          <w:p w14:paraId="7FA766D1" w14:textId="417783A7" w:rsidR="00B17C5F" w:rsidRDefault="00633DD5" w:rsidP="00F15126">
            <w:pPr>
              <w:pStyle w:val="Notesoncontributors"/>
              <w:numPr>
                <w:ilvl w:val="0"/>
                <w:numId w:val="33"/>
              </w:numPr>
              <w:spacing w:before="0" w:line="240" w:lineRule="auto"/>
              <w:rPr>
                <w:sz w:val="18"/>
                <w:szCs w:val="18"/>
              </w:rPr>
            </w:pPr>
            <w:r w:rsidRPr="00FC45F1">
              <w:rPr>
                <w:sz w:val="18"/>
                <w:szCs w:val="18"/>
              </w:rPr>
              <w:t xml:space="preserve">Housing studies – Have published a handful of studies using a DCE.  </w:t>
            </w:r>
            <w:r w:rsidR="00741BA3">
              <w:rPr>
                <w:sz w:val="18"/>
                <w:szCs w:val="18"/>
                <w:highlight w:val="yellow"/>
              </w:rPr>
              <w:t xml:space="preserve">Good </w:t>
            </w:r>
            <w:r w:rsidRPr="00FC45F1">
              <w:rPr>
                <w:sz w:val="18"/>
                <w:szCs w:val="18"/>
                <w:highlight w:val="yellow"/>
              </w:rPr>
              <w:t xml:space="preserve"> candidate</w:t>
            </w:r>
            <w:r w:rsidR="00B17C5F" w:rsidRPr="00FC45F1">
              <w:rPr>
                <w:sz w:val="18"/>
                <w:szCs w:val="18"/>
              </w:rPr>
              <w:t xml:space="preserve"> </w:t>
            </w:r>
          </w:p>
          <w:p w14:paraId="173A8529" w14:textId="3932AD5C" w:rsidR="00633DD5" w:rsidRPr="00FC45F1" w:rsidRDefault="00B17C5F" w:rsidP="00F15126">
            <w:pPr>
              <w:pStyle w:val="Notesoncontributors"/>
              <w:numPr>
                <w:ilvl w:val="0"/>
                <w:numId w:val="33"/>
              </w:numPr>
              <w:spacing w:before="0" w:line="240" w:lineRule="auto"/>
              <w:rPr>
                <w:sz w:val="18"/>
                <w:szCs w:val="18"/>
              </w:rPr>
            </w:pPr>
            <w:r w:rsidRPr="00FC45F1">
              <w:rPr>
                <w:sz w:val="18"/>
                <w:szCs w:val="18"/>
              </w:rPr>
              <w:t xml:space="preserve">Journal of housing and the built environment. (latex) </w:t>
            </w:r>
            <w:r w:rsidR="00940A32">
              <w:rPr>
                <w:sz w:val="18"/>
                <w:szCs w:val="18"/>
                <w:highlight w:val="yellow"/>
              </w:rPr>
              <w:t>G</w:t>
            </w:r>
            <w:r w:rsidRPr="00FC45F1">
              <w:rPr>
                <w:sz w:val="18"/>
                <w:szCs w:val="18"/>
                <w:highlight w:val="yellow"/>
              </w:rPr>
              <w:t>ood candidate</w:t>
            </w:r>
            <w:r w:rsidRPr="00FC45F1">
              <w:rPr>
                <w:sz w:val="18"/>
                <w:szCs w:val="18"/>
              </w:rPr>
              <w:t xml:space="preserve"> https://link.springer.com/journal/10901</w:t>
            </w:r>
          </w:p>
          <w:p w14:paraId="221564EA" w14:textId="384FCF2D"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 xml:space="preserve">Nature Ageing – appears to be rooted in medical science (DNA sequences, biological indicators, etc).  No DCE studies identified. </w:t>
            </w:r>
            <w:r w:rsidRPr="00FC45F1">
              <w:rPr>
                <w:sz w:val="18"/>
                <w:szCs w:val="18"/>
                <w:highlight w:val="red"/>
              </w:rPr>
              <w:t>Low candidate</w:t>
            </w:r>
          </w:p>
          <w:p w14:paraId="566B1DA2" w14:textId="02B20A31"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Lancet</w:t>
            </w:r>
            <w:r w:rsidR="00FE6C9D" w:rsidRPr="00FC45F1">
              <w:rPr>
                <w:sz w:val="18"/>
                <w:szCs w:val="18"/>
              </w:rPr>
              <w:t xml:space="preserve"> </w:t>
            </w:r>
            <w:r w:rsidR="00B17C5F">
              <w:rPr>
                <w:sz w:val="18"/>
                <w:szCs w:val="18"/>
              </w:rPr>
              <w:t>–</w:t>
            </w:r>
            <w:r w:rsidR="00FE6C9D" w:rsidRPr="00FC45F1">
              <w:rPr>
                <w:sz w:val="18"/>
                <w:szCs w:val="18"/>
              </w:rPr>
              <w:t xml:space="preserve"> </w:t>
            </w:r>
            <w:r w:rsidR="00B17C5F">
              <w:rPr>
                <w:sz w:val="18"/>
                <w:szCs w:val="18"/>
              </w:rPr>
              <w:t xml:space="preserve">No DCE studies found – </w:t>
            </w:r>
            <w:r w:rsidR="00B17C5F" w:rsidRPr="00B17C5F">
              <w:rPr>
                <w:sz w:val="18"/>
                <w:szCs w:val="18"/>
                <w:highlight w:val="red"/>
              </w:rPr>
              <w:t>low</w:t>
            </w:r>
            <w:r w:rsidR="00B17C5F">
              <w:rPr>
                <w:sz w:val="18"/>
                <w:szCs w:val="18"/>
              </w:rPr>
              <w:t xml:space="preserve"> </w:t>
            </w:r>
            <w:r w:rsidR="00B17C5F" w:rsidRPr="00B17C5F">
              <w:rPr>
                <w:sz w:val="18"/>
                <w:szCs w:val="18"/>
                <w:highlight w:val="red"/>
              </w:rPr>
              <w:t>candidate</w:t>
            </w:r>
            <w:r w:rsidR="00B17C5F">
              <w:rPr>
                <w:sz w:val="18"/>
                <w:szCs w:val="18"/>
              </w:rPr>
              <w:t xml:space="preserve"> </w:t>
            </w:r>
          </w:p>
          <w:p w14:paraId="64C0035D" w14:textId="120FFB24" w:rsidR="00C27724" w:rsidRPr="00FC45F1" w:rsidRDefault="00940A32" w:rsidP="00F15126">
            <w:pPr>
              <w:pStyle w:val="Notesoncontributors"/>
              <w:numPr>
                <w:ilvl w:val="0"/>
                <w:numId w:val="33"/>
              </w:numPr>
              <w:spacing w:before="0" w:line="240" w:lineRule="auto"/>
              <w:rPr>
                <w:sz w:val="18"/>
                <w:szCs w:val="18"/>
              </w:rPr>
            </w:pPr>
            <w:r>
              <w:rPr>
                <w:sz w:val="18"/>
                <w:szCs w:val="18"/>
              </w:rPr>
              <w:t xml:space="preserve">Others? </w:t>
            </w:r>
          </w:p>
          <w:p w14:paraId="3907D58B" w14:textId="5942772C" w:rsidR="000C109F" w:rsidRPr="00FC45F1" w:rsidRDefault="000C109F" w:rsidP="00B17C5F">
            <w:pPr>
              <w:pStyle w:val="Notesoncontributors"/>
              <w:spacing w:before="0" w:line="240" w:lineRule="auto"/>
              <w:ind w:left="720"/>
              <w:rPr>
                <w:sz w:val="18"/>
                <w:szCs w:val="18"/>
              </w:rPr>
            </w:pPr>
          </w:p>
        </w:tc>
      </w:tr>
      <w:tr w:rsidR="00633DD5" w:rsidRPr="00F15126" w14:paraId="369B105B" w14:textId="77777777" w:rsidTr="00FC45F1">
        <w:tc>
          <w:tcPr>
            <w:tcW w:w="4094" w:type="dxa"/>
          </w:tcPr>
          <w:p w14:paraId="6E5DC142" w14:textId="4CC3A3A4" w:rsidR="00633DD5" w:rsidRPr="00FC45F1" w:rsidRDefault="00C27724" w:rsidP="002C3348">
            <w:pPr>
              <w:pStyle w:val="Notesoncontributors"/>
              <w:spacing w:line="240" w:lineRule="auto"/>
              <w:rPr>
                <w:sz w:val="18"/>
                <w:szCs w:val="18"/>
              </w:rPr>
            </w:pPr>
            <w:r w:rsidRPr="00FC45F1">
              <w:rPr>
                <w:sz w:val="18"/>
                <w:szCs w:val="18"/>
              </w:rPr>
              <w:t>Methodological approach</w:t>
            </w:r>
          </w:p>
        </w:tc>
        <w:tc>
          <w:tcPr>
            <w:tcW w:w="4395" w:type="dxa"/>
          </w:tcPr>
          <w:p w14:paraId="4AD5AB07" w14:textId="77777777" w:rsidR="00633DD5" w:rsidRPr="00FC45F1" w:rsidRDefault="00C27724" w:rsidP="00C27724">
            <w:pPr>
              <w:pStyle w:val="Notesoncontributors"/>
              <w:numPr>
                <w:ilvl w:val="0"/>
                <w:numId w:val="34"/>
              </w:numPr>
              <w:spacing w:line="240" w:lineRule="auto"/>
              <w:rPr>
                <w:sz w:val="18"/>
                <w:szCs w:val="18"/>
              </w:rPr>
            </w:pPr>
            <w:r w:rsidRPr="00FC45F1">
              <w:rPr>
                <w:sz w:val="18"/>
                <w:szCs w:val="18"/>
              </w:rPr>
              <w:t>Estimate mixed logit models on Renters and Owners to identify MWTP estimates</w:t>
            </w:r>
          </w:p>
          <w:p w14:paraId="1DCC02FB" w14:textId="1CE90529" w:rsidR="00C27724" w:rsidRPr="00FC45F1" w:rsidRDefault="00C27724" w:rsidP="00C27724">
            <w:pPr>
              <w:pStyle w:val="Notesoncontributors"/>
              <w:numPr>
                <w:ilvl w:val="0"/>
                <w:numId w:val="34"/>
              </w:numPr>
              <w:spacing w:line="240" w:lineRule="auto"/>
              <w:rPr>
                <w:sz w:val="18"/>
                <w:szCs w:val="18"/>
              </w:rPr>
            </w:pPr>
            <w:r w:rsidRPr="00FC45F1">
              <w:rPr>
                <w:sz w:val="18"/>
                <w:szCs w:val="18"/>
              </w:rPr>
              <w:t>Extend these models to include interaction terms which facilitate identifying differences across age, gender, and health.</w:t>
            </w:r>
          </w:p>
        </w:tc>
      </w:tr>
      <w:tr w:rsidR="00633DD5" w:rsidRPr="00F15126" w14:paraId="377B4863" w14:textId="77777777" w:rsidTr="00FC45F1">
        <w:tc>
          <w:tcPr>
            <w:tcW w:w="4094" w:type="dxa"/>
          </w:tcPr>
          <w:p w14:paraId="75CF3D3C" w14:textId="1D2D4E47" w:rsidR="00633DD5" w:rsidRPr="00FC45F1" w:rsidRDefault="000F78B5" w:rsidP="002C3348">
            <w:pPr>
              <w:pStyle w:val="Notesoncontributors"/>
              <w:spacing w:line="240" w:lineRule="auto"/>
              <w:rPr>
                <w:sz w:val="18"/>
                <w:szCs w:val="18"/>
              </w:rPr>
            </w:pPr>
            <w:r w:rsidRPr="00FC45F1">
              <w:rPr>
                <w:sz w:val="18"/>
                <w:szCs w:val="18"/>
              </w:rPr>
              <w:t>Methodological considerations</w:t>
            </w:r>
          </w:p>
        </w:tc>
        <w:tc>
          <w:tcPr>
            <w:tcW w:w="4395" w:type="dxa"/>
          </w:tcPr>
          <w:p w14:paraId="2AF7B0EC" w14:textId="77777777" w:rsidR="00633DD5" w:rsidRPr="00FC45F1" w:rsidRDefault="000F78B5" w:rsidP="000F78B5">
            <w:pPr>
              <w:pStyle w:val="Notesoncontributors"/>
              <w:numPr>
                <w:ilvl w:val="0"/>
                <w:numId w:val="35"/>
              </w:numPr>
              <w:spacing w:line="240" w:lineRule="auto"/>
              <w:rPr>
                <w:sz w:val="18"/>
                <w:szCs w:val="18"/>
              </w:rPr>
            </w:pPr>
            <w:r w:rsidRPr="00FC45F1">
              <w:rPr>
                <w:sz w:val="18"/>
                <w:szCs w:val="18"/>
              </w:rPr>
              <w:t>Our primary focus is on tenure groups.  We could shift this to another group – age groups perhaps – to move the focus of the paper.</w:t>
            </w:r>
          </w:p>
          <w:p w14:paraId="32AD1E85" w14:textId="0DF36BCB" w:rsidR="000F78B5" w:rsidRDefault="000F78B5" w:rsidP="000F78B5">
            <w:pPr>
              <w:pStyle w:val="Notesoncontributors"/>
              <w:numPr>
                <w:ilvl w:val="0"/>
                <w:numId w:val="35"/>
              </w:numPr>
              <w:spacing w:line="240" w:lineRule="auto"/>
              <w:rPr>
                <w:sz w:val="18"/>
                <w:szCs w:val="18"/>
              </w:rPr>
            </w:pPr>
            <w:r w:rsidRPr="00FC45F1">
              <w:rPr>
                <w:sz w:val="18"/>
                <w:szCs w:val="18"/>
              </w:rPr>
              <w:t>The heterogenous tests identify some significant differences, but they are not very strong</w:t>
            </w:r>
            <w:r w:rsidR="00940A32">
              <w:rPr>
                <w:sz w:val="18"/>
                <w:szCs w:val="18"/>
              </w:rPr>
              <w:t xml:space="preserve"> (if not relying on delta method significance).  </w:t>
            </w:r>
            <w:r w:rsidRPr="00FC45F1">
              <w:rPr>
                <w:sz w:val="18"/>
                <w:szCs w:val="18"/>
              </w:rPr>
              <w:t>Exploring alternative groups could produce stronger results. (retired, civil status, city center vs urban environment, etc)</w:t>
            </w:r>
          </w:p>
          <w:p w14:paraId="2A6D2042" w14:textId="7F069FD9" w:rsidR="00940A32" w:rsidRPr="00FC45F1" w:rsidRDefault="00940A32" w:rsidP="000F78B5">
            <w:pPr>
              <w:pStyle w:val="Notesoncontributors"/>
              <w:numPr>
                <w:ilvl w:val="0"/>
                <w:numId w:val="35"/>
              </w:numPr>
              <w:spacing w:line="240" w:lineRule="auto"/>
              <w:rPr>
                <w:sz w:val="18"/>
                <w:szCs w:val="18"/>
              </w:rPr>
            </w:pPr>
            <w:r>
              <w:rPr>
                <w:sz w:val="18"/>
                <w:szCs w:val="18"/>
              </w:rPr>
              <w:t xml:space="preserve">Alternatively, estimation of latent class models would be feasible, although we would have to alter the text and aim as we sought to uncover sources of heterogeneity. </w:t>
            </w:r>
          </w:p>
        </w:tc>
      </w:tr>
      <w:tr w:rsidR="00633DD5" w:rsidRPr="00F15126" w14:paraId="3CE2BEB1" w14:textId="77777777" w:rsidTr="00FC45F1">
        <w:tc>
          <w:tcPr>
            <w:tcW w:w="4094" w:type="dxa"/>
          </w:tcPr>
          <w:p w14:paraId="0F94D197" w14:textId="1527E0B5" w:rsidR="00633DD5" w:rsidRPr="00FC45F1" w:rsidRDefault="00940A32" w:rsidP="002C3348">
            <w:pPr>
              <w:pStyle w:val="Notesoncontributors"/>
              <w:spacing w:line="240" w:lineRule="auto"/>
              <w:rPr>
                <w:sz w:val="18"/>
                <w:szCs w:val="18"/>
              </w:rPr>
            </w:pPr>
            <w:r>
              <w:rPr>
                <w:sz w:val="18"/>
                <w:szCs w:val="18"/>
              </w:rPr>
              <w:t>Other considerations</w:t>
            </w:r>
          </w:p>
        </w:tc>
        <w:tc>
          <w:tcPr>
            <w:tcW w:w="4395" w:type="dxa"/>
          </w:tcPr>
          <w:p w14:paraId="0EB94E2B" w14:textId="77777777" w:rsidR="003E61F3" w:rsidRDefault="003E61F3" w:rsidP="000F78B5">
            <w:pPr>
              <w:pStyle w:val="Notesoncontributors"/>
              <w:numPr>
                <w:ilvl w:val="0"/>
                <w:numId w:val="36"/>
              </w:numPr>
              <w:spacing w:line="240" w:lineRule="auto"/>
              <w:rPr>
                <w:sz w:val="18"/>
                <w:szCs w:val="18"/>
              </w:rPr>
            </w:pPr>
            <w:r w:rsidRPr="00FC45F1">
              <w:rPr>
                <w:sz w:val="18"/>
                <w:szCs w:val="18"/>
              </w:rPr>
              <w:t>Convert SEK to Euro for international audience?</w:t>
            </w:r>
          </w:p>
          <w:p w14:paraId="5E78D682" w14:textId="77777777" w:rsidR="00940A32" w:rsidRDefault="00940A32" w:rsidP="000F78B5">
            <w:pPr>
              <w:pStyle w:val="Notesoncontributors"/>
              <w:numPr>
                <w:ilvl w:val="0"/>
                <w:numId w:val="36"/>
              </w:numPr>
              <w:spacing w:line="240" w:lineRule="auto"/>
              <w:rPr>
                <w:sz w:val="18"/>
                <w:szCs w:val="18"/>
              </w:rPr>
            </w:pPr>
            <w:r>
              <w:rPr>
                <w:sz w:val="18"/>
                <w:szCs w:val="18"/>
              </w:rPr>
              <w:t>Tables - We decided that separate tables for MWTP values would be desirable, yet for the interaction models this would result in sparse coefficient tables – only showing the coefficients.  The</w:t>
            </w:r>
            <w:r w:rsidR="00907371">
              <w:rPr>
                <w:sz w:val="18"/>
                <w:szCs w:val="18"/>
              </w:rPr>
              <w:t xml:space="preserve"> interaction</w:t>
            </w:r>
            <w:r>
              <w:rPr>
                <w:sz w:val="18"/>
                <w:szCs w:val="18"/>
              </w:rPr>
              <w:t xml:space="preserve"> tables include coefficients, MRS, and MWTP for renters and owners</w:t>
            </w:r>
            <w:r w:rsidR="00907371">
              <w:rPr>
                <w:sz w:val="18"/>
                <w:szCs w:val="18"/>
              </w:rPr>
              <w:t xml:space="preserve"> at this point, but t</w:t>
            </w:r>
            <w:r>
              <w:rPr>
                <w:sz w:val="18"/>
                <w:szCs w:val="18"/>
              </w:rPr>
              <w:t>his can be changed</w:t>
            </w:r>
            <w:r w:rsidR="00907371">
              <w:rPr>
                <w:sz w:val="18"/>
                <w:szCs w:val="18"/>
              </w:rPr>
              <w:t xml:space="preserve"> if we find a better way to present them.</w:t>
            </w:r>
          </w:p>
          <w:p w14:paraId="6F4CF4E2" w14:textId="77777777" w:rsidR="00FF43AC" w:rsidRDefault="00FF43AC" w:rsidP="000F78B5">
            <w:pPr>
              <w:pStyle w:val="Notesoncontributors"/>
              <w:numPr>
                <w:ilvl w:val="0"/>
                <w:numId w:val="36"/>
              </w:numPr>
              <w:spacing w:line="240" w:lineRule="auto"/>
              <w:rPr>
                <w:sz w:val="18"/>
                <w:szCs w:val="18"/>
              </w:rPr>
            </w:pPr>
            <w:r>
              <w:rPr>
                <w:sz w:val="18"/>
                <w:szCs w:val="18"/>
              </w:rPr>
              <w:t>Add full sample test results in addition to renters/owners?</w:t>
            </w:r>
          </w:p>
          <w:p w14:paraId="5B39363E" w14:textId="15EABAE0" w:rsidR="006315DF" w:rsidRPr="00FC45F1" w:rsidRDefault="006315DF" w:rsidP="000F78B5">
            <w:pPr>
              <w:pStyle w:val="Notesoncontributors"/>
              <w:numPr>
                <w:ilvl w:val="0"/>
                <w:numId w:val="36"/>
              </w:numPr>
              <w:spacing w:line="240" w:lineRule="auto"/>
              <w:rPr>
                <w:sz w:val="18"/>
                <w:szCs w:val="18"/>
              </w:rPr>
            </w:pPr>
            <w:r>
              <w:rPr>
                <w:sz w:val="18"/>
                <w:szCs w:val="18"/>
              </w:rPr>
              <w:t xml:space="preserve">In conducting the DCE, we programmed the experiment to be adaptive, utilizing each </w:t>
            </w:r>
            <w:r>
              <w:rPr>
                <w:sz w:val="18"/>
                <w:szCs w:val="18"/>
              </w:rPr>
              <w:lastRenderedPageBreak/>
              <w:t xml:space="preserve">respondent’s “Planned future housing cost” </w:t>
            </w:r>
            <w:r w:rsidR="0028488F">
              <w:rPr>
                <w:sz w:val="18"/>
                <w:szCs w:val="18"/>
              </w:rPr>
              <w:t xml:space="preserve">value to calculate the relative prices in addition to the presented percentage change.  For example, if a respondent stated 10,000 in planned costs, a price option would display: “Option #2 10% more than planned costs (11000 SEK/month total )”   It is unclear if this would be advantageous </w:t>
            </w:r>
            <w:r w:rsidR="005C5156">
              <w:rPr>
                <w:sz w:val="18"/>
                <w:szCs w:val="18"/>
              </w:rPr>
              <w:t>to incorporate into the</w:t>
            </w:r>
            <w:r w:rsidR="0028488F">
              <w:rPr>
                <w:sz w:val="18"/>
                <w:szCs w:val="18"/>
              </w:rPr>
              <w:t xml:space="preserve"> methodology.</w:t>
            </w:r>
          </w:p>
        </w:tc>
      </w:tr>
    </w:tbl>
    <w:p w14:paraId="255CB9BE" w14:textId="77777777" w:rsidR="00633DD5" w:rsidRDefault="00633DD5" w:rsidP="002C3348">
      <w:pPr>
        <w:pStyle w:val="Notesoncontributors"/>
        <w:spacing w:line="240" w:lineRule="auto"/>
      </w:pPr>
    </w:p>
    <w:p w14:paraId="18946F94" w14:textId="6C672909" w:rsidR="00C246C5" w:rsidRDefault="00C14585" w:rsidP="002C3348">
      <w:pPr>
        <w:pStyle w:val="Articletitle"/>
        <w:spacing w:line="240" w:lineRule="auto"/>
      </w:pPr>
      <w:r>
        <w:br w:type="page"/>
      </w:r>
      <w:r w:rsidR="00454425">
        <w:lastRenderedPageBreak/>
        <w:t>The Value of location: What Matters Most for Older Adults Considering Relocation in Sweden?</w:t>
      </w:r>
    </w:p>
    <w:p w14:paraId="7157023F" w14:textId="19EB7A11"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 xml:space="preserve">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Pr="00454425">
        <w:rPr>
          <w:lang w:val="en-US"/>
        </w:rPr>
        <w:t xml:space="preserve">We identified meaningful differences </w:t>
      </w:r>
      <w:r w:rsidR="00E7672F">
        <w:rPr>
          <w:lang w:val="en-US"/>
        </w:rPr>
        <w:t xml:space="preserve">between homeowners and renters with homeowners generally willing to pay </w:t>
      </w:r>
      <w:r w:rsidR="00907371">
        <w:rPr>
          <w:lang w:val="en-US"/>
        </w:rPr>
        <w:t>up to two times</w:t>
      </w:r>
      <w:r w:rsidR="00A922FF">
        <w:rPr>
          <w:lang w:val="en-US"/>
        </w:rPr>
        <w:t xml:space="preserve"> </w:t>
      </w:r>
      <w:r w:rsidR="00E7672F">
        <w:rPr>
          <w:lang w:val="en-US"/>
        </w:rPr>
        <w:t>more for housing attributes.</w:t>
      </w:r>
      <w:r w:rsidR="00A922FF">
        <w:rPr>
          <w:lang w:val="en-US"/>
        </w:rPr>
        <w:t xml:space="preserve"> Differences between </w:t>
      </w:r>
      <w:r w:rsidRPr="00454425">
        <w:rPr>
          <w:lang w:val="en-US"/>
        </w:rPr>
        <w:t>gender and tenure status</w:t>
      </w:r>
      <w:r w:rsidR="00A922FF">
        <w:rPr>
          <w:lang w:val="en-US"/>
        </w:rPr>
        <w:t xml:space="preserve"> were also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P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1ADD0C69" w14:textId="06C7ADAE" w:rsidR="00997B0F" w:rsidRDefault="00454425" w:rsidP="00F15126">
      <w:pPr>
        <w:pStyle w:val="Heading1"/>
      </w:pPr>
      <w:r>
        <w:t>Introduction</w:t>
      </w:r>
    </w:p>
    <w:p w14:paraId="35B3A99E" w14:textId="71D01120"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individuals evaluate potential relocation alternatives is therefore essential for developing effective, age-inclusive housing strategies.</w:t>
      </w:r>
    </w:p>
    <w:p w14:paraId="5FE6C414" w14:textId="3BE35FAB" w:rsidR="00E017F1" w:rsidRPr="00AE4462" w:rsidRDefault="00E017F1" w:rsidP="00F15126">
      <w:pPr>
        <w:spacing w:before="100" w:beforeAutospacing="1" w:after="100" w:afterAutospacing="1" w:line="360" w:lineRule="auto"/>
        <w:rPr>
          <w:lang w:val="en-US" w:eastAsia="en-US"/>
        </w:rPr>
      </w:pPr>
      <w:r>
        <w:t>Population ageing is also shaping the future demand for housing in terms of both quantity and suitability. Older adults spend a greater share of their time at home and rely heavily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policy in many places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xml:space="preserve">. </w:t>
      </w:r>
      <w:r>
        <w:lastRenderedPageBreak/>
        <w:t>However, a key pillar of ageing in place depends on the suitability of existing housing and the availability of accessible alternatives when relocation becomes necessary.</w:t>
      </w:r>
    </w:p>
    <w:p w14:paraId="487EDBFA" w14:textId="07FBB179"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{"citationID":"kAtvQXdy","properties":{"formattedCitation":"(Ewen et al., 2014)","plainCitation":"(Ewen et al., 2014)","noteIndex":0},"citationItems":[{"id":3821,"uris":["http://zotero.org/users/3783483/items/P3G9T8V2"],"itemData":{"id":3821,"type":"article-journal","abstract":"This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1E6EB9">
        <w:rPr>
          <w:lang w:val="en-US" w:eastAsia="en-US"/>
        </w:rPr>
        <w:instrText xml:space="preserve"> ADDIN ZOTERO_ITEM CSL_CITATION {"citationID":"HkA2cGzh","properties":{"formattedCitation":"(Robison &amp; Moen, 2000)","plainCitation":"(Robison &amp; Moen, 2000)","noteIndex":0},"citationItems":[{"id":4874,"uris":["http://zotero.org/users/3783483/items/UQ5U6EUS"],"itemData":{"id":4874,"type":"article-journal","abstract":"This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T."},{"family":"Moen","given":"Phyllis"}],"issued":{"date-parts":[["2000",9]]},"citation-key":"robisonLifeCoursePerspectiveHousing2000"}}],"schema":"https://github.com/citation-style-language/schema/raw/master/csl-citation.json"} </w:instrText>
      </w:r>
      <w:r w:rsidR="001E6EB9">
        <w:rPr>
          <w:lang w:val="en-US" w:eastAsia="en-US"/>
        </w:rPr>
        <w:fldChar w:fldCharType="separate"/>
      </w:r>
      <w:r w:rsidR="001E6EB9" w:rsidRPr="001E6EB9">
        <w:t>(Robison &amp; Moen, 2000)</w:t>
      </w:r>
      <w:r w:rsidR="001E6EB9">
        <w:rPr>
          <w:lang w:val="en-US" w:eastAsia="en-US"/>
        </w:rPr>
        <w:fldChar w:fldCharType="end"/>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053651" w:rsidRPr="00AE4462">
        <w:rPr>
          <w:lang w:val="en-US" w:eastAsia="en-US"/>
        </w:rPr>
        <w:t xml:space="preserve">Nevertheless,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3E71DED8"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Older adults considering relocation must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is known about what and how people prioritise among such attributes, and these preferences, along with their implicit </w:t>
      </w:r>
      <w:r w:rsidR="00DC6C63">
        <w:t>trade-offs</w:t>
      </w:r>
      <w:r>
        <w:t>, are likely to vary systematically across socio</w:t>
      </w:r>
      <w:r w:rsidR="00DC6C63">
        <w:t>-</w:t>
      </w:r>
      <w:r>
        <w:t>demographic groups. Despite growing recognition of these issues, empirical evidence on how older adults value specific residential attributes remains limited. Much of the 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F41A8F" w:rsidRPr="00F41A8F">
        <w:t>(</w:t>
      </w:r>
      <w:r w:rsidR="00F41A8F">
        <w:t xml:space="preserve">e.g. </w:t>
      </w:r>
      <w:r w:rsidR="00F41A8F" w:rsidRPr="00F41A8F">
        <w:t>Damhuis &amp; Van Gent, 2024; Lu &amp; Kong, 2024)</w:t>
      </w:r>
      <w:r w:rsidR="00F41A8F">
        <w:fldChar w:fldCharType="end"/>
      </w:r>
      <w:r>
        <w:t xml:space="preserve"> </w:t>
      </w:r>
      <w:r w:rsidR="00F41A8F">
        <w:t>,</w:t>
      </w:r>
      <w:r>
        <w:t xml:space="preserve">but relatively few studies quantify </w:t>
      </w:r>
      <w:r w:rsidR="00DC6C63">
        <w:t>trade-offs</w:t>
      </w:r>
      <w:r>
        <w:t xml:space="preserve"> among housing and locational characteristics.</w:t>
      </w:r>
    </w:p>
    <w:p w14:paraId="5F6900DF" w14:textId="6877FADE" w:rsidR="00E017F1" w:rsidRDefault="00DF319F" w:rsidP="00DC6C63">
      <w:pPr>
        <w:pStyle w:val="Paragraph"/>
        <w:spacing w:line="360" w:lineRule="auto"/>
        <w:rPr>
          <w:lang w:val="en-US"/>
        </w:rPr>
      </w:pPr>
      <w:r>
        <w:t>One approach to quantify these preferences, a</w:t>
      </w:r>
      <w:r w:rsidR="00E017F1">
        <w:t xml:space="preserve"> Discrete </w:t>
      </w:r>
      <w:r>
        <w:t>C</w:t>
      </w:r>
      <w:r w:rsidR="00E017F1">
        <w:t xml:space="preserve">hoice </w:t>
      </w:r>
      <w:r>
        <w:t>E</w:t>
      </w:r>
      <w:r w:rsidR="00E017F1">
        <w:t>xperiment (DCE</w:t>
      </w:r>
      <w:r>
        <w:t>),</w:t>
      </w:r>
      <w:r w:rsidR="00E017F1" w:rsidRPr="005D2725">
        <w:rPr>
          <w:lang w:val="en-US"/>
        </w:rPr>
        <w:t xml:space="preserve"> </w:t>
      </w:r>
      <w:r w:rsidR="00E017F1" w:rsidRPr="005D2725">
        <w:rPr>
          <w:lang w:val="en-US"/>
        </w:rPr>
        <w:lastRenderedPageBreak/>
        <w:t>represent</w:t>
      </w:r>
      <w:r w:rsidR="00E017F1">
        <w:rPr>
          <w:lang w:val="en-US"/>
        </w:rPr>
        <w:t>s</w:t>
      </w:r>
      <w:r w:rsidR="00E017F1" w:rsidRPr="005D2725">
        <w:rPr>
          <w:lang w:val="en-US"/>
        </w:rPr>
        <w:t xml:space="preserve"> a specific and widely used form of stated choice methodology</w:t>
      </w:r>
      <w:r w:rsidR="00DC6C63">
        <w:rPr>
          <w:lang w:val="en-US"/>
        </w:rPr>
        <w:t>, enabling the assessment of important trade-offs individuals make</w:t>
      </w:r>
      <w:r w:rsidR="00E017F1" w:rsidRPr="005D2725">
        <w:rPr>
          <w:lang w:val="en-US"/>
        </w:rPr>
        <w:t xml:space="preserve">. </w:t>
      </w:r>
      <w:r w:rsidR="00E017F1">
        <w:rPr>
          <w:lang w:val="en-US"/>
        </w:rPr>
        <w:t>R</w:t>
      </w:r>
      <w:r w:rsidR="00E017F1"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(WTP) values when a cost attribute is included. This capacity to quantify trade-offs makes DCEs particularly valuable in housing research,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considerations such as price, location, accessibility, and amenities.</w:t>
      </w:r>
    </w:p>
    <w:p w14:paraId="5A534C1E" w14:textId="77777777" w:rsidR="00E017F1" w:rsidRPr="005D2725" w:rsidRDefault="00E017F1" w:rsidP="00E017F1">
      <w:pPr>
        <w:pStyle w:val="Paragraph"/>
        <w:spacing w:line="360" w:lineRule="auto"/>
        <w:ind w:firstLine="720"/>
        <w:rPr>
          <w:lang w:val="en-US"/>
        </w:rPr>
      </w:pPr>
      <w:r>
        <w:rPr>
          <w:lang w:val="en-US"/>
        </w:rPr>
        <w:t xml:space="preserve">Discrete choice experiments </w:t>
      </w:r>
      <w:r w:rsidRPr="009578AB">
        <w:rPr>
          <w:lang w:val="en-US"/>
        </w:rPr>
        <w:t xml:space="preserve">have been used in a variety of housing and ageing studies. Ossokina et al. (2020) estimate a stated choice experiment to study the residential preferences of </w:t>
      </w:r>
      <w:r>
        <w:rPr>
          <w:lang w:val="en-US"/>
        </w:rPr>
        <w:t>older</w:t>
      </w:r>
      <w:r w:rsidRPr="009578AB">
        <w:rPr>
          <w:lang w:val="en-US"/>
        </w:rPr>
        <w:t xml:space="preserve"> homeowners in the Netherlands, reporting that residential attributes connecting to safety and social cohesion play an important role for </w:t>
      </w:r>
      <w:r>
        <w:rPr>
          <w:lang w:val="en-US"/>
        </w:rPr>
        <w:t>older adults</w:t>
      </w:r>
      <w:r w:rsidRPr="009578AB">
        <w:rPr>
          <w:lang w:val="en-US"/>
        </w:rPr>
        <w:t>. Ossokina and Arentze (2022) examine reference-dependent housing choice behavior among older adults, finding that proximity to public transport and shops significantly influences residential decisions.</w:t>
      </w:r>
      <w:r>
        <w:rPr>
          <w:lang w:val="en-US"/>
        </w:rPr>
        <w:t xml:space="preserve">  </w:t>
      </w:r>
      <w:r w:rsidRPr="005D2725">
        <w:rPr>
          <w:lang w:val="en-US"/>
        </w:rPr>
        <w:t>Applications of DCEs to housing have expanded considerably in recent decades. 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Ossokina and Arentze (2022) demonstrated that housing decisions among older homeowners are reference-dependent, showing how individuals in the Netherlands value safety, accessibility, and social cohesion relative to their current housing situation. Similarly, Lee et al. (2025) analyzed willingness to pay for circular and affordable housing among younger adults in South Korea, while Ardeshiri et al. (2024) used a dual DCE to distinguish between preferences for owner-occupied and investment properties in Sydney.</w:t>
      </w:r>
    </w:p>
    <w:p w14:paraId="72CEDD3C" w14:textId="4C962823" w:rsidR="00E017F1" w:rsidRPr="005D2725" w:rsidRDefault="00E017F1" w:rsidP="00E017F1">
      <w:pPr>
        <w:pStyle w:val="Paragraph"/>
        <w:spacing w:line="360" w:lineRule="auto"/>
        <w:ind w:firstLine="720"/>
        <w:rPr>
          <w:lang w:val="en-US"/>
        </w:rPr>
      </w:pPr>
      <w:r w:rsidRPr="005D2725">
        <w:rPr>
          <w:lang w:val="en-US"/>
        </w:rPr>
        <w:lastRenderedPageBreak/>
        <w:t>Housing preferences are rarely uniform across individuals. Economic capacity, household composition, tenure status, and health conditions can all shape how people evaluate residential alternatives. 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 (</w:t>
      </w:r>
      <w:r>
        <w:rPr>
          <w:lang w:val="en-US"/>
        </w:rPr>
        <w:t>SOURCES</w:t>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 xml:space="preserve">To capture this systematic variation, recent </w:t>
      </w:r>
      <w:r w:rsidR="00DF319F">
        <w:rPr>
          <w:lang w:val="en-US"/>
        </w:rPr>
        <w:t>housing</w:t>
      </w:r>
      <w:r w:rsidRPr="005D2725">
        <w:rPr>
          <w:lang w:val="en-US"/>
        </w:rPr>
        <w:t xml:space="preserve"> studies have incorporated interaction terms and advanced econometric specifications</w:t>
      </w:r>
      <w:r>
        <w:rPr>
          <w:lang w:val="en-US"/>
        </w:rPr>
        <w:t xml:space="preserve"> </w:t>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0CB1FA49" w:rsidR="00100485" w:rsidRPr="00E017F1" w:rsidRDefault="00E017F1" w:rsidP="00100485">
      <w:pPr>
        <w:pStyle w:val="Paragraph"/>
        <w:spacing w:line="360" w:lineRule="auto"/>
        <w:ind w:firstLine="720"/>
        <w:rPr>
          <w:lang w:val="en-US"/>
        </w:rPr>
      </w:pPr>
      <w:r w:rsidRPr="00E017F1">
        <w:rPr>
          <w:lang w:val="en-US"/>
        </w:rPr>
        <w:t>Despite these advances, the evidence base for older populations remains limited, and most findings are context specific, reflecting local housing systems and welfare regimes. Few studies have explicitly focused on older populations or systematically examined heterogeneity within this demographic, and applications in Scandinavian contexts remain rare. This gap is particularly consequential given the rapid ageing of populations across developed countries and the distinct housing systems that shape housing opportunities and constraints.</w:t>
      </w:r>
      <w:r w:rsidR="00100485">
        <w:rPr>
          <w:lang w:val="en-US"/>
        </w:rPr>
        <w:t xml:space="preserve"> Thus, there is a need to better understand how older people reason regarding housing and relocation and in this process, how different attributes are valued. </w:t>
      </w:r>
    </w:p>
    <w:p w14:paraId="59307636" w14:textId="7EA8C9BF" w:rsidR="00E017F1" w:rsidRPr="00E017F1" w:rsidRDefault="00E017F1" w:rsidP="00E017F1">
      <w:pPr>
        <w:pStyle w:val="Paragraph"/>
        <w:spacing w:line="360" w:lineRule="auto"/>
        <w:ind w:firstLine="720"/>
        <w:rPr>
          <w:lang w:val="en-US"/>
        </w:rPr>
      </w:pPr>
      <w:r>
        <w:rPr>
          <w:lang w:val="en-US" w:eastAsia="en-US"/>
        </w:rPr>
        <w:t>The aim of this</w:t>
      </w:r>
      <w:r w:rsidRPr="00AE4462">
        <w:rPr>
          <w:lang w:val="en-US" w:eastAsia="en-US"/>
        </w:rPr>
        <w:t xml:space="preserve"> study </w:t>
      </w:r>
      <w:r>
        <w:rPr>
          <w:lang w:val="en-US" w:eastAsia="en-US"/>
        </w:rPr>
        <w:t xml:space="preserve">was to explore these residential trade-offs by examining willingness to pay values of </w:t>
      </w:r>
      <w:r w:rsidRPr="00AE4462">
        <w:rPr>
          <w:lang w:val="en-US" w:eastAsia="en-US"/>
        </w:rPr>
        <w:t xml:space="preserve">key locational and amenity attributes </w:t>
      </w:r>
      <w:r>
        <w:rPr>
          <w:lang w:val="en-US" w:eastAsia="en-US"/>
        </w:rPr>
        <w:t>of</w:t>
      </w:r>
      <w:r w:rsidRPr="00AE4462">
        <w:rPr>
          <w:lang w:val="en-US" w:eastAsia="en-US"/>
        </w:rPr>
        <w:t xml:space="preserve"> older adults in Sweden considering relocation</w:t>
      </w:r>
      <w:r>
        <w:rPr>
          <w:lang w:val="en-US" w:eastAsia="en-US"/>
        </w:rPr>
        <w:t>, for both renters and homeowners</w:t>
      </w:r>
      <w:r w:rsidRPr="00AE4462">
        <w:rPr>
          <w:lang w:val="en-US" w:eastAsia="en-US"/>
        </w:rPr>
        <w:t xml:space="preserve">. </w:t>
      </w:r>
      <w:r w:rsidRPr="00E017F1">
        <w:rPr>
          <w:lang w:val="en-US"/>
        </w:rPr>
        <w:t xml:space="preserve">Using </w:t>
      </w:r>
      <w:r w:rsidR="00F64A50">
        <w:rPr>
          <w:lang w:val="en-US"/>
        </w:rPr>
        <w:t xml:space="preserve">data on individuals aged 55 and older, </w:t>
      </w:r>
      <w:r w:rsidRPr="00E017F1">
        <w:rPr>
          <w:lang w:val="en-US"/>
        </w:rPr>
        <w:t>a robust experimental design</w:t>
      </w:r>
      <w:r w:rsidR="00F64A50">
        <w:rPr>
          <w:lang w:val="en-US"/>
        </w:rPr>
        <w:t xml:space="preserve">, </w:t>
      </w:r>
      <w:r w:rsidRPr="00E017F1">
        <w:rPr>
          <w:lang w:val="en-US"/>
        </w:rPr>
        <w:t>and mixed logit modelling, we identify key determinants of housing preferences and quantify their associated willingness to pay values across diverse subgroups. Specifically, we examine how preferences for proximity to green areas, shops, public transport, and parking amenities vary systematically by age, gender, and tenure status among individuals actively considering relocation. In doing so, the study provides policy relevant insights into the housing needs of an ageing population and supports the planning of inclusive, adaptable living environments that promote independence and quality of life in later life.</w:t>
      </w:r>
    </w:p>
    <w:p w14:paraId="341F4C15" w14:textId="77777777" w:rsidR="00E017F1" w:rsidRPr="00E017F1" w:rsidRDefault="00E017F1" w:rsidP="00F15126">
      <w:pPr>
        <w:spacing w:before="100" w:beforeAutospacing="1" w:after="100" w:afterAutospacing="1" w:line="360" w:lineRule="auto"/>
        <w:rPr>
          <w:lang w:val="en-US"/>
        </w:rPr>
      </w:pPr>
    </w:p>
    <w:p w14:paraId="3CE1F845" w14:textId="504BAD36" w:rsidR="00534B29" w:rsidRDefault="00AE4462" w:rsidP="00F15126">
      <w:pPr>
        <w:spacing w:before="100" w:beforeAutospacing="1" w:after="100" w:afterAutospacing="1" w:line="360" w:lineRule="auto"/>
        <w:rPr>
          <w:lang w:val="en-US" w:eastAsia="en-US"/>
        </w:rPr>
      </w:pPr>
      <w:r w:rsidRPr="00AE4462">
        <w:rPr>
          <w:lang w:val="en-US" w:eastAsia="en-US"/>
        </w:rPr>
        <w:t>Using data from a large-scale discrete choice experiment embedded in the Prospective RELOC-AGE project, we estimate mixed logit models to derive marginal willingness</w:t>
      </w:r>
      <w:r w:rsidR="003C589C">
        <w:rPr>
          <w:lang w:val="en-US" w:eastAsia="en-US"/>
        </w:rPr>
        <w:t xml:space="preserve"> </w:t>
      </w:r>
      <w:r w:rsidRPr="00AE4462">
        <w:rPr>
          <w:lang w:val="en-US" w:eastAsia="en-US"/>
        </w:rPr>
        <w:t>to</w:t>
      </w:r>
      <w:r w:rsidR="003C589C">
        <w:rPr>
          <w:lang w:val="en-US" w:eastAsia="en-US"/>
        </w:rPr>
        <w:t xml:space="preserve"> </w:t>
      </w:r>
      <w:r w:rsidRPr="00AE4462">
        <w:rPr>
          <w:lang w:val="en-US" w:eastAsia="en-US"/>
        </w:rPr>
        <w:t xml:space="preserve">pay (MWTP) measures for proximity to green space, shops, and public transport, as well as for access to dedicated parking. We further examine heterogeneity in preferences by age, gender, and health status to identify systematic variation in the valuation of these attributes. </w:t>
      </w:r>
      <w:r w:rsidR="00DD5C31">
        <w:rPr>
          <w:lang w:val="en-US" w:eastAsia="en-US"/>
        </w:rPr>
        <w:t>T</w:t>
      </w:r>
      <w:r w:rsidRPr="00AE4462">
        <w:rPr>
          <w:color w:val="000000" w:themeColor="text1"/>
          <w:lang w:val="en-US" w:eastAsia="en-US"/>
        </w:rPr>
        <w:t xml:space="preserve">he study builds on recent </w:t>
      </w:r>
      <w:r w:rsidR="006E5BF0" w:rsidRPr="006E5BF0">
        <w:rPr>
          <w:color w:val="000000" w:themeColor="text1"/>
          <w:lang w:val="en-US" w:eastAsia="en-US"/>
        </w:rPr>
        <w:t>stated choice housing studies</w:t>
      </w:r>
      <w:r w:rsidR="00DB31A7" w:rsidRPr="006E5BF0">
        <w:rPr>
          <w:color w:val="000000" w:themeColor="text1"/>
          <w:lang w:val="en-US" w:eastAsia="en-US"/>
        </w:rPr>
        <w:t xml:space="preserve"> </w:t>
      </w:r>
      <w:r w:rsidR="00DB31A7" w:rsidRPr="006E5BF0">
        <w:rPr>
          <w:color w:val="000000" w:themeColor="text1"/>
          <w:lang w:val="en-US" w:eastAsia="en-US"/>
        </w:rPr>
        <w:fldChar w:fldCharType="begin"/>
      </w:r>
      <w:r w:rsidR="00DB31A7"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DB31A7" w:rsidRPr="000C109F">
        <w:rPr>
          <w:color w:val="000000" w:themeColor="text1"/>
          <w:lang w:val="en-US" w:eastAsia="en-US"/>
        </w:rPr>
        <w:instrText>n of a certain proportion of reused materials, provision of green facilities, availability of furnitur</w:instrText>
      </w:r>
      <w:r w:rsidR="00DB31A7"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DB31A7" w:rsidRPr="006E5BF0">
        <w:rPr>
          <w:color w:val="000000" w:themeColor="text1"/>
          <w:lang w:val="en-US" w:eastAsia="en-US"/>
        </w:rPr>
        <w:fldChar w:fldCharType="separate"/>
      </w:r>
      <w:r w:rsidR="00DB31A7" w:rsidRPr="006E5BF0">
        <w:rPr>
          <w:lang w:val="en-US"/>
        </w:rPr>
        <w:t>(Ossokina et al., 2020; Caplan et al., 2021; Ossokina &amp; Arentze, 2022; Aitken et al., 2024; Lee et al., 2025)</w:t>
      </w:r>
      <w:r w:rsidR="00DB31A7" w:rsidRPr="006E5BF0">
        <w:rPr>
          <w:color w:val="000000" w:themeColor="text1"/>
          <w:lang w:val="en-US" w:eastAsia="en-US"/>
        </w:rPr>
        <w:fldChar w:fldCharType="end"/>
      </w:r>
      <w:r w:rsidR="006E5BF0" w:rsidRPr="006E5BF0">
        <w:rPr>
          <w:color w:val="000000" w:themeColor="text1"/>
          <w:lang w:val="en-US" w:eastAsia="en-US"/>
        </w:rPr>
        <w:t xml:space="preserve">, </w:t>
      </w:r>
      <w:r w:rsidRPr="00AE4462">
        <w:rPr>
          <w:color w:val="000000" w:themeColor="text1"/>
          <w:lang w:val="en-US" w:eastAsia="en-US"/>
        </w:rPr>
        <w:t>extending discrete choice methods to a Scandinavian context where ageing-in-place policies are well established but evidence on relocation preferences remains limited.</w:t>
      </w:r>
      <w:r w:rsidR="00DB31A7" w:rsidRPr="006E5BF0">
        <w:rPr>
          <w:color w:val="000000" w:themeColor="text1"/>
          <w:lang w:val="en-US" w:eastAsia="en-US"/>
        </w:rPr>
        <w:t xml:space="preserve"> </w:t>
      </w:r>
      <w:r w:rsidRPr="006E5BF0">
        <w:rPr>
          <w:lang w:val="en-US" w:eastAsia="en-US"/>
        </w:rPr>
        <w:t>By linking relocation motivations to the economic valuation of locational factors, the study offers policy-relevant insights into the housing needs of an ageing population and contributes empirical evidence to guide the planning of inclusive, adaptable living environments that support independence and quality of life in later life</w:t>
      </w:r>
      <w:r w:rsidR="006E5BF0">
        <w:rPr>
          <w:lang w:val="en-US" w:eastAsia="en-US"/>
        </w:rPr>
        <w:t>.</w:t>
      </w:r>
    </w:p>
    <w:p w14:paraId="7583C7EB" w14:textId="592FC224" w:rsidR="00511E65" w:rsidRDefault="00511E65" w:rsidP="00F15126">
      <w:pPr>
        <w:pStyle w:val="Heading1"/>
        <w:rPr>
          <w:lang w:val="en-US"/>
        </w:rPr>
      </w:pPr>
      <w:bookmarkStart w:id="1" w:name="_Hlk212627481"/>
      <w:r>
        <w:rPr>
          <w:lang w:val="en-US"/>
        </w:rPr>
        <w:lastRenderedPageBreak/>
        <w:t>Materials and Methods</w:t>
      </w:r>
    </w:p>
    <w:p w14:paraId="7915A8BE" w14:textId="0A19479F" w:rsidR="009578AB" w:rsidRPr="009578AB" w:rsidRDefault="009578AB" w:rsidP="00F15126">
      <w:pPr>
        <w:pStyle w:val="Heading2"/>
        <w:rPr>
          <w:lang w:val="en-US"/>
        </w:rPr>
      </w:pPr>
      <w:r>
        <w:rPr>
          <w:lang w:val="en-US"/>
        </w:rPr>
        <w:t>Participants</w:t>
      </w:r>
      <w:r w:rsidR="00EF26DF">
        <w:rPr>
          <w:lang w:val="en-US"/>
        </w:rPr>
        <w:t xml:space="preserve"> and data collection</w:t>
      </w:r>
    </w:p>
    <w:p w14:paraId="76236786" w14:textId="7609A18B"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0D57E032" w:rsidR="0020674A" w:rsidRPr="00304E45" w:rsidRDefault="0020674A" w:rsidP="0020674A">
                            <w:pPr>
                              <w:pStyle w:val="Caption"/>
                              <w:jc w:val="center"/>
                              <w:rPr>
                                <w:noProof/>
                              </w:rPr>
                            </w:pPr>
                            <w:r>
                              <w:t xml:space="preserve">Figure </w:t>
                            </w:r>
                            <w:r w:rsidR="00482C8F">
                              <w:fldChar w:fldCharType="begin"/>
                            </w:r>
                            <w:r w:rsidR="00482C8F">
                              <w:instrText xml:space="preserve"> SEQ Figure \* ARABIC </w:instrText>
                            </w:r>
                            <w:r w:rsidR="00482C8F">
                              <w:fldChar w:fldCharType="separate"/>
                            </w:r>
                            <w:r w:rsidR="00482C8F">
                              <w:rPr>
                                <w:noProof/>
                              </w:rPr>
                              <w:t>1</w:t>
                            </w:r>
                            <w:r w:rsidR="00482C8F">
                              <w:rPr>
                                <w:noProof/>
                              </w:rPr>
                              <w:fldChar w:fldCharType="end"/>
                            </w:r>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0D57E032" w:rsidR="0020674A" w:rsidRPr="00304E45" w:rsidRDefault="0020674A" w:rsidP="0020674A">
                      <w:pPr>
                        <w:pStyle w:val="Caption"/>
                        <w:jc w:val="center"/>
                        <w:rPr>
                          <w:noProof/>
                        </w:rPr>
                      </w:pPr>
                      <w:r>
                        <w:t xml:space="preserve">Figure </w:t>
                      </w:r>
                      <w:fldSimple w:instr=" SEQ Figure \* ARABIC ">
                        <w:r w:rsidR="00482C8F">
                          <w:rPr>
                            <w:noProof/>
                          </w:rPr>
                          <w:t>1</w:t>
                        </w:r>
                      </w:fldSimple>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430956">
        <w:rPr>
          <w:lang w:val="en-US"/>
        </w:rPr>
        <w:t>was</w:t>
      </w:r>
      <w:r w:rsidR="001D56A9" w:rsidRPr="009578AB">
        <w:rPr>
          <w:lang w:val="en-US"/>
        </w:rPr>
        <w:t xml:space="preserve"> 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r w:rsidR="007550E3">
        <w:rPr>
          <w:lang w:val="en-US"/>
        </w:rPr>
        <w:t xml:space="preserve">With over 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40BC9CAA" w14:textId="360808D0" w:rsidR="00430956" w:rsidRPr="00430956" w:rsidRDefault="00EF26DF" w:rsidP="00430956">
      <w:pPr>
        <w:pStyle w:val="Paragraph"/>
        <w:spacing w:line="360" w:lineRule="auto"/>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2024, where 1,247 respondents agreed to participate in the survey via a web-based platform.</w:t>
      </w:r>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r w:rsidRPr="009578AB">
        <w:rPr>
          <w:lang w:val="en-US"/>
        </w:rPr>
        <w:t xml:space="preserve">Following the initial </w:t>
      </w:r>
      <w:r w:rsidR="00DD5C31">
        <w:rPr>
          <w:lang w:val="en-US"/>
        </w:rPr>
        <w:t>DCE</w:t>
      </w:r>
      <w:r w:rsidRPr="009578AB">
        <w:rPr>
          <w:lang w:val="en-US"/>
        </w:rPr>
        <w:t xml:space="preserve"> administration, two reminder emails were sent out to encourage participation in the </w:t>
      </w:r>
      <w:r w:rsidR="00DD5C31">
        <w:rPr>
          <w:lang w:val="en-US"/>
        </w:rPr>
        <w:t>experiment</w:t>
      </w:r>
      <w:r w:rsidRPr="009578AB">
        <w:rPr>
          <w:lang w:val="en-US"/>
        </w:rPr>
        <w:t xml:space="preserve">. The first in September 2024, to the entire respondent group, and another reminder in October 2024, targeting only those who had not taken the experiment portion of the survey. The final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follow-up respondent</w:t>
      </w:r>
      <w:r w:rsidR="00430956">
        <w:rPr>
          <w:lang w:val="en-US"/>
        </w:rPr>
        <w:t xml:space="preserve">s and representing a </w:t>
      </w:r>
      <w:r w:rsidR="00430956" w:rsidRPr="009578AB">
        <w:rPr>
          <w:lang w:val="en-US"/>
        </w:rPr>
        <w:t>geographically diverse sample of individuals aged 55 and above across Sweden (see Figure 1).</w:t>
      </w:r>
    </w:p>
    <w:p w14:paraId="0CB25670" w14:textId="1ED30F1C" w:rsidR="00EF26DF" w:rsidRPr="00430956" w:rsidRDefault="00EF26DF" w:rsidP="00F15126">
      <w:pPr>
        <w:pStyle w:val="Paragraph"/>
        <w:spacing w:line="360" w:lineRule="auto"/>
        <w:ind w:firstLine="720"/>
      </w:pPr>
    </w:p>
    <w:p w14:paraId="1CAD93FD" w14:textId="344E6FBD" w:rsidR="00C10D09" w:rsidRDefault="006E4F5B" w:rsidP="00DC6C63">
      <w:pPr>
        <w:pStyle w:val="Paragraph"/>
        <w:spacing w:line="360" w:lineRule="auto"/>
        <w:rPr>
          <w:lang w:val="en-US"/>
        </w:rPr>
      </w:pPr>
      <w:r w:rsidRPr="009578AB">
        <w:rPr>
          <w:lang w:val="en-US"/>
        </w:rPr>
        <w:t>Prior to administering the DCE,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participants in </w:t>
      </w:r>
      <w:r w:rsidR="000368B2">
        <w:rPr>
          <w:lang w:val="en-US"/>
        </w:rPr>
        <w:t>the Stakeholder Pool</w:t>
      </w:r>
      <w:r w:rsidRPr="009578AB">
        <w:rPr>
          <w:lang w:val="en-US"/>
        </w:rPr>
        <w:t>, a network of individuals collaborating with academia and society in the areas of ageing and health</w:t>
      </w:r>
      <w:r w:rsidR="000368B2">
        <w:rPr>
          <w:lang w:val="en-US"/>
        </w:rPr>
        <w:t>, which has been established at the Centre for Ageing and Supportive Environments (CASE) at Lund University</w:t>
      </w:r>
      <w:r w:rsidRPr="009578AB">
        <w:rPr>
          <w:lang w:val="en-US"/>
        </w:rPr>
        <w:t>.</w:t>
      </w:r>
      <w:r>
        <w:rPr>
          <w:lang w:val="en-US"/>
        </w:rPr>
        <w:t xml:space="preserve">  </w:t>
      </w:r>
      <w:r w:rsidRPr="009578AB">
        <w:rPr>
          <w:lang w:val="en-US"/>
        </w:rPr>
        <w:t xml:space="preserve">In both </w:t>
      </w:r>
      <w:r w:rsidR="000368B2">
        <w:rPr>
          <w:lang w:val="en-US"/>
        </w:rPr>
        <w:t>phases</w:t>
      </w:r>
      <w:r w:rsidRPr="009578AB">
        <w:rPr>
          <w:lang w:val="en-US"/>
        </w:rPr>
        <w:t xml:space="preserve">, respondents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choice sets to manage respondent burden. </w:t>
      </w:r>
    </w:p>
    <w:p w14:paraId="5ACFE1F7" w14:textId="5DEEDCA6" w:rsidR="000F2A45" w:rsidRPr="000F2A45" w:rsidRDefault="000F2A45" w:rsidP="00DC6C63">
      <w:pPr>
        <w:pStyle w:val="Paragraph"/>
        <w:spacing w:line="360" w:lineRule="auto"/>
        <w:rPr>
          <w:lang w:val="en-US"/>
        </w:rPr>
      </w:pPr>
      <w:r>
        <w:rPr>
          <w:lang w:val="en-US"/>
        </w:rPr>
        <w:t xml:space="preserve">The final </w:t>
      </w:r>
      <w:r w:rsidR="000368B2">
        <w:rPr>
          <w:lang w:val="en-US"/>
        </w:rPr>
        <w:t>DCE questionnaire</w:t>
      </w:r>
      <w:r>
        <w:rPr>
          <w:lang w:val="en-US"/>
        </w:rPr>
        <w:t xml:space="preserve"> included three parts: an introduction to the experiment while defining the attributes and levels, a short questionnaire on household income, costs, and planned future housing costs</w:t>
      </w:r>
      <w:r w:rsidR="00DD5C31">
        <w:rPr>
          <w:lang w:val="en-US"/>
        </w:rPr>
        <w:t>,</w:t>
      </w:r>
      <w:r>
        <w:rPr>
          <w:lang w:val="en-US"/>
        </w:rPr>
        <w:t xml:space="preserve"> and the </w:t>
      </w:r>
      <w:r w:rsidR="000368B2">
        <w:rPr>
          <w:lang w:val="en-US"/>
        </w:rPr>
        <w:t xml:space="preserve">actual </w:t>
      </w:r>
      <w:r>
        <w:rPr>
          <w:lang w:val="en-US"/>
        </w:rPr>
        <w:t>experiment with nine choice sets.</w:t>
      </w:r>
    </w:p>
    <w:p w14:paraId="751B89E1" w14:textId="4DEC3E3E" w:rsidR="009578AB" w:rsidRPr="009578AB" w:rsidRDefault="00DF58DC" w:rsidP="00F15126">
      <w:pPr>
        <w:pStyle w:val="Heading2"/>
        <w:rPr>
          <w:lang w:val="en-US"/>
        </w:rPr>
      </w:pPr>
      <w:r>
        <w:rPr>
          <w:lang w:val="en-US"/>
        </w:rPr>
        <w:t>E</w:t>
      </w:r>
      <w:r w:rsidR="009578AB" w:rsidRPr="009578AB">
        <w:rPr>
          <w:lang w:val="en-US"/>
        </w:rPr>
        <w:t>xperiment design</w:t>
      </w:r>
    </w:p>
    <w:p w14:paraId="3C857FF0" w14:textId="74487F27" w:rsidR="009578AB" w:rsidRPr="009578AB" w:rsidRDefault="009578AB" w:rsidP="00F15126">
      <w:pPr>
        <w:pStyle w:val="Paragraph"/>
        <w:spacing w:line="360" w:lineRule="auto"/>
        <w:rPr>
          <w:lang w:val="en-US"/>
        </w:rPr>
      </w:pPr>
      <w:r w:rsidRPr="009578AB">
        <w:rPr>
          <w:lang w:val="en-US"/>
        </w:rPr>
        <w:t xml:space="preserve">Stated choice experiments encompass a range of techniques in which respondents indicate their preferences by explicitly stating their choices. In contrast to revealed choice experiments, where preferences are inferred from past </w:t>
      </w:r>
      <w:r w:rsidR="00412457" w:rsidRPr="009578AB">
        <w:rPr>
          <w:lang w:val="en-US"/>
        </w:rPr>
        <w:t>behavior</w:t>
      </w:r>
      <w:r w:rsidRPr="009578AB">
        <w:rPr>
          <w:lang w:val="en-US"/>
        </w:rPr>
        <w:t xml:space="preserve">, stated choice methods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(Lancsar &amp; Louviere, 2008)</w:t>
      </w:r>
      <w:r w:rsidR="00C735A0">
        <w:rPr>
          <w:lang w:val="en-US"/>
        </w:rPr>
        <w:fldChar w:fldCharType="end"/>
      </w:r>
      <w:r w:rsidR="0026756C">
        <w:rPr>
          <w:lang w:val="en-US"/>
        </w:rPr>
        <w:t xml:space="preserve"> </w:t>
      </w:r>
      <w:r w:rsidRPr="009578AB">
        <w:rPr>
          <w:lang w:val="en-US"/>
        </w:rPr>
        <w:t xml:space="preserve">This controlled </w:t>
      </w:r>
      <w:r w:rsidR="00100485">
        <w:rPr>
          <w:lang w:val="en-US"/>
        </w:rPr>
        <w:t>environment</w:t>
      </w:r>
      <w:r w:rsidRPr="009578AB">
        <w:rPr>
          <w:lang w:val="en-US"/>
        </w:rPr>
        <w:t xml:space="preserve">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choice model that presents individuals with hypothetical scenarios, allowing researchers to quantify how much value respondents place on different attributes of a product, service, or </w:t>
      </w:r>
      <w:r w:rsidR="00100485">
        <w:rPr>
          <w:lang w:val="en-US"/>
        </w:rPr>
        <w:t xml:space="preserve">in our case, a </w:t>
      </w:r>
      <w:r w:rsidRPr="009578AB">
        <w:rPr>
          <w:lang w:val="en-US"/>
        </w:rPr>
        <w:t>housing option.</w:t>
      </w:r>
    </w:p>
    <w:p w14:paraId="46C0AE98" w14:textId="3E3271B5" w:rsidR="0026756C" w:rsidRPr="009578AB" w:rsidRDefault="009B2588" w:rsidP="00DC6C63">
      <w:pPr>
        <w:pStyle w:val="Paragraph"/>
        <w:spacing w:line="360" w:lineRule="auto"/>
        <w:rPr>
          <w:lang w:val="en-US"/>
        </w:rPr>
      </w:pPr>
      <w:r>
        <w:rPr>
          <w:lang w:val="en-US"/>
        </w:rPr>
        <w:t>In our experiment,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w:t>
      </w:r>
      <w:r w:rsidR="0026756C" w:rsidRPr="009578AB">
        <w:rPr>
          <w:lang w:val="en-US"/>
        </w:rPr>
        <w:lastRenderedPageBreak/>
        <w:t xml:space="preserve">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housing 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EF3A72">
        <w:t>(Maas, 2006; Paquet et al., 2013)</w:t>
      </w:r>
      <w:r w:rsidR="0026756C">
        <w:rPr>
          <w:lang w:val="en-US"/>
        </w:rPr>
        <w:fldChar w:fldCharType="end"/>
      </w:r>
      <w:r w:rsidR="0026756C" w:rsidRPr="009578AB">
        <w:rPr>
          <w:lang w:val="en-US"/>
        </w:rPr>
        <w:t xml:space="preserve">, lower stress </w:t>
      </w:r>
      <w:r w:rsidR="0026756C">
        <w:rPr>
          <w:lang w:val="en-US"/>
        </w:rPr>
        <w:fldChar w:fldCharType="begin"/>
      </w:r>
      <w:r w:rsidR="0026756C">
        <w:rPr>
          <w:lang w:val="en-US"/>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signiﬁcance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EF3A72">
        <w:t>(Nielsen &amp; Hansen, 2007)</w:t>
      </w:r>
      <w:r w:rsidR="0026756C">
        <w:rPr>
          <w:lang w:val="en-US"/>
        </w:rPr>
        <w:fldChar w:fldCharType="end"/>
      </w:r>
      <w:r w:rsidR="0026756C" w:rsidRPr="009578AB">
        <w:rPr>
          <w:lang w:val="en-US"/>
        </w:rPr>
        <w:t>, and improved mental health</w:t>
      </w:r>
      <w:r w:rsidR="0026756C">
        <w:rPr>
          <w:lang w:val="en-US"/>
        </w:rPr>
        <w:t xml:space="preserve"> </w:t>
      </w:r>
      <w:r w:rsidR="0026756C">
        <w:rPr>
          <w:lang w:val="en-US"/>
        </w:rPr>
        <w:fldChar w:fldCharType="begin"/>
      </w:r>
      <w:r w:rsidR="0026756C">
        <w:rPr>
          <w:lang w:val="en-US"/>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The attribute greenspace is defined as the distance in kilometers to green areas including parks, forests, hiking areas, and open spaces.</w:t>
      </w:r>
      <w:r w:rsidR="0026756C">
        <w:rPr>
          <w:lang w:val="en-US"/>
        </w:rPr>
        <w:t xml:space="preserve">  </w:t>
      </w:r>
      <w:r w:rsidR="0026756C" w:rsidRPr="009578AB">
        <w:rPr>
          <w:lang w:val="en-US"/>
        </w:rPr>
        <w:t>Proximity to shops and services represents not only distance to frequent amenities which 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r w:rsidR="0026756C">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r w:rsidR="0026756C">
        <w:rPr>
          <w:lang w:val="en-US"/>
        </w:rPr>
        <w:fldChar w:fldCharType="begin"/>
      </w:r>
      <w:r w:rsidR="0026756C">
        <w:rPr>
          <w:lang w:val="en-US"/>
        </w:rPr>
        <w:instrText xml:space="preserve"> ADDIN ZOTERO_ITEM CSL_CITATION {"citationID":"8IBkgYMS","properties":{"formattedCitation":"(Alsnih &amp; Hensher, 2003; Hildebrand, 2003; Ricciardi et al., 2015)","plainCitation":"(Alsnih &amp; Hensher, 2003; Hildebrand,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A"}],"issued":{"date-parts":[["2003",12]]},"citation-key":"alsnihMobilityAccessibilityExpectations2003"}},{"id":4830,"uris":["http://zotero.org/users/3783483/items/7MM4C4M9"],"itemData":{"id":4830,"type":"article-journal","abstract":"The current lack of a detailed description of elderly travel characteristics and behaviours, particularly one that examines the issue at a level involving activity engagement, was a deficiency addressed by this research. Using data from the 1994/95 Portland, Oregon, Household Activity and Stated Preference Survey a simplified activity-based travel model for the elderly was developed and validated. The modelling framework makes use of lifestyle groups which are delineated through advance analyses. The final cluster solution chosen to provide a categorical basis for the modelling framework identified six distinct lifestyle groups based on sociodemographic variables. The clusters were subjectively labelled Workers, Mobile Widows, Granny Flats, Mobility Impaired, Affluent Males, and Disabled Drivers. The clusters were found to have statistically significant differences in travel behaviour and activity engagement patterns. These findings are useful to policy-makers who attempt to balance the mobility needs of the elderly with the prospect for stricter driving license policies in response to traffic safety concerns. The model framework successfully replicated all facets of the base data set used for its development. Using a sequential process, the micro-simulation model employs a bottom-up approach by stochastically developing daily activity itineraries for individuals which are subsequently assembled into trip tours. Elements of travel behaviour synthesized for individuals being modelled included total daily activities (with and without travel), activities engaged in by class (with and without travel), total daily trip tours, and mode splits. The research has shown that a categorical approach using lifestyle groups with unique activity and travel characteristics can be successfully combined within an activity-based framework. Although this approach was applied specifically to the elderly, it can be extended to other heterogeneous groups including the population as a whole. Furthermore, the study has provided a more comprehensive understanding of the varied lifestyles, activity patterns, and subsequent travel behaviour and needs of the elderly.","language":"en","source":"Zotero","title":"Dimensions in elderly travel behaviour: A simplified activity-based model using lifestyle clusters","author":[{"family":"Hildebrand","given":"Eric D"}],"issued":{"date-parts":[["2003"]]},"citation-key":"hildebrandDimensionsElderlyTravel2003"}},{"id":4824,"uris":["http://zotero.org/users/3783483/items/QSN92VIG"],"itemData":{"id":4824,"type":"article-journal","abstract":"This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26756C" w:rsidRPr="00EF3A72">
        <w:t>(Alsnih &amp; Hensher, 2003; Hildebrand, 2003; Ricciardi et al., 2015)</w:t>
      </w:r>
      <w:r w:rsidR="0026756C">
        <w:rPr>
          <w:lang w:val="en-US"/>
        </w:rPr>
        <w:fldChar w:fldCharType="end"/>
      </w:r>
      <w:r w:rsidR="0026756C" w:rsidRPr="009578AB">
        <w:rPr>
          <w:lang w:val="en-US"/>
        </w:rPr>
        <w:t xml:space="preserve">. The attribute transport </w:t>
      </w:r>
      <w:r w:rsidR="0026756C">
        <w:rPr>
          <w:lang w:val="en-US"/>
        </w:rPr>
        <w:t>was defined as</w:t>
      </w:r>
      <w:r w:rsidR="0026756C" w:rsidRPr="009578AB">
        <w:rPr>
          <w:lang w:val="en-US"/>
        </w:rPr>
        <w:t xml:space="preserve"> the distance to </w:t>
      </w:r>
      <w:r w:rsidR="0026756C">
        <w:rPr>
          <w:lang w:val="en-US"/>
        </w:rPr>
        <w:t xml:space="preserve">public </w:t>
      </w:r>
      <w:r w:rsidR="0026756C" w:rsidRPr="009578AB">
        <w:rPr>
          <w:lang w:val="en-US"/>
        </w:rPr>
        <w:t>transportation, such as a bus stop, metro station, or train station.</w:t>
      </w:r>
      <w:r w:rsidR="0026756C">
        <w:rPr>
          <w:lang w:val="en-US"/>
        </w:rPr>
        <w:t xml:space="preserve"> </w:t>
      </w:r>
      <w:r w:rsidR="0026756C" w:rsidRPr="009578AB">
        <w:rPr>
          <w:lang w:val="en-US"/>
        </w:rPr>
        <w:t xml:space="preserve">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r w:rsidR="0026756C" w:rsidRPr="009578AB">
        <w:rPr>
          <w:lang w:val="en-US"/>
        </w:rPr>
        <w:t xml:space="preserve">over 90% of respondents indicated access to an automobile. </w:t>
      </w:r>
      <w:r w:rsidR="001154EE" w:rsidRPr="009578AB">
        <w:rPr>
          <w:lang w:val="en-US"/>
        </w:rPr>
        <w:t xml:space="preserve">Table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p>
    <w:p w14:paraId="551012F9" w14:textId="77777777" w:rsidR="0026756C" w:rsidRDefault="0026756C" w:rsidP="00DC6C63">
      <w:pPr>
        <w:pStyle w:val="Caption"/>
        <w:keepNext/>
      </w:pPr>
    </w:p>
    <w:p w14:paraId="02842426" w14:textId="77777777" w:rsidR="0026756C" w:rsidRDefault="0026756C" w:rsidP="0026756C">
      <w:pPr>
        <w:pStyle w:val="Caption"/>
        <w:keepNext/>
        <w:jc w:val="center"/>
      </w:pPr>
    </w:p>
    <w:p w14:paraId="6EA88E33" w14:textId="15873AED" w:rsidR="0026756C" w:rsidRPr="0026756C" w:rsidRDefault="0026756C" w:rsidP="0026756C">
      <w:pPr>
        <w:pStyle w:val="Caption"/>
        <w:keepNext/>
        <w:jc w:val="center"/>
      </w:pPr>
      <w:r>
        <w:t xml:space="preserve">Table </w:t>
      </w:r>
      <w:r w:rsidR="00482C8F">
        <w:fldChar w:fldCharType="begin"/>
      </w:r>
      <w:r w:rsidR="00482C8F">
        <w:instrText xml:space="preserve"> SEQ Table \* ARABIC </w:instrText>
      </w:r>
      <w:r w:rsidR="00482C8F">
        <w:fldChar w:fldCharType="separate"/>
      </w:r>
      <w:r w:rsidR="00482C8F">
        <w:rPr>
          <w:noProof/>
        </w:rPr>
        <w:t>1</w:t>
      </w:r>
      <w:r w:rsidR="00482C8F">
        <w:rPr>
          <w:noProof/>
        </w:rPr>
        <w:fldChar w:fldCharType="end"/>
      </w:r>
      <w:r>
        <w:br/>
        <w:t>Attributes and their corresponding levels used in the experiment</w:t>
      </w:r>
    </w:p>
    <w:p w14:paraId="36DDE886" w14:textId="0359BE29" w:rsidR="0026756C" w:rsidRDefault="0026756C" w:rsidP="0026756C">
      <w:pPr>
        <w:pStyle w:val="Paragraph"/>
        <w:spacing w:line="360" w:lineRule="auto"/>
        <w:ind w:firstLine="720"/>
        <w:jc w:val="both"/>
        <w:rPr>
          <w:lang w:val="en-US"/>
        </w:rPr>
      </w:pPr>
      <w:r w:rsidRPr="00E4272E">
        <w:rPr>
          <w:noProof/>
          <w:lang w:val="en-US"/>
        </w:rPr>
        <w:drawing>
          <wp:inline distT="0" distB="0" distL="0" distR="0" wp14:anchorId="24E0D7EE" wp14:editId="1659572D">
            <wp:extent cx="4572000" cy="2739390"/>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0"/>
                    <a:srcRect t="9412" r="1378"/>
                    <a:stretch>
                      <a:fillRect/>
                    </a:stretch>
                  </pic:blipFill>
                  <pic:spPr bwMode="auto">
                    <a:xfrm>
                      <a:off x="0" y="0"/>
                      <a:ext cx="4575819" cy="2741678"/>
                    </a:xfrm>
                    <a:prstGeom prst="rect">
                      <a:avLst/>
                    </a:prstGeom>
                    <a:ln>
                      <a:noFill/>
                    </a:ln>
                    <a:extLst>
                      <a:ext uri="{53640926-AAD7-44D8-BBD7-CCE9431645EC}">
                        <a14:shadowObscured xmlns:a14="http://schemas.microsoft.com/office/drawing/2010/main"/>
                      </a:ext>
                    </a:extLst>
                  </pic:spPr>
                </pic:pic>
              </a:graphicData>
            </a:graphic>
          </wp:inline>
        </w:drawing>
      </w:r>
    </w:p>
    <w:p w14:paraId="49F0547B" w14:textId="7B303477" w:rsidR="00EA7CB1" w:rsidRPr="00EA7CB1" w:rsidRDefault="00EA7CB1" w:rsidP="00F15126">
      <w:pPr>
        <w:spacing w:line="360" w:lineRule="auto"/>
        <w:rPr>
          <w:lang w:val="en-US"/>
        </w:rPr>
      </w:pPr>
    </w:p>
    <w:p w14:paraId="57FC3877" w14:textId="3ACB3CA5" w:rsidR="0026756C" w:rsidRPr="0020674A" w:rsidRDefault="00EF26DF" w:rsidP="00DD6E25">
      <w:pPr>
        <w:pStyle w:val="Paragraph"/>
        <w:spacing w:line="360" w:lineRule="auto"/>
        <w:ind w:firstLine="720"/>
        <w:rPr>
          <w:lang w:val="en-US"/>
        </w:rPr>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Respondents were also instructed to base each choice on the assumption that the alternative housing options were identical in every way aside from the attribute</w:t>
      </w:r>
      <w:r>
        <w:rPr>
          <w:lang w:val="en-US"/>
        </w:rPr>
        <w:t>s presented</w:t>
      </w:r>
      <w:r w:rsidRPr="009578AB">
        <w:rPr>
          <w:lang w:val="en-US"/>
        </w:rPr>
        <w:t xml:space="preserve">. </w:t>
      </w:r>
      <w:r w:rsidR="00DD5C31">
        <w:rPr>
          <w:lang w:val="en-US"/>
        </w:rPr>
        <w:t>When designing the experiment, i</w:t>
      </w:r>
      <w:r w:rsidR="00FE78F6">
        <w:rPr>
          <w:lang w:val="en-US"/>
        </w:rPr>
        <w:t>ncluding every combination of attribute levels in the construction of the choice sets, a full factorial design</w:t>
      </w:r>
      <w:r w:rsidR="00DD6E25">
        <w:rPr>
          <w:lang w:val="en-US"/>
        </w:rPr>
        <w:t>,</w:t>
      </w:r>
      <w:r w:rsidR="00FE78F6">
        <w:rPr>
          <w:lang w:val="en-US"/>
        </w:rPr>
        <w:t xml:space="preserve"> is often too large to be used in practice. </w:t>
      </w:r>
      <w:r w:rsidR="00FE78F6" w:rsidRPr="009578AB">
        <w:rPr>
          <w:lang w:val="en-US"/>
        </w:rPr>
        <w:t>To reduce the dimensionality of a full factorial design, a D-optimal subset was generated that reduces dimensionality while maintaining statistical power</w:t>
      </w:r>
      <w:r w:rsidR="00FE78F6">
        <w:rPr>
          <w:lang w:val="en-US"/>
        </w:rPr>
        <w:t xml:space="preserve"> and balanced attribute representation </w:t>
      </w:r>
      <w:r w:rsidR="00FE78F6">
        <w:rPr>
          <w:lang w:val="en-US"/>
        </w:rPr>
        <w:fldChar w:fldCharType="begin"/>
      </w:r>
      <w:r w:rsidR="00FE78F6">
        <w:rPr>
          <w:lang w:val="en-US"/>
        </w:rPr>
        <w:instrText xml:space="preserve"> ADDIN ZOTERO_ITEM CSL_CITATION {"citationID":"FbDuyD4z","properties":{"formattedCitation":"(Lancsar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E78F6">
        <w:rPr>
          <w:lang w:val="en-US"/>
        </w:rPr>
        <w:fldChar w:fldCharType="separate"/>
      </w:r>
      <w:r w:rsidR="00FE78F6" w:rsidRPr="009B2588">
        <w:t>(Lancsar &amp; Louviere, 2008)</w:t>
      </w:r>
      <w:r w:rsidR="00FE78F6">
        <w:rPr>
          <w:lang w:val="en-US"/>
        </w:rPr>
        <w:fldChar w:fldCharType="end"/>
      </w:r>
      <w:r w:rsidR="00FE78F6" w:rsidRPr="009578AB">
        <w:rPr>
          <w:lang w:val="en-US"/>
        </w:rPr>
        <w:t>.</w:t>
      </w:r>
      <w:r w:rsidR="00DD6E25">
        <w:rPr>
          <w:lang w:val="en-US"/>
        </w:rPr>
        <w:t xml:space="preserve"> Furthermore, t</w:t>
      </w:r>
      <w:r w:rsidRPr="009578AB">
        <w:rPr>
          <w:lang w:val="en-US"/>
        </w:rPr>
        <w:t xml:space="preserve">he number of choice sets was limited to </w:t>
      </w:r>
      <w:r w:rsidR="00C662D8">
        <w:rPr>
          <w:lang w:val="en-US"/>
        </w:rPr>
        <w:t>ni</w:t>
      </w:r>
      <w:r w:rsidR="0026756C">
        <w:rPr>
          <w:lang w:val="en-US"/>
        </w:rPr>
        <w:t>n</w:t>
      </w:r>
      <w:r w:rsidR="00C662D8">
        <w:rPr>
          <w:lang w:val="en-US"/>
        </w:rPr>
        <w:t>e</w:t>
      </w:r>
      <w:r w:rsidRPr="009578AB">
        <w:rPr>
          <w:lang w:val="en-US"/>
        </w:rPr>
        <w:t xml:space="preserve"> in order to minimize the cognitive burden of the DCE while maximizing the statistical power of our tests</w:t>
      </w:r>
      <w:r>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Pr="009578AB">
        <w:rPr>
          <w:lang w:val="en-US"/>
        </w:rPr>
        <w:t xml:space="preserve"> </w:t>
      </w:r>
      <w:r w:rsidR="0026756C" w:rsidRPr="009578AB">
        <w:rPr>
          <w:lang w:val="en-US"/>
        </w:rPr>
        <w:t>Figure 2 depicts a typical choice set presented to the respondents.</w:t>
      </w:r>
    </w:p>
    <w:p w14:paraId="7CC03810" w14:textId="77777777" w:rsidR="0026756C" w:rsidRDefault="0026756C" w:rsidP="0026756C">
      <w:pPr>
        <w:pStyle w:val="Paragraph"/>
        <w:keepNext/>
        <w:spacing w:line="360" w:lineRule="auto"/>
        <w:ind w:firstLine="720"/>
      </w:pPr>
      <w:r>
        <w:rPr>
          <w:noProof/>
          <w:lang w:val="en-US"/>
        </w:rPr>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4EFE1846" w:rsidR="00E4272E" w:rsidRPr="006315DF" w:rsidRDefault="0026756C" w:rsidP="006315DF">
      <w:pPr>
        <w:pStyle w:val="Caption"/>
        <w:spacing w:line="360" w:lineRule="auto"/>
        <w:jc w:val="center"/>
      </w:pPr>
      <w:r>
        <w:t xml:space="preserve">Figure </w:t>
      </w:r>
      <w:r w:rsidR="00482C8F">
        <w:fldChar w:fldCharType="begin"/>
      </w:r>
      <w:r w:rsidR="00482C8F">
        <w:instrText xml:space="preserve"> SEQ Figure \* ARABIC </w:instrText>
      </w:r>
      <w:r w:rsidR="00482C8F">
        <w:fldChar w:fldCharType="separate"/>
      </w:r>
      <w:r w:rsidR="00482C8F">
        <w:rPr>
          <w:noProof/>
        </w:rPr>
        <w:t>2</w:t>
      </w:r>
      <w:r w:rsidR="00482C8F">
        <w:rPr>
          <w:noProof/>
        </w:rPr>
        <w:fldChar w:fldCharType="end"/>
      </w:r>
      <w:r>
        <w:rPr>
          <w:noProof/>
        </w:rPr>
        <w:br/>
        <w:t>Example of choice set</w:t>
      </w:r>
    </w:p>
    <w:p w14:paraId="15759BF7" w14:textId="5FEC3216" w:rsidR="00A06334" w:rsidRDefault="00C662D8" w:rsidP="00F15126">
      <w:pPr>
        <w:pStyle w:val="Heading1"/>
        <w:rPr>
          <w:lang w:val="en-US"/>
        </w:rPr>
      </w:pPr>
      <w:r>
        <w:rPr>
          <w:lang w:val="en-US"/>
        </w:rPr>
        <w:t xml:space="preserve">Statistical </w:t>
      </w:r>
      <w:r w:rsidR="00940A32">
        <w:rPr>
          <w:lang w:val="en-US"/>
        </w:rPr>
        <w:t>analysis</w:t>
      </w:r>
    </w:p>
    <w:p w14:paraId="17D8D8F7" w14:textId="3E025199" w:rsidR="00F67B41" w:rsidRDefault="00DD5C31" w:rsidP="00F15126">
      <w:pPr>
        <w:pStyle w:val="Paragraph"/>
        <w:spacing w:line="360" w:lineRule="auto"/>
        <w:ind w:firstLine="720"/>
        <w:rPr>
          <w:lang w:val="en-US"/>
        </w:rPr>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(Lancsar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i</w:t>
      </w:r>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w:lastRenderedPageBreak/>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 xml:space="preserve">are independently and identically distributed (i.i.d.).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is then:</w:t>
      </w:r>
    </w:p>
    <w:p w14:paraId="016A3150" w14:textId="77777777" w:rsidR="00601D62" w:rsidRDefault="00601D62" w:rsidP="00601D62">
      <w:pPr>
        <w:pStyle w:val="Newparagraph"/>
        <w:ind w:firstLine="0"/>
      </w:pPr>
    </w:p>
    <w:p w14:paraId="2BEFA987" w14:textId="72A509A6"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2A52636F" w:rsidR="00722B2D" w:rsidRPr="00722B2D" w:rsidRDefault="00601D62" w:rsidP="00CB6014">
      <w:pPr>
        <w:pStyle w:val="Paragraph"/>
        <w:spacing w:line="360" w:lineRule="auto"/>
        <w:ind w:firstLine="720"/>
      </w:pPr>
      <w:r>
        <w:t xml:space="preserve">While MNL models are commonly used in choice modelling, they are not well suited to uncover heterogeneity in preferences, which is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in their tests</w:t>
      </w:r>
      <w:r w:rsidR="00F67B41">
        <w:rPr>
          <w:lang w:val="en-US"/>
        </w:rPr>
        <w:t xml:space="preserve"> </w:t>
      </w:r>
      <w:r w:rsidR="00F67B41">
        <w:rPr>
          <w:lang w:val="en-US"/>
        </w:rPr>
        <w:fldChar w:fldCharType="begin"/>
      </w:r>
      <w:r w:rsidR="006B744D">
        <w:rPr>
          <w:lang w:val="en-US"/>
        </w:rPr>
        <w:instrText xml:space="preserve"> ADDIN ZOTERO_ITEM CSL_CITATION {"citationID":"wuWU5ytg","properties":{"unsorted":true,"formattedCitation":"(Caplan et al., 2021; Zhao et al., 2023; Ardeshiri et al., 2024; Aitken et al., 2024; Lee et al., 2025)","plainCitation":"(Caplan et al., 2021; Zhao et al., 2023; Ardeshiri et al., 2024; Aitken et al., 2024; Lee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B."},{"family":"Toll","given":"Kristopher"}],"issued":{"date-parts":[["2021",3]]},"citation-key":"caplanMeasuringHeterogeneousPreferences2021"}},{"id":2960,"uris":["http://zotero.org/users/3783483/items/3EY766UI"],"itemData":{"id":2960,"type":"article-journal","abstract":"Urban transportation systems involve thousands of individuals making choices between routes with multiple modes and transfers. For transportation system simulations to produce realistic results, modelers need to incorporate these users and their choices. Choice-based conjoint surveys provide an attractive solution for obtaining flexible utility models that can be used to predict choices for a wide variety of trips. In this study, we demonstrate an example using conjoint survey data of commuter mode choice in the Washington, D.C. metro area (N = 1651). We sample commuters who primarily drive and those that take transit. We examine preferences for different types of multimodal trips, including those with intramodal and intermodel transfers. We find that trips involving a bus transfer are the least preferred while both drivers and transit users both value metro similarly to driving. We also find that walking during transit trips is an important barrier, with the travel time penalty for walking being 60% higher than that of time in a vehicle. Our findings highlight the significance of accounting for differences in modal transfer types in transportation system simulations. Reducing arrival time uncertainty was not a significant factor in commuter mode choice, and commuters' value of time was similar across all vehicle types, suggesting that increasing the relative speed of transit modes may only have a marginal effect on commuter substitution away from personal vehicles.","container-title":"Systems Engineering","DOI":"10.1002/sys.21670","ISSN":"1520-6858","issue":"4","language":"en","note":"_eprint: https://onlinelibrary.wiley.com/doi/pdf/10.1002/sys.21670","page":"438-448","source":"Wiley Online Library","title":"Using conjoint analysis to incorporate heterogeneous preferences into multimodal transit trip simulations","volume":"26","author":[{"family":"Zhao","given":"Lujin"},{"family":"Szajnfarber","given":"Zoe"},{"family":"Broniatowski","given":"David"},{"family":"Helveston","given":"John Paul"}],"issued":{"date-parts":[["2023"]]},"citation-key":"zhaoUsingConjointAnalysis2023"}},{"id":4846,"uris":["http://zotero.org/users/3783483/items/TUE4V77N"],"itemData":{"id":4846,"type":"article-journal","abstract":"Exploring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6B744D" w:rsidRPr="00127537">
        <w:rPr>
          <w:lang w:val="sv-SE"/>
        </w:rPr>
        <w:instrText>n of a certain proportion of reused materials, provision of green facilities, availability of fu</w:instrText>
      </w:r>
      <w:r w:rsidR="006B744D" w:rsidRPr="006B744D">
        <w:rPr>
          <w:lang w:val="sv-SE"/>
        </w:rPr>
        <w:instrText xml:space="preserve">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EF3A72" w:rsidRPr="00EF3A72">
        <w:rPr>
          <w:lang w:val="sv-SE"/>
        </w:rPr>
        <w:t>(Caplan et al., 2021; Zhao et al., 2023; Ardeshiri et al., 2024; Aitken et al., 2024; Lee et al., 2025)</w:t>
      </w:r>
      <w:r w:rsidR="00F67B41">
        <w:rPr>
          <w:lang w:val="en-US"/>
        </w:rPr>
        <w:fldChar w:fldCharType="end"/>
      </w:r>
      <w:r w:rsidR="00F67B41" w:rsidRPr="006B744D">
        <w:rPr>
          <w:lang w:val="sv-SE"/>
        </w:rPr>
        <w:t xml:space="preserve">. </w:t>
      </w:r>
      <w:r w:rsidR="00F67B41" w:rsidRPr="00F67B41">
        <w:rPr>
          <w:lang w:val="en-US"/>
        </w:rPr>
        <w:t>We follow</w:t>
      </w:r>
      <w:r w:rsidR="00C662D8">
        <w:rPr>
          <w:lang w:val="en-US"/>
        </w:rPr>
        <w:t>ed</w:t>
      </w:r>
      <w:r w:rsidR="00F67B41" w:rsidRPr="00F67B41">
        <w:rPr>
          <w:lang w:val="en-US"/>
        </w:rPr>
        <w:t xml:space="preserve"> this line of research and estimate mixed logit (ML) models, in which the utility coefficients β</w:t>
      </w:r>
      <w:r w:rsidR="00F67B41" w:rsidRPr="004A6381">
        <w:rPr>
          <w:i/>
          <w:iCs/>
          <w:lang w:val="en-US"/>
        </w:rPr>
        <w:t>i</w:t>
      </w:r>
      <w:r w:rsidR="00F67B41" w:rsidRPr="00F67B41">
        <w:rPr>
          <w:lang w:val="en-US"/>
        </w:rPr>
        <w:t xml:space="preserve">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39649359" w:rsidR="00C96CA5" w:rsidRDefault="00F67B41" w:rsidP="00F15126">
      <w:pPr>
        <w:pStyle w:val="Paragraph"/>
        <w:spacing w:line="360" w:lineRule="auto"/>
        <w:rPr>
          <w:lang w:val="en-US"/>
        </w:rPr>
      </w:pPr>
      <w:r w:rsidRPr="00F67B41">
        <w:rPr>
          <w:lang w:val="en-US"/>
        </w:rPr>
        <w:lastRenderedPageBreak/>
        <w:t>The mixed logit model captures heterogeneity by integrating over the distribution of random coefficients using simulated maximum likelihood</w:t>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9864644" w14:textId="2945E1C2" w:rsidR="00C96CA5" w:rsidRDefault="00C96CA5" w:rsidP="00F15126">
      <w:pPr>
        <w:pStyle w:val="Paragraph"/>
        <w:spacing w:line="360" w:lineRule="auto"/>
        <w:rPr>
          <w:lang w:val="en-US"/>
        </w:rPr>
      </w:pPr>
    </w:p>
    <w:p w14:paraId="609CA723" w14:textId="15F4C33A" w:rsidR="00F67B41" w:rsidRPr="00F67B41" w:rsidRDefault="00F67B41" w:rsidP="00722B2D">
      <w:pPr>
        <w:pStyle w:val="Paragraph"/>
        <w:spacing w:line="360" w:lineRule="auto"/>
        <w:rPr>
          <w:lang w:val="en-US"/>
        </w:rPr>
      </w:pPr>
      <w:r w:rsidRPr="00F67B41">
        <w:rPr>
          <w:lang w:val="en-US"/>
        </w:rPr>
        <w:t xml:space="preserve">Because this integral has no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The simulated choice probability for an alternative is then obtained by averaging these draw-specific probabilities across all simulation draws. The log-likelihood function is constructed from these simulated probabilities by matching them to the alternatives actually chosen by each respondent across all choice tasks. This simulated log-likelihood is then maximized to recover the mean coefficients and covariance parameters of the mixed logit model. In our application, all non-monetary attributes were specified as random with normal distributions, while the price coefficient was fixed to ensure consistent derivation of willingness to pay measures. We also 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logitr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07818F39" w:rsidR="00F67B41" w:rsidRDefault="00F67B41" w:rsidP="00F15126">
      <w:pPr>
        <w:pStyle w:val="Paragraph"/>
        <w:spacing w:line="360" w:lineRule="auto"/>
        <w:rPr>
          <w:lang w:val="en-US"/>
        </w:rPr>
      </w:pPr>
      <w:r w:rsidRPr="00F67B41">
        <w:rPr>
          <w:lang w:val="en-US"/>
        </w:rPr>
        <w:t>We then use our price coefficient to compute monetary trade-offs for non-cost attributes. First, we estimate</w:t>
      </w:r>
      <w:r w:rsidR="00C662D8">
        <w:rPr>
          <w:lang w:val="en-US"/>
        </w:rPr>
        <w:t>d</w:t>
      </w:r>
      <w:r w:rsidRPr="00F67B41">
        <w:rPr>
          <w:lang w:val="en-US"/>
        </w:rPr>
        <w:t xml:space="preserve"> marginal rate of substitution (MRS)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0E6C780F"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2DC48231" w:rsidR="00CF1623" w:rsidRDefault="00E422B8" w:rsidP="00F15126">
      <w:pPr>
        <w:pStyle w:val="Paragraph"/>
        <w:spacing w:line="360" w:lineRule="auto"/>
        <w:rPr>
          <w:lang w:val="en-US"/>
        </w:rPr>
      </w:pPr>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9D53A5" w:rsidRPr="009D53A5">
        <w:rPr>
          <w:i/>
          <w:iCs/>
          <w:lang w:val="en-US"/>
        </w:rPr>
        <w:t>price</w:t>
      </w:r>
      <w:r w:rsidR="00F67B41" w:rsidRPr="00F67B41">
        <w:rPr>
          <w:lang w:val="en-US"/>
        </w:rPr>
        <w:t xml:space="preserve"> is the estimated coefficient on the </w:t>
      </w:r>
      <w:r w:rsidR="009D53A5">
        <w:rPr>
          <w:lang w:val="en-US"/>
        </w:rPr>
        <w:t>price</w:t>
      </w:r>
      <w:r w:rsidR="00F67B41" w:rsidRPr="00F67B41">
        <w:rPr>
          <w:lang w:val="en-US"/>
        </w:rPr>
        <w:t xml:space="preserve"> attribute.</w:t>
      </w:r>
      <w:r w:rsidR="00DD6E25">
        <w:rPr>
          <w:lang w:val="en-US"/>
        </w:rPr>
        <w:t xml:space="preserve">  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p>
    <w:p w14:paraId="0F91B76C" w14:textId="45BD96EF"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420E9E14" w14:textId="77777777" w:rsidR="00D741F0" w:rsidRPr="00D741F0" w:rsidRDefault="00D741F0" w:rsidP="00D741F0">
      <w:pPr>
        <w:pStyle w:val="Newparagraph"/>
        <w:rPr>
          <w:lang w:val="en-US"/>
        </w:rPr>
      </w:pPr>
    </w:p>
    <w:p w14:paraId="05BA1A0F" w14:textId="77F59D11"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Pr="004639E6">
        <w:t xml:space="preserve">Caplan et al. </w:t>
      </w:r>
      <w:r>
        <w:t>(</w:t>
      </w:r>
      <w:r w:rsidRPr="004639E6">
        <w:t>2021)</w:t>
      </w:r>
      <w:r>
        <w:rPr>
          <w:lang w:val="en-US"/>
        </w:rPr>
        <w:fldChar w:fldCharType="end"/>
      </w:r>
      <w:r>
        <w:rPr>
          <w:lang w:val="en-US"/>
        </w:rPr>
        <w:t xml:space="preserve"> in methodology when estimating willingness to pay values.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percent intervals, we convert</w:t>
      </w:r>
      <w:r w:rsidR="00C662D8">
        <w:rPr>
          <w:lang w:val="en-US"/>
        </w:rPr>
        <w:t>ed</w:t>
      </w:r>
      <w:r w:rsidR="00F67B41" w:rsidRPr="00F67B41">
        <w:rPr>
          <w:lang w:val="en-US"/>
        </w:rPr>
        <w:t xml:space="preserve"> marginal rates of substitution (MRS) into marginal willingness to pay (MWTP) in monetary terms by scaling with 10 percent 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mean of respondents’ </w:t>
      </w:r>
      <w:r w:rsidR="00CB6014">
        <w:rPr>
          <w:lang w:val="en-US"/>
        </w:rPr>
        <w:t xml:space="preserve">stated </w:t>
      </w:r>
      <w:r w:rsidRPr="00F67B41">
        <w:rPr>
          <w:lang w:val="en-US"/>
        </w:rPr>
        <w:t>planned monthly housing cos</w:t>
      </w:r>
      <w:r w:rsidR="00CB6014">
        <w:rPr>
          <w:lang w:val="en-US"/>
        </w:rPr>
        <w:t xml:space="preserve">t, </w:t>
      </w:r>
      <w:r w:rsidR="009D53A5">
        <w:rPr>
          <w:lang w:val="en-US"/>
        </w:rPr>
        <w:t>captured in the</w:t>
      </w:r>
      <w:r w:rsidR="00CB6014">
        <w:rPr>
          <w:lang w:val="en-US"/>
        </w:rPr>
        <w:t xml:space="preserve"> DCE questionnaire</w:t>
      </w:r>
      <w:r w:rsidRPr="00F67B41">
        <w:rPr>
          <w:lang w:val="en-US"/>
        </w:rPr>
        <w:t xml:space="preserve">. These MWTP </w:t>
      </w:r>
      <w:r w:rsidR="00CB6014">
        <w:rPr>
          <w:lang w:val="en-US"/>
        </w:rPr>
        <w:t>e</w:t>
      </w:r>
      <w:r w:rsidRPr="00F67B41">
        <w:rPr>
          <w:lang w:val="en-US"/>
        </w:rPr>
        <w:t xml:space="preserve">stimates represent the amount, 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8EAD244" w:rsidR="00F72FA0" w:rsidRPr="00F72FA0" w:rsidRDefault="00F72FA0" w:rsidP="00862A8D">
      <w:pPr>
        <w:pStyle w:val="Paragraph"/>
        <w:spacing w:line="360" w:lineRule="auto"/>
        <w:ind w:firstLine="720"/>
      </w:pPr>
      <w:r>
        <w:t>We first estimated mixed logit models separately for homeowners and renters to identify preference patterns across housing tenure. Positive (negative) coefficients indicate increases (decreases) in average utility relative to the reference level of each attribute. Reference levels were defined as the least preferred option, such that estimated coefficients are expected to be positive where improvements are valued.</w:t>
      </w:r>
    </w:p>
    <w:p w14:paraId="558EB202" w14:textId="77777777" w:rsidR="00F72FA0" w:rsidRDefault="00F72FA0" w:rsidP="00862A8D">
      <w:pPr>
        <w:pStyle w:val="Paragraph"/>
        <w:spacing w:line="360" w:lineRule="auto"/>
        <w:ind w:firstLine="720"/>
      </w:pPr>
      <w:r>
        <w:t xml:space="preserve">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the preferences of the comparison group (men) deviate from those of the reference group. Analogous models were estimated for age, using a dummy equal to one for respondents above the sample median age, and for health, using a dummy equal to one </w:t>
      </w:r>
      <w:r>
        <w:lastRenderedPageBreak/>
        <w:t xml:space="preserve">for respondents reporting “good” or better health.  </w:t>
      </w:r>
    </w:p>
    <w:p w14:paraId="1A9D9A25" w14:textId="77777777" w:rsidR="00EB0019" w:rsidRDefault="00F72FA0" w:rsidP="00862A8D">
      <w:pPr>
        <w:pStyle w:val="Paragraph"/>
        <w:spacing w:line="360" w:lineRule="auto"/>
        <w:ind w:firstLine="720"/>
      </w:pPr>
      <w:r>
        <w:t xml:space="preserve">To aid interpretation, we converted the estimated coefficients into MWTP values using the approach described above. MWTP expresses the monetary value respondents place on marginal improvements in each attribute, relative to its reference level. For models including interactions, MWTP values were computed separately for each subgroup using the appropriate combination of main and interaction coefficients. These estimates provide an interpretable monetary metric for comparing preferences across socio-demographic groups. </w:t>
      </w:r>
    </w:p>
    <w:p w14:paraId="7ED7DC36" w14:textId="7EC73FEA" w:rsidR="00F72FA0" w:rsidRDefault="00C3035D" w:rsidP="00862A8D">
      <w:pPr>
        <w:pStyle w:val="Paragraph"/>
        <w:spacing w:line="360" w:lineRule="auto"/>
        <w:ind w:firstLine="720"/>
      </w:pPr>
      <w:r>
        <w:t>To assess significance, w</w:t>
      </w:r>
      <w:r w:rsidR="00EB0019">
        <w:t>e computed M</w:t>
      </w:r>
      <w:r>
        <w:t>RS</w:t>
      </w:r>
      <w:r w:rsidR="00EB0019">
        <w:t xml:space="preserve"> </w:t>
      </w:r>
      <w:r>
        <w:t xml:space="preserve">confidence intervals </w:t>
      </w:r>
      <w:r w:rsidR="00EB0019">
        <w:t xml:space="preserve">using the delta method, allowing formal tests of whether </w:t>
      </w:r>
      <w:r>
        <w:t xml:space="preserve">MRS, and subsequent MWTP </w:t>
      </w:r>
      <w:r w:rsidR="00EB0019">
        <w:t>estimates</w:t>
      </w:r>
      <w:r>
        <w:t>,</w:t>
      </w:r>
      <w:r w:rsidR="00EB0019">
        <w:t xml:space="preserve"> differ from zero</w:t>
      </w:r>
      <w:r>
        <w:t xml:space="preserve"> </w:t>
      </w:r>
      <w:r>
        <w:fldChar w:fldCharType="begin"/>
      </w:r>
      <w:r>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fldChar w:fldCharType="separate"/>
      </w:r>
      <w:r w:rsidRPr="00C3035D">
        <w:t>(Wooldridge, 2010)</w:t>
      </w:r>
      <w:r>
        <w:fldChar w:fldCharType="end"/>
      </w:r>
      <w:r w:rsidR="00EB0019">
        <w:t xml:space="preserve">. As the </w:t>
      </w:r>
      <w:r>
        <w:t xml:space="preserve">MRS </w:t>
      </w:r>
      <w:r w:rsidR="00EB0019">
        <w:t xml:space="preserve">is based on a non-linear function of multiple estimated coefficients, the delta method is necessary </w:t>
      </w:r>
      <w:r>
        <w:t>as</w:t>
      </w:r>
      <w:r w:rsidR="00EB0019">
        <w:t xml:space="preserve"> variance cannot be obtained directly from the model output. However, even when delta-method significance is reported, a conservative interpretation is warranted: if the coefficient (or combination of coefficients) generating an MWTP estimate is not statistically significant, then the corresponding MWTP should be viewed as an estimated trade-off rather than strict evidence of a robust preference. The delta method thus provides a consistent, statistically grounded basis for inference while maintaining the intuitive interpretability of MWTP values</w:t>
      </w:r>
      <w:r w:rsidR="00F72FA0">
        <w:t>.</w:t>
      </w:r>
    </w:p>
    <w:p w14:paraId="186E84CE" w14:textId="5B559F94" w:rsidR="00C25739" w:rsidRPr="009578AB" w:rsidRDefault="00C25739" w:rsidP="00F15126">
      <w:pPr>
        <w:pStyle w:val="Heading2"/>
        <w:rPr>
          <w:lang w:val="en-US"/>
        </w:rPr>
      </w:pPr>
      <w:r w:rsidRPr="009578AB">
        <w:rPr>
          <w:lang w:val="en-US"/>
        </w:rPr>
        <w:t>Ethics</w:t>
      </w:r>
    </w:p>
    <w:p w14:paraId="62E98B41" w14:textId="77777777" w:rsidR="00C25739" w:rsidRPr="009578AB" w:rsidRDefault="00C25739" w:rsidP="00F15126">
      <w:pPr>
        <w:pStyle w:val="Paragraph"/>
        <w:spacing w:line="360" w:lineRule="auto"/>
        <w:rPr>
          <w:lang w:val="en-US"/>
        </w:rPr>
      </w:pPr>
      <w:r w:rsidRPr="009578AB">
        <w:rPr>
          <w:lang w:val="en-US"/>
        </w:rPr>
        <w:t>The Prospective RELOC-AGE study was approved by the Swedish Ethical Review Authority (Dnr 2020–03457),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5CF0AECB" w14:textId="77777777" w:rsidR="00C25739" w:rsidRPr="00C25739" w:rsidRDefault="00C25739" w:rsidP="00F15126">
      <w:pPr>
        <w:pStyle w:val="Newparagraph"/>
        <w:spacing w:line="360" w:lineRule="auto"/>
        <w:rPr>
          <w:lang w:val="en-US"/>
        </w:rPr>
      </w:pPr>
    </w:p>
    <w:p w14:paraId="5C40B146" w14:textId="77777777" w:rsidR="00F67B41" w:rsidRDefault="00F67B41" w:rsidP="00F15126">
      <w:pPr>
        <w:pStyle w:val="Heading1"/>
        <w:rPr>
          <w:lang w:val="en-US"/>
        </w:rPr>
      </w:pPr>
      <w:r>
        <w:rPr>
          <w:lang w:val="en-US"/>
        </w:rPr>
        <w:lastRenderedPageBreak/>
        <w:t>Results</w:t>
      </w:r>
    </w:p>
    <w:p w14:paraId="73DAB55C" w14:textId="66A73089" w:rsidR="00C276D2" w:rsidRPr="00C276D2" w:rsidRDefault="00E422B8" w:rsidP="00F15126">
      <w:pPr>
        <w:pStyle w:val="Heading2"/>
        <w:rPr>
          <w:lang w:val="en-US"/>
        </w:rPr>
      </w:pPr>
      <w:r>
        <w:rPr>
          <w:lang w:val="en-US"/>
        </w:rPr>
        <w:t>Sample characteristics</w:t>
      </w:r>
    </w:p>
    <w:p w14:paraId="38DDBE58" w14:textId="3EC8F6CF" w:rsidR="00F67B41" w:rsidRDefault="00F67B41" w:rsidP="00F15126">
      <w:pPr>
        <w:pStyle w:val="Paragraph"/>
        <w:spacing w:line="360" w:lineRule="auto"/>
        <w:rPr>
          <w:lang w:val="en-US"/>
        </w:rPr>
      </w:pPr>
      <w:r w:rsidRPr="009578AB">
        <w:rPr>
          <w:lang w:val="en-US"/>
        </w:rPr>
        <w:t xml:space="preserve">Table 2 provides descriptive statistics for the study sample, disaggregated by housing tenure. Of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(82%). </w:t>
      </w:r>
      <w:r w:rsidRPr="009578AB">
        <w:rPr>
          <w:lang w:val="en-US"/>
        </w:rPr>
        <w:t>Households predominantly consisted of one or two members (95.2%), with 3.8% reporting three or more. The mean monthly household income was 46,700 SEK, and the average planned monthly housing cost was 10,500 SEK.</w:t>
      </w:r>
    </w:p>
    <w:p w14:paraId="329E2A67" w14:textId="77777777" w:rsidR="00EA0C07" w:rsidRDefault="00EA0C07" w:rsidP="00F15126">
      <w:pPr>
        <w:pStyle w:val="Heading1"/>
        <w:jc w:val="center"/>
        <w:rPr>
          <w:noProof/>
          <w:lang w:val="en-US"/>
        </w:rPr>
      </w:pPr>
    </w:p>
    <w:p w14:paraId="52BAB3F0" w14:textId="072E5BD1" w:rsidR="00EA0C07" w:rsidRDefault="00EA0C07" w:rsidP="00F15126">
      <w:pPr>
        <w:pStyle w:val="Caption"/>
        <w:keepNext/>
        <w:spacing w:line="360" w:lineRule="auto"/>
        <w:jc w:val="center"/>
      </w:pPr>
      <w:r>
        <w:t xml:space="preserve">Table </w:t>
      </w:r>
      <w:r w:rsidR="00482C8F">
        <w:fldChar w:fldCharType="begin"/>
      </w:r>
      <w:r w:rsidR="00482C8F">
        <w:instrText xml:space="preserve"> SEQ Table \* ARABIC </w:instrText>
      </w:r>
      <w:r w:rsidR="00482C8F">
        <w:fldChar w:fldCharType="separate"/>
      </w:r>
      <w:r w:rsidR="00482C8F">
        <w:rPr>
          <w:noProof/>
        </w:rPr>
        <w:t>2</w:t>
      </w:r>
      <w:r w:rsidR="00482C8F">
        <w:rPr>
          <w:noProof/>
        </w:rPr>
        <w:fldChar w:fldCharType="end"/>
      </w:r>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p w14:paraId="2DDC0FBC" w14:textId="0A305A10" w:rsidR="00F67B41" w:rsidRDefault="00F67B41" w:rsidP="00F15126">
      <w:pPr>
        <w:pStyle w:val="Heading1"/>
        <w:jc w:val="center"/>
        <w:rPr>
          <w:noProof/>
          <w:lang w:val="en-US"/>
        </w:rPr>
      </w:pPr>
      <w:r w:rsidRPr="00AD6721">
        <w:rPr>
          <w:noProof/>
          <w:lang w:val="en-US"/>
        </w:rPr>
        <w:drawing>
          <wp:inline distT="0" distB="0" distL="0" distR="0" wp14:anchorId="6023F270" wp14:editId="7FD7207B">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2"/>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r w:rsidR="00E422B8">
        <w:rPr>
          <w:noProof/>
          <w:lang w:val="en-US"/>
        </w:rPr>
        <w:t xml:space="preserve"> </w:t>
      </w: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232E886E" w:rsidR="00603112" w:rsidRPr="00603112" w:rsidRDefault="00603112" w:rsidP="00603112">
      <w:pPr>
        <w:pStyle w:val="Paragraph"/>
        <w:spacing w:line="360" w:lineRule="auto"/>
      </w:pPr>
      <w:r>
        <w:t xml:space="preserve">Table 3 presents the results from the standard mixed logit models estimated separately </w:t>
      </w:r>
      <w:r>
        <w:lastRenderedPageBreak/>
        <w:t xml:space="preserve">for renters and homeowners. Across both tenure groups, the estimated coefficients display the expected signs and are generally highly statistically significant. For all non-price attributes, the mean coefficients are positive, indicating that respondents systematically prefer locations with closer proximity to green areas, shops, and public transportation, as well as access to reserved parking, relative to their respective reference levels. The negative and significant price coefficient aligns with theoretical expectations, confirming that higher monthly housing costs reduce utility. The standard deviation estimates for </w:t>
      </w:r>
      <w:r w:rsidR="002D5164">
        <w:t>many</w:t>
      </w:r>
      <w:r>
        <w:t xml:space="preserve"> random parameters are statistically significant, which provides strong evidence of unobserved preference heterogeneity in the sample. </w:t>
      </w:r>
    </w:p>
    <w:p w14:paraId="38ED67B4" w14:textId="5158F044" w:rsidR="00EA0C07" w:rsidRDefault="00EA0C07" w:rsidP="00F15126">
      <w:pPr>
        <w:pStyle w:val="Caption"/>
        <w:keepNext/>
        <w:spacing w:line="360" w:lineRule="auto"/>
        <w:jc w:val="center"/>
      </w:pPr>
      <w:r>
        <w:t xml:space="preserve">Table </w:t>
      </w:r>
      <w:r w:rsidR="00482C8F">
        <w:fldChar w:fldCharType="begin"/>
      </w:r>
      <w:r w:rsidR="00482C8F">
        <w:instrText xml:space="preserve"> SEQ Table \* ARABIC </w:instrText>
      </w:r>
      <w:r w:rsidR="00482C8F">
        <w:fldChar w:fldCharType="separate"/>
      </w:r>
      <w:r w:rsidR="00482C8F">
        <w:rPr>
          <w:noProof/>
        </w:rPr>
        <w:t>3</w:t>
      </w:r>
      <w:r w:rsidR="00482C8F">
        <w:rPr>
          <w:noProof/>
        </w:rPr>
        <w:fldChar w:fldCharType="end"/>
      </w:r>
      <w:r w:rsidR="00CD24E7">
        <w:rPr>
          <w:noProof/>
        </w:rPr>
        <w:t xml:space="preserve"> – Mixed logit results: Renters and Owners</w:t>
      </w:r>
    </w:p>
    <w:p w14:paraId="7B8DD72E" w14:textId="4E7BAE14" w:rsidR="00181B5C" w:rsidRPr="00181B5C" w:rsidRDefault="00400D56" w:rsidP="00F15126">
      <w:pPr>
        <w:pStyle w:val="Paragraph"/>
        <w:spacing w:line="360" w:lineRule="auto"/>
        <w:jc w:val="center"/>
        <w:rPr>
          <w:lang w:val="en-US"/>
        </w:rPr>
      </w:pPr>
      <w:r w:rsidRPr="00400D56">
        <w:rPr>
          <w:noProof/>
          <w:lang w:val="en-US"/>
        </w:rPr>
        <w:drawing>
          <wp:inline distT="0" distB="0" distL="0" distR="0" wp14:anchorId="79D21625" wp14:editId="5AE939CB">
            <wp:extent cx="4963218" cy="4801270"/>
            <wp:effectExtent l="0" t="0" r="8890" b="0"/>
            <wp:docPr id="1972994640"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4640" name="Picture 1" descr="A table of numbers and symbols&#10;&#10;AI-generated content may be incorrect."/>
                    <pic:cNvPicPr/>
                  </pic:nvPicPr>
                  <pic:blipFill>
                    <a:blip r:embed="rId13"/>
                    <a:stretch>
                      <a:fillRect/>
                    </a:stretch>
                  </pic:blipFill>
                  <pic:spPr>
                    <a:xfrm>
                      <a:off x="0" y="0"/>
                      <a:ext cx="4963218" cy="4801270"/>
                    </a:xfrm>
                    <a:prstGeom prst="rect">
                      <a:avLst/>
                    </a:prstGeom>
                  </pic:spPr>
                </pic:pic>
              </a:graphicData>
            </a:graphic>
          </wp:inline>
        </w:drawing>
      </w:r>
    </w:p>
    <w:p w14:paraId="5650F75D" w14:textId="30B7CCD3" w:rsidR="00EA0C07" w:rsidRDefault="00603112" w:rsidP="00F15126">
      <w:pPr>
        <w:pStyle w:val="Paragraph"/>
        <w:spacing w:line="360" w:lineRule="auto"/>
      </w:pPr>
      <w:r>
        <w:t xml:space="preserve">Monetary valuations derived from these coefficients are reported in Table 4.  MRS are first computed as the ratio of each attribute coefficient to the price coefficient, which are then translated into MWTP estimates by scaling with 10 percent of each tenure group’s average planned housing cost per Equation 7. This yields interpretable monthly SEK </w:t>
      </w:r>
      <w:r>
        <w:lastRenderedPageBreak/>
        <w:t>values that quantify preference across the sample.</w:t>
      </w:r>
    </w:p>
    <w:p w14:paraId="39224189" w14:textId="77777777" w:rsidR="00603112" w:rsidRPr="00603112" w:rsidRDefault="00603112" w:rsidP="00603112">
      <w:pPr>
        <w:pStyle w:val="Newparagraph"/>
      </w:pPr>
    </w:p>
    <w:p w14:paraId="003A2DE7" w14:textId="79FF3377" w:rsidR="00EA0C07" w:rsidRDefault="00EA0C07" w:rsidP="00F15126">
      <w:pPr>
        <w:pStyle w:val="Caption"/>
        <w:keepNext/>
        <w:spacing w:line="360" w:lineRule="auto"/>
        <w:jc w:val="center"/>
      </w:pPr>
      <w:r>
        <w:t xml:space="preserve">Table </w:t>
      </w:r>
      <w:r w:rsidR="00482C8F">
        <w:fldChar w:fldCharType="begin"/>
      </w:r>
      <w:r w:rsidR="00482C8F">
        <w:instrText xml:space="preserve"> SEQ Table \* ARABIC </w:instrText>
      </w:r>
      <w:r w:rsidR="00482C8F">
        <w:fldChar w:fldCharType="separate"/>
      </w:r>
      <w:r w:rsidR="00482C8F">
        <w:rPr>
          <w:noProof/>
        </w:rPr>
        <w:t>4</w:t>
      </w:r>
      <w:r w:rsidR="00482C8F">
        <w:rPr>
          <w:noProof/>
        </w:rPr>
        <w:fldChar w:fldCharType="end"/>
      </w:r>
      <w:r w:rsidR="003A2931">
        <w:rPr>
          <w:noProof/>
        </w:rPr>
        <w:t xml:space="preserve"> – MWTP Estimates: Renters and Owners</w:t>
      </w:r>
    </w:p>
    <w:p w14:paraId="7468C4E7" w14:textId="24F0AA1E" w:rsidR="00181B5C" w:rsidRPr="00181B5C" w:rsidRDefault="00400D56" w:rsidP="00F15126">
      <w:pPr>
        <w:pStyle w:val="Paragraph"/>
        <w:spacing w:line="360" w:lineRule="auto"/>
        <w:jc w:val="center"/>
        <w:rPr>
          <w:lang w:val="en-US"/>
        </w:rPr>
      </w:pPr>
      <w:r w:rsidRPr="00400D56">
        <w:rPr>
          <w:noProof/>
          <w:lang w:val="en-US"/>
        </w:rPr>
        <w:drawing>
          <wp:inline distT="0" distB="0" distL="0" distR="0" wp14:anchorId="3FBB0C20" wp14:editId="26DA6B97">
            <wp:extent cx="5344271" cy="3448531"/>
            <wp:effectExtent l="0" t="0" r="8890" b="0"/>
            <wp:docPr id="719610787" name="Picture 1" descr="A table of numbers and a number of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0787" name="Picture 1" descr="A table of numbers and a number of cars&#10;&#10;AI-generated content may be incorrect."/>
                    <pic:cNvPicPr/>
                  </pic:nvPicPr>
                  <pic:blipFill>
                    <a:blip r:embed="rId14"/>
                    <a:stretch>
                      <a:fillRect/>
                    </a:stretch>
                  </pic:blipFill>
                  <pic:spPr>
                    <a:xfrm>
                      <a:off x="0" y="0"/>
                      <a:ext cx="5344271" cy="3448531"/>
                    </a:xfrm>
                    <a:prstGeom prst="rect">
                      <a:avLst/>
                    </a:prstGeom>
                  </pic:spPr>
                </pic:pic>
              </a:graphicData>
            </a:graphic>
          </wp:inline>
        </w:drawing>
      </w:r>
    </w:p>
    <w:p w14:paraId="0BE92240" w14:textId="25F562F4" w:rsidR="00603112" w:rsidRDefault="00603112" w:rsidP="003E61F3">
      <w:pPr>
        <w:pStyle w:val="Paragraph"/>
        <w:spacing w:line="360" w:lineRule="auto"/>
        <w:ind w:firstLine="720"/>
        <w:rPr>
          <w:lang w:val="en-US"/>
        </w:rPr>
      </w:pPr>
      <w:r>
        <w:t xml:space="preserve">Among homeowners, the MWTP values indicate substantial willingness to pay for improved accessibility and amenities. For example, homeowners are willing to pay </w:t>
      </w:r>
      <w:r w:rsidR="00E803A2">
        <w:t>397</w:t>
      </w:r>
      <w:r>
        <w:t xml:space="preserve"> SEK per month to avoid living 15 km from the nearest green area and </w:t>
      </w:r>
      <w:r w:rsidR="00E803A2">
        <w:t>598</w:t>
      </w:r>
      <w:r>
        <w:t xml:space="preserve"> SEK per month to live within 500 meters of shops. Parking amenities are highly valued, with MWTP estimates of </w:t>
      </w:r>
      <w:r w:rsidR="00E803A2">
        <w:t>587</w:t>
      </w:r>
      <w:r>
        <w:t xml:space="preserve"> SEK for a reserved parking space and </w:t>
      </w:r>
      <w:r w:rsidR="00E803A2">
        <w:t>478</w:t>
      </w:r>
      <w:r>
        <w:t xml:space="preserve"> SEK for a reserved garage compared to no reserved parking.</w:t>
      </w:r>
    </w:p>
    <w:p w14:paraId="1B80A792" w14:textId="121F8400" w:rsidR="00181B5C" w:rsidRPr="00181B5C" w:rsidRDefault="00181B5C" w:rsidP="003E61F3">
      <w:pPr>
        <w:pStyle w:val="Paragraph"/>
        <w:spacing w:line="360" w:lineRule="auto"/>
        <w:ind w:firstLine="720"/>
        <w:rPr>
          <w:lang w:val="en-US"/>
        </w:rPr>
      </w:pPr>
      <w:r w:rsidRPr="00181B5C">
        <w:rPr>
          <w:lang w:val="en-US"/>
        </w:rPr>
        <w:t xml:space="preserve">Turning to renters, Table </w:t>
      </w:r>
      <w:r>
        <w:rPr>
          <w:lang w:val="en-US"/>
        </w:rPr>
        <w:t xml:space="preserve">4 </w:t>
      </w:r>
      <w:r w:rsidRPr="00181B5C">
        <w:rPr>
          <w:lang w:val="en-US"/>
        </w:rPr>
        <w:t xml:space="preserve">reveals similar preference patterns but with generally lower MWTP magnitudes. Renters are willing to pay </w:t>
      </w:r>
      <w:r w:rsidR="00E803A2">
        <w:rPr>
          <w:lang w:val="en-US"/>
        </w:rPr>
        <w:t>346</w:t>
      </w:r>
      <w:r w:rsidRPr="00181B5C">
        <w:rPr>
          <w:lang w:val="en-US"/>
        </w:rPr>
        <w:t xml:space="preserve"> SEK per month to reside within 500 m of green space and </w:t>
      </w:r>
      <w:r w:rsidR="00E803A2">
        <w:rPr>
          <w:lang w:val="en-US"/>
        </w:rPr>
        <w:t>408</w:t>
      </w:r>
      <w:r w:rsidRPr="00181B5C">
        <w:rPr>
          <w:lang w:val="en-US"/>
        </w:rPr>
        <w:t xml:space="preserve"> SEK for proximity to shops within 500</w:t>
      </w:r>
      <w:r w:rsidR="00C10C56">
        <w:rPr>
          <w:lang w:val="en-US"/>
        </w:rPr>
        <w:t xml:space="preserve"> meters</w:t>
      </w:r>
      <w:r w:rsidR="001C5700">
        <w:rPr>
          <w:lang w:val="en-US"/>
        </w:rPr>
        <w:t xml:space="preserve">. These </w:t>
      </w:r>
      <w:r w:rsidRPr="00181B5C">
        <w:rPr>
          <w:lang w:val="en-US"/>
        </w:rPr>
        <w:t>values remain economically meaningful yet modestly below those of owners. Renters also show strong preferences for parking access, although their MWTP for a reserved garage (</w:t>
      </w:r>
      <w:r w:rsidR="00E803A2">
        <w:rPr>
          <w:lang w:val="en-US"/>
        </w:rPr>
        <w:t>254</w:t>
      </w:r>
      <w:r w:rsidRPr="00181B5C">
        <w:rPr>
          <w:lang w:val="en-US"/>
        </w:rPr>
        <w:t xml:space="preserve"> SEK) or space (</w:t>
      </w:r>
      <w:r w:rsidR="00E803A2">
        <w:rPr>
          <w:lang w:val="en-US"/>
        </w:rPr>
        <w:t>249</w:t>
      </w:r>
      <w:r w:rsidRPr="00181B5C">
        <w:rPr>
          <w:lang w:val="en-US"/>
        </w:rPr>
        <w:t xml:space="preserve"> SEK) is roughly half that of homeowners.</w:t>
      </w:r>
    </w:p>
    <w:p w14:paraId="06630401" w14:textId="413774B2" w:rsidR="00687915" w:rsidRDefault="00127537" w:rsidP="00F15126">
      <w:pPr>
        <w:pStyle w:val="Heading2"/>
        <w:rPr>
          <w:lang w:val="en-US"/>
        </w:rPr>
      </w:pPr>
      <w:r>
        <w:rPr>
          <w:lang w:val="en-US"/>
        </w:rPr>
        <w:lastRenderedPageBreak/>
        <w:t>Heterogeneity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4E42AF5C" w14:textId="11CCBBEC" w:rsidR="00CE2518" w:rsidRPr="001C5700" w:rsidRDefault="001C5700" w:rsidP="00F15126">
      <w:pPr>
        <w:pStyle w:val="Paragraph"/>
        <w:spacing w:line="360" w:lineRule="auto"/>
        <w:ind w:firstLine="720"/>
        <w:rPr>
          <w:lang w:val="en-US"/>
        </w:rPr>
      </w:pPr>
      <w:r>
        <w:rPr>
          <w:lang w:val="en-US"/>
        </w:rPr>
        <w:t xml:space="preserve">Table 5 </w:t>
      </w:r>
      <w:r w:rsidR="00E85E77">
        <w:rPr>
          <w:lang w:val="en-US"/>
        </w:rPr>
        <w:t xml:space="preserve">tabulates </w:t>
      </w:r>
      <w:r w:rsidR="003C589C">
        <w:rPr>
          <w:lang w:val="en-US"/>
        </w:rPr>
        <w:t xml:space="preserve">the </w:t>
      </w:r>
      <w:r w:rsidR="00E85E77">
        <w:rPr>
          <w:lang w:val="en-US"/>
        </w:rPr>
        <w:t xml:space="preserve">mixed logit results </w:t>
      </w:r>
      <w:r w:rsidR="002D5164">
        <w:rPr>
          <w:lang w:val="en-US"/>
        </w:rPr>
        <w:t xml:space="preserve">which include </w:t>
      </w:r>
      <w:r w:rsidR="00E85E77">
        <w:rPr>
          <w:lang w:val="en-US"/>
        </w:rPr>
        <w:t>age interactions with the attributes.</w:t>
      </w:r>
      <w:r>
        <w:rPr>
          <w:lang w:val="en-US"/>
        </w:rPr>
        <w:t xml:space="preserve">  </w:t>
      </w:r>
      <w:r w:rsidR="00CE2518" w:rsidRPr="001C5700">
        <w:rPr>
          <w:lang w:val="en-US"/>
        </w:rPr>
        <w:t xml:space="preserve">Among homeowners </w:t>
      </w:r>
      <w:r w:rsidR="00A001F9">
        <w:rPr>
          <w:lang w:val="en-US"/>
        </w:rPr>
        <w:t>below the median age of 72</w:t>
      </w:r>
      <w:r w:rsidR="00CE2518" w:rsidRPr="001C5700">
        <w:rPr>
          <w:lang w:val="en-US"/>
        </w:rPr>
        <w:t xml:space="preserve">, proximity to amenities generates strong and statistically significant utility gains. The baseline MWTPs </w:t>
      </w:r>
      <w:r w:rsidR="002D5164">
        <w:rPr>
          <w:lang w:val="en-US"/>
        </w:rPr>
        <w:t xml:space="preserve">for younger respondents </w:t>
      </w:r>
      <w:r w:rsidR="00CE2518" w:rsidRPr="001C5700">
        <w:rPr>
          <w:lang w:val="en-US"/>
        </w:rPr>
        <w:t xml:space="preserve">are </w:t>
      </w:r>
      <w:r w:rsidR="00A001F9">
        <w:rPr>
          <w:lang w:val="en-US"/>
        </w:rPr>
        <w:t>347</w:t>
      </w:r>
      <w:r w:rsidR="00CE2518" w:rsidRPr="001C5700">
        <w:rPr>
          <w:lang w:val="en-US"/>
        </w:rPr>
        <w:t xml:space="preserve"> SEK</w:t>
      </w:r>
      <w:r w:rsidR="003E61F3">
        <w:rPr>
          <w:lang w:val="en-US"/>
        </w:rPr>
        <w:t xml:space="preserve"> a </w:t>
      </w:r>
      <w:r w:rsidR="00CE2518" w:rsidRPr="001C5700">
        <w:rPr>
          <w:lang w:val="en-US"/>
        </w:rPr>
        <w:t xml:space="preserve">month for green space within 500 m (vs 15 km), </w:t>
      </w:r>
      <w:r w:rsidR="00A001F9">
        <w:rPr>
          <w:lang w:val="en-US"/>
        </w:rPr>
        <w:t>479</w:t>
      </w:r>
      <w:r w:rsidR="00CE2518" w:rsidRPr="001C5700">
        <w:rPr>
          <w:lang w:val="en-US"/>
        </w:rPr>
        <w:t xml:space="preserve"> SEK for shops within 500 m, and </w:t>
      </w:r>
      <w:r w:rsidR="00A001F9">
        <w:rPr>
          <w:lang w:val="en-US"/>
        </w:rPr>
        <w:t>463</w:t>
      </w:r>
      <w:r w:rsidR="00CE2518" w:rsidRPr="001C5700">
        <w:rPr>
          <w:lang w:val="en-US"/>
        </w:rPr>
        <w:t xml:space="preserve"> SEK for a reserved garage</w:t>
      </w:r>
      <w:r w:rsidR="003E61F3">
        <w:rPr>
          <w:lang w:val="en-US"/>
        </w:rPr>
        <w:t>.</w:t>
      </w:r>
    </w:p>
    <w:p w14:paraId="29F13292" w14:textId="7708F243" w:rsidR="00CE2518" w:rsidRPr="001C5700" w:rsidRDefault="00CE2518" w:rsidP="00F15126">
      <w:pPr>
        <w:pStyle w:val="Paragraph"/>
        <w:spacing w:line="360" w:lineRule="auto"/>
        <w:ind w:firstLine="720"/>
        <w:rPr>
          <w:lang w:val="en-US"/>
        </w:rPr>
      </w:pPr>
      <w:r w:rsidRPr="001C5700">
        <w:rPr>
          <w:lang w:val="en-US"/>
        </w:rPr>
        <w:t>For homeowners aged 7</w:t>
      </w:r>
      <w:r w:rsidR="00A001F9">
        <w:rPr>
          <w:lang w:val="en-US"/>
        </w:rPr>
        <w:t>2</w:t>
      </w:r>
      <w:r w:rsidRPr="001C5700">
        <w:rPr>
          <w:lang w:val="en-US"/>
        </w:rPr>
        <w:t xml:space="preserve"> and older, </w:t>
      </w:r>
      <w:r w:rsidR="00F17BD6">
        <w:rPr>
          <w:lang w:val="en-US"/>
        </w:rPr>
        <w:t xml:space="preserve">we see </w:t>
      </w:r>
      <w:r w:rsidR="0023271B">
        <w:rPr>
          <w:lang w:val="en-US"/>
        </w:rPr>
        <w:t xml:space="preserve">a positive and significant </w:t>
      </w:r>
      <w:r w:rsidR="0023271B" w:rsidRPr="002D5164">
        <w:rPr>
          <w:i/>
          <w:iCs/>
          <w:lang w:val="en-US"/>
        </w:rPr>
        <w:t>Price x Age</w:t>
      </w:r>
      <w:r w:rsidR="0023271B">
        <w:rPr>
          <w:lang w:val="en-US"/>
        </w:rPr>
        <w:t xml:space="preserve"> interaction term (1.51, p &lt; 0.01) suggesting the older adults are less price sensitive when it comes to valuing </w:t>
      </w:r>
      <w:r w:rsidR="00E85E77">
        <w:rPr>
          <w:lang w:val="en-US"/>
        </w:rPr>
        <w:t>attributes</w:t>
      </w:r>
      <w:r w:rsidR="0023271B">
        <w:rPr>
          <w:lang w:val="en-US"/>
        </w:rPr>
        <w:t>.</w:t>
      </w:r>
      <w:r w:rsidRPr="001C5700">
        <w:rPr>
          <w:lang w:val="en-US"/>
        </w:rPr>
        <w:t xml:space="preserve"> </w:t>
      </w:r>
      <w:r w:rsidR="0023271B">
        <w:rPr>
          <w:lang w:val="en-US"/>
        </w:rPr>
        <w:t>Older homeowners demonstrate</w:t>
      </w:r>
      <w:r w:rsidRPr="001C5700">
        <w:rPr>
          <w:lang w:val="en-US"/>
        </w:rPr>
        <w:t xml:space="preserve"> MWTP </w:t>
      </w:r>
      <w:r w:rsidR="0023271B">
        <w:rPr>
          <w:lang w:val="en-US"/>
        </w:rPr>
        <w:t xml:space="preserve">values </w:t>
      </w:r>
      <w:r w:rsidRPr="001C5700">
        <w:rPr>
          <w:lang w:val="en-US"/>
        </w:rPr>
        <w:t xml:space="preserve">for green space within 500 m </w:t>
      </w:r>
      <w:r w:rsidR="0023271B">
        <w:rPr>
          <w:lang w:val="en-US"/>
        </w:rPr>
        <w:t>of</w:t>
      </w:r>
      <w:r w:rsidRPr="001C5700">
        <w:rPr>
          <w:lang w:val="en-US"/>
        </w:rPr>
        <w:t xml:space="preserve"> </w:t>
      </w:r>
      <w:r w:rsidR="0023271B">
        <w:rPr>
          <w:lang w:val="en-US"/>
        </w:rPr>
        <w:t>350</w:t>
      </w:r>
      <w:r w:rsidRPr="001C5700">
        <w:rPr>
          <w:lang w:val="en-US"/>
        </w:rPr>
        <w:t xml:space="preserve"> SEK</w:t>
      </w:r>
      <w:r w:rsidR="00F17BD6">
        <w:rPr>
          <w:lang w:val="en-US"/>
        </w:rPr>
        <w:t xml:space="preserve"> a </w:t>
      </w:r>
      <w:r w:rsidRPr="001C5700">
        <w:rPr>
          <w:lang w:val="en-US"/>
        </w:rPr>
        <w:t>month, lower than th</w:t>
      </w:r>
      <w:r w:rsidR="00741BA3">
        <w:rPr>
          <w:lang w:val="en-US"/>
        </w:rPr>
        <w:t>e younger baseline group</w:t>
      </w:r>
      <w:r w:rsidRPr="001C5700">
        <w:rPr>
          <w:lang w:val="en-US"/>
        </w:rPr>
        <w:t>.</w:t>
      </w:r>
      <w:r w:rsidRPr="001C5700">
        <w:rPr>
          <w:lang w:val="en-US"/>
        </w:rPr>
        <w:br/>
        <w:t xml:space="preserve">In contrast, the </w:t>
      </w:r>
      <w:r w:rsidR="00F318ED" w:rsidRPr="001C5700">
        <w:rPr>
          <w:lang w:val="en-US"/>
        </w:rPr>
        <w:t xml:space="preserve">coefficient </w:t>
      </w:r>
      <w:r w:rsidR="002D5164">
        <w:rPr>
          <w:i/>
          <w:iCs/>
          <w:lang w:val="en-US"/>
        </w:rPr>
        <w:t>T</w:t>
      </w:r>
      <w:r w:rsidR="00F318ED" w:rsidRPr="00F17BD6">
        <w:rPr>
          <w:i/>
          <w:iCs/>
          <w:lang w:val="en-US"/>
        </w:rPr>
        <w:t>ransit</w:t>
      </w:r>
      <w:r w:rsidRPr="00F17BD6">
        <w:rPr>
          <w:i/>
          <w:iCs/>
          <w:lang w:val="en-US"/>
        </w:rPr>
        <w:t xml:space="preserve"> stop × </w:t>
      </w:r>
      <w:r w:rsidR="0023271B">
        <w:rPr>
          <w:i/>
          <w:iCs/>
          <w:lang w:val="en-US"/>
        </w:rPr>
        <w:t>Age</w:t>
      </w:r>
      <w:r w:rsidRPr="00F17BD6">
        <w:rPr>
          <w:i/>
          <w:iCs/>
          <w:lang w:val="en-US"/>
        </w:rPr>
        <w:t>+</w:t>
      </w:r>
      <w:r w:rsidRPr="001C5700">
        <w:rPr>
          <w:lang w:val="en-US"/>
        </w:rPr>
        <w:t xml:space="preserve"> is positive (0.</w:t>
      </w:r>
      <w:r w:rsidR="0023271B">
        <w:rPr>
          <w:lang w:val="en-US"/>
        </w:rPr>
        <w:t>50</w:t>
      </w:r>
      <w:r w:rsidRPr="001C5700">
        <w:rPr>
          <w:lang w:val="en-US"/>
        </w:rPr>
        <w:t>, p &lt; 0.0</w:t>
      </w:r>
      <w:r w:rsidR="0023271B">
        <w:rPr>
          <w:lang w:val="en-US"/>
        </w:rPr>
        <w:t>1</w:t>
      </w:r>
      <w:r w:rsidRPr="001C5700">
        <w:rPr>
          <w:lang w:val="en-US"/>
        </w:rPr>
        <w:t xml:space="preserve">), suggesting that the oldest homeowners place greater value on transit accessibility. Their MWTP for a 600 m transit stop is approximately </w:t>
      </w:r>
      <w:r w:rsidR="00F17BD6">
        <w:rPr>
          <w:lang w:val="en-US"/>
        </w:rPr>
        <w:t>1</w:t>
      </w:r>
      <w:r w:rsidR="0023271B">
        <w:rPr>
          <w:lang w:val="en-US"/>
        </w:rPr>
        <w:t>22</w:t>
      </w:r>
      <w:r w:rsidRPr="001C5700">
        <w:rPr>
          <w:lang w:val="en-US"/>
        </w:rPr>
        <w:t xml:space="preserve"> SEK</w:t>
      </w:r>
      <w:r w:rsidR="00F17BD6">
        <w:rPr>
          <w:lang w:val="en-US"/>
        </w:rPr>
        <w:t xml:space="preserve"> a </w:t>
      </w:r>
      <w:r w:rsidRPr="001C5700">
        <w:rPr>
          <w:lang w:val="en-US"/>
        </w:rPr>
        <w:t xml:space="preserve">month, compared with </w:t>
      </w:r>
      <w:r w:rsidR="0023271B">
        <w:rPr>
          <w:lang w:val="en-US"/>
        </w:rPr>
        <w:t>13</w:t>
      </w:r>
      <w:r w:rsidRPr="001C5700">
        <w:rPr>
          <w:lang w:val="en-US"/>
        </w:rPr>
        <w:t xml:space="preserve"> SEK for younger respondents.</w:t>
      </w:r>
      <w:r w:rsidR="00F318ED">
        <w:rPr>
          <w:lang w:val="en-US"/>
        </w:rPr>
        <w:t xml:space="preserve">  </w:t>
      </w:r>
      <w:r w:rsidRPr="001C5700">
        <w:rPr>
          <w:lang w:val="en-US"/>
        </w:rPr>
        <w:t xml:space="preserve">These results imply that while overall preference patterns are stable across age groups, the relative importance of green space and public transport accessibility shifts modestly among homeowners </w:t>
      </w:r>
      <w:r w:rsidR="0023271B">
        <w:rPr>
          <w:lang w:val="en-US"/>
        </w:rPr>
        <w:t>above median age.</w:t>
      </w:r>
    </w:p>
    <w:p w14:paraId="7CCA91D4" w14:textId="520F6952" w:rsidR="00CE2518" w:rsidRPr="00CE2518" w:rsidRDefault="00CE2518" w:rsidP="00F15126">
      <w:pPr>
        <w:pStyle w:val="Paragraph"/>
        <w:spacing w:line="360" w:lineRule="auto"/>
        <w:ind w:firstLine="720"/>
        <w:rPr>
          <w:lang w:val="en-US"/>
        </w:rPr>
      </w:pPr>
      <w:r w:rsidRPr="001C5700">
        <w:rPr>
          <w:lang w:val="en-US"/>
        </w:rPr>
        <w:t>Among renters under 7</w:t>
      </w:r>
      <w:r w:rsidR="0023271B">
        <w:rPr>
          <w:lang w:val="en-US"/>
        </w:rPr>
        <w:t>2</w:t>
      </w:r>
      <w:r w:rsidRPr="001C5700">
        <w:rPr>
          <w:lang w:val="en-US"/>
        </w:rPr>
        <w:t xml:space="preserve">, MWTPs mirror those of homeowners in relative terms: </w:t>
      </w:r>
      <w:r w:rsidR="0023271B">
        <w:rPr>
          <w:lang w:val="en-US"/>
        </w:rPr>
        <w:t>475</w:t>
      </w:r>
      <w:r w:rsidRPr="001C5700">
        <w:rPr>
          <w:lang w:val="en-US"/>
        </w:rPr>
        <w:t xml:space="preserve"> SEK for green space within 500 m, </w:t>
      </w:r>
      <w:r w:rsidR="0023271B">
        <w:rPr>
          <w:lang w:val="en-US"/>
        </w:rPr>
        <w:t>475</w:t>
      </w:r>
      <w:r w:rsidRPr="001C5700">
        <w:rPr>
          <w:lang w:val="en-US"/>
        </w:rPr>
        <w:t xml:space="preserve"> SEK for shops within 500 m, and 2</w:t>
      </w:r>
      <w:r w:rsidR="0023271B">
        <w:rPr>
          <w:lang w:val="en-US"/>
        </w:rPr>
        <w:t>43</w:t>
      </w:r>
      <w:r w:rsidRPr="001C5700">
        <w:rPr>
          <w:lang w:val="en-US"/>
        </w:rPr>
        <w:t>–</w:t>
      </w:r>
      <w:r w:rsidR="0023271B">
        <w:rPr>
          <w:lang w:val="en-US"/>
        </w:rPr>
        <w:t>263</w:t>
      </w:r>
      <w:r w:rsidRPr="001C5700">
        <w:rPr>
          <w:lang w:val="en-US"/>
        </w:rPr>
        <w:t xml:space="preserve"> SEK for parking amenities.</w:t>
      </w:r>
      <w:r w:rsidR="00F318ED">
        <w:rPr>
          <w:lang w:val="en-US"/>
        </w:rPr>
        <w:t xml:space="preserve">  </w:t>
      </w:r>
      <w:r w:rsidR="00F17BD6">
        <w:rPr>
          <w:lang w:val="en-US"/>
        </w:rPr>
        <w:t xml:space="preserve">We observe that </w:t>
      </w:r>
      <w:r w:rsidR="0023271B">
        <w:rPr>
          <w:lang w:val="en-US"/>
        </w:rPr>
        <w:t xml:space="preserve">older </w:t>
      </w:r>
      <w:r w:rsidRPr="001C5700">
        <w:rPr>
          <w:lang w:val="en-US"/>
        </w:rPr>
        <w:t xml:space="preserve">renters aged </w:t>
      </w:r>
      <w:r w:rsidR="00F17BD6">
        <w:rPr>
          <w:lang w:val="en-US"/>
        </w:rPr>
        <w:t>proximity to shops to a lesser extent than their younger counterpart</w:t>
      </w:r>
      <w:r w:rsidR="008404AB">
        <w:rPr>
          <w:lang w:val="en-US"/>
        </w:rPr>
        <w:t xml:space="preserve"> with a MWTP of </w:t>
      </w:r>
      <w:r w:rsidR="0023271B">
        <w:rPr>
          <w:lang w:val="en-US"/>
        </w:rPr>
        <w:t>381</w:t>
      </w:r>
      <w:r w:rsidR="008404AB">
        <w:rPr>
          <w:lang w:val="en-US"/>
        </w:rPr>
        <w:t xml:space="preserve"> SEK compared to </w:t>
      </w:r>
      <w:r w:rsidR="0023271B">
        <w:rPr>
          <w:lang w:val="en-US"/>
        </w:rPr>
        <w:t>475</w:t>
      </w:r>
      <w:r w:rsidR="008404AB">
        <w:rPr>
          <w:lang w:val="en-US"/>
        </w:rPr>
        <w:t xml:space="preserve"> SEK</w:t>
      </w:r>
      <w:r w:rsidRPr="001C5700">
        <w:rPr>
          <w:lang w:val="en-US"/>
        </w:rPr>
        <w:t xml:space="preserve">. Other interactions, including those for green space, transit, and parking, are statistically insignificant, although </w:t>
      </w:r>
      <w:r w:rsidR="000807B7">
        <w:rPr>
          <w:lang w:val="en-US"/>
        </w:rPr>
        <w:t xml:space="preserve">delta method confidence intervals </w:t>
      </w:r>
      <w:r w:rsidRPr="001C5700">
        <w:rPr>
          <w:lang w:val="en-US"/>
        </w:rPr>
        <w:t>MWTP values remain positive, suggesting continued but more</w:t>
      </w:r>
      <w:r w:rsidRPr="00CE2518">
        <w:rPr>
          <w:lang w:val="en-US"/>
        </w:rPr>
        <w:t xml:space="preserve"> modest preferences for these amenities.</w:t>
      </w:r>
    </w:p>
    <w:p w14:paraId="68110C0E" w14:textId="7E2A78E0" w:rsidR="00CE2518" w:rsidRPr="00CE2518" w:rsidRDefault="00CE2518" w:rsidP="00F15126">
      <w:pPr>
        <w:pStyle w:val="Paragraph"/>
        <w:spacing w:line="360" w:lineRule="auto"/>
        <w:ind w:firstLine="720"/>
        <w:rPr>
          <w:lang w:val="en-US"/>
        </w:rPr>
      </w:pPr>
      <w:r w:rsidRPr="00CE2518">
        <w:rPr>
          <w:lang w:val="en-US"/>
        </w:rPr>
        <w:t>Both specifications demonstrate good fit. The homeowner model yields a log-likelihood of −</w:t>
      </w:r>
      <w:r w:rsidR="0023271B">
        <w:rPr>
          <w:lang w:val="en-US"/>
        </w:rPr>
        <w:t>3143.01</w:t>
      </w:r>
      <w:r w:rsidRPr="00CE2518">
        <w:rPr>
          <w:lang w:val="en-US"/>
        </w:rPr>
        <w:t xml:space="preserve"> (McFadden R² = 0.3</w:t>
      </w:r>
      <w:r w:rsidR="0023271B">
        <w:rPr>
          <w:lang w:val="en-US"/>
        </w:rPr>
        <w:t>6</w:t>
      </w:r>
      <w:r w:rsidRPr="00CE2518">
        <w:rPr>
          <w:lang w:val="en-US"/>
        </w:rPr>
        <w:t>), and the renter model −</w:t>
      </w:r>
      <w:r w:rsidR="0023271B">
        <w:rPr>
          <w:lang w:val="en-US"/>
        </w:rPr>
        <w:t>623.13</w:t>
      </w:r>
      <w:r w:rsidRPr="00CE2518">
        <w:rPr>
          <w:lang w:val="en-US"/>
        </w:rPr>
        <w:t xml:space="preserve"> (R² = 0.</w:t>
      </w:r>
      <w:r w:rsidR="0023271B">
        <w:rPr>
          <w:lang w:val="en-US"/>
        </w:rPr>
        <w:t>38</w:t>
      </w:r>
      <w:r w:rsidRPr="00CE2518">
        <w:rPr>
          <w:lang w:val="en-US"/>
        </w:rPr>
        <w:t>). Likelihood-ratio tests reject the null of no interaction effects (p &lt; 0.001 for both models), confirming that age heterogeneity contributes significantly to explaining observed choice behavior.</w:t>
      </w:r>
      <w:r w:rsidR="003E61F3">
        <w:rPr>
          <w:lang w:val="en-US"/>
        </w:rPr>
        <w:t xml:space="preserve"> </w:t>
      </w:r>
    </w:p>
    <w:p w14:paraId="0A5B690A" w14:textId="407BB6F7" w:rsidR="00EA0C07" w:rsidRPr="00CE2518" w:rsidRDefault="00EA0C07" w:rsidP="00F15126">
      <w:pPr>
        <w:pStyle w:val="Paragraph"/>
        <w:spacing w:line="360" w:lineRule="auto"/>
        <w:ind w:firstLine="720"/>
        <w:rPr>
          <w:lang w:val="en-US"/>
        </w:rPr>
      </w:pPr>
    </w:p>
    <w:p w14:paraId="6FD94BBE" w14:textId="57EEDA5C" w:rsidR="00EA0C07" w:rsidRDefault="00EA0C07" w:rsidP="00F15126">
      <w:pPr>
        <w:pStyle w:val="Caption"/>
        <w:keepNext/>
        <w:spacing w:line="360" w:lineRule="auto"/>
        <w:jc w:val="center"/>
      </w:pPr>
      <w:r>
        <w:lastRenderedPageBreak/>
        <w:t xml:space="preserve">Table </w:t>
      </w:r>
      <w:r w:rsidR="00482C8F">
        <w:fldChar w:fldCharType="begin"/>
      </w:r>
      <w:r w:rsidR="00482C8F">
        <w:instrText xml:space="preserve"> SEQ Table \* ARABIC </w:instrText>
      </w:r>
      <w:r w:rsidR="00482C8F">
        <w:fldChar w:fldCharType="separate"/>
      </w:r>
      <w:r w:rsidR="00482C8F">
        <w:rPr>
          <w:noProof/>
        </w:rPr>
        <w:t>5</w:t>
      </w:r>
      <w:r w:rsidR="00482C8F">
        <w:rPr>
          <w:noProof/>
        </w:rPr>
        <w:fldChar w:fldCharType="end"/>
      </w:r>
      <w:r w:rsidRPr="0089607B">
        <w:t>- Interaction Regression</w:t>
      </w:r>
      <w:r>
        <w:t xml:space="preserve"> - </w:t>
      </w:r>
      <w:r w:rsidR="00A001F9">
        <w:t>Age</w:t>
      </w:r>
    </w:p>
    <w:p w14:paraId="0668B5BB" w14:textId="4205F654" w:rsidR="00127537" w:rsidRDefault="007E6433" w:rsidP="00A001F9">
      <w:pPr>
        <w:pStyle w:val="Paragraph"/>
        <w:spacing w:line="360" w:lineRule="auto"/>
        <w:jc w:val="center"/>
        <w:rPr>
          <w:lang w:val="en-US"/>
        </w:rPr>
      </w:pPr>
      <w:r w:rsidRPr="007E6433">
        <w:rPr>
          <w:noProof/>
          <w:lang w:val="en-US"/>
        </w:rPr>
        <w:drawing>
          <wp:inline distT="0" distB="0" distL="0" distR="0" wp14:anchorId="79C7C835" wp14:editId="6970FD79">
            <wp:extent cx="5396865" cy="6329680"/>
            <wp:effectExtent l="0" t="0" r="0" b="0"/>
            <wp:docPr id="59949551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5517" name="Picture 1" descr="A table of numbers and a few words&#10;&#10;AI-generated content may be incorrect."/>
                    <pic:cNvPicPr/>
                  </pic:nvPicPr>
                  <pic:blipFill>
                    <a:blip r:embed="rId15"/>
                    <a:stretch>
                      <a:fillRect/>
                    </a:stretch>
                  </pic:blipFill>
                  <pic:spPr>
                    <a:xfrm>
                      <a:off x="0" y="0"/>
                      <a:ext cx="5396865" cy="6329680"/>
                    </a:xfrm>
                    <a:prstGeom prst="rect">
                      <a:avLst/>
                    </a:prstGeom>
                  </pic:spPr>
                </pic:pic>
              </a:graphicData>
            </a:graphic>
          </wp:inline>
        </w:drawing>
      </w:r>
    </w:p>
    <w:p w14:paraId="567B3CE3" w14:textId="77777777" w:rsidR="00EA0C07" w:rsidRDefault="00EA0C07" w:rsidP="00F15126">
      <w:pPr>
        <w:pStyle w:val="Newparagraph"/>
        <w:spacing w:line="360" w:lineRule="auto"/>
        <w:rPr>
          <w:lang w:val="en-US"/>
        </w:rPr>
      </w:pPr>
    </w:p>
    <w:p w14:paraId="42A0FCC7" w14:textId="77777777" w:rsidR="00CE2518" w:rsidRDefault="00CE2518" w:rsidP="00F15126">
      <w:pPr>
        <w:pStyle w:val="Heading3"/>
        <w:rPr>
          <w:lang w:val="en-US"/>
        </w:rPr>
      </w:pPr>
    </w:p>
    <w:p w14:paraId="7EE53280" w14:textId="77777777" w:rsidR="00CE2518" w:rsidRDefault="00CE2518" w:rsidP="00F15126">
      <w:pPr>
        <w:pStyle w:val="Heading3"/>
        <w:rPr>
          <w:lang w:val="en-US"/>
        </w:rPr>
      </w:pPr>
    </w:p>
    <w:p w14:paraId="631A7CAB" w14:textId="77777777" w:rsidR="00CE2518" w:rsidRDefault="00CE2518" w:rsidP="00F15126">
      <w:pPr>
        <w:pStyle w:val="Heading3"/>
        <w:rPr>
          <w:lang w:val="en-US"/>
        </w:rPr>
      </w:pPr>
    </w:p>
    <w:p w14:paraId="1410AB26" w14:textId="77777777" w:rsidR="00CE2518" w:rsidRDefault="00CE2518" w:rsidP="00F15126">
      <w:pPr>
        <w:pStyle w:val="Heading3"/>
        <w:rPr>
          <w:lang w:val="en-US"/>
        </w:rPr>
      </w:pPr>
    </w:p>
    <w:p w14:paraId="50672C56" w14:textId="77777777" w:rsidR="00CE2518" w:rsidRDefault="00CE2518" w:rsidP="00F15126">
      <w:pPr>
        <w:pStyle w:val="Heading3"/>
        <w:rPr>
          <w:lang w:val="en-US"/>
        </w:rPr>
      </w:pPr>
    </w:p>
    <w:p w14:paraId="6676867B" w14:textId="06A4B787" w:rsidR="00CE2518" w:rsidRDefault="00CE2518" w:rsidP="00F15126">
      <w:pPr>
        <w:spacing w:line="360" w:lineRule="auto"/>
        <w:rPr>
          <w:rFonts w:cs="Arial"/>
          <w:bCs/>
          <w:i/>
          <w:szCs w:val="26"/>
          <w:lang w:val="en-US"/>
        </w:rPr>
      </w:pPr>
      <w:r>
        <w:rPr>
          <w:lang w:val="en-US"/>
        </w:rPr>
        <w:br w:type="page"/>
      </w:r>
    </w:p>
    <w:p w14:paraId="78215C1A" w14:textId="77777777" w:rsidR="00CE2518" w:rsidRDefault="00CE2518" w:rsidP="00F15126">
      <w:pPr>
        <w:pStyle w:val="Heading3"/>
        <w:rPr>
          <w:lang w:val="en-US"/>
        </w:rPr>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5563AEFC" w14:textId="57A4426A" w:rsidR="00CE2518" w:rsidRPr="00F318ED" w:rsidRDefault="00720BD4" w:rsidP="00B26932">
      <w:pPr>
        <w:pStyle w:val="Paragraph"/>
        <w:spacing w:line="360" w:lineRule="auto"/>
        <w:ind w:firstLine="720"/>
        <w:rPr>
          <w:lang w:val="en-US"/>
        </w:rPr>
      </w:pPr>
      <w:r>
        <w:rPr>
          <w:lang w:val="en-US"/>
        </w:rPr>
        <w:t xml:space="preserve">As shown in Table 6, </w:t>
      </w:r>
      <w:r w:rsidR="00CE2518" w:rsidRPr="00CE2518">
        <w:rPr>
          <w:lang w:val="en-US"/>
        </w:rPr>
        <w:t>female homeowners</w:t>
      </w:r>
      <w:r>
        <w:rPr>
          <w:lang w:val="en-US"/>
        </w:rPr>
        <w:t xml:space="preserve"> show </w:t>
      </w:r>
      <w:r w:rsidR="00CE2518" w:rsidRPr="00CE2518">
        <w:rPr>
          <w:lang w:val="en-US"/>
        </w:rPr>
        <w:t xml:space="preserve">strong and statistically significant preferences for proximity-based amenities. The corresponding MWTPs are </w:t>
      </w:r>
      <w:r w:rsidR="000131B8">
        <w:rPr>
          <w:lang w:val="en-US"/>
        </w:rPr>
        <w:t>47</w:t>
      </w:r>
      <w:r w:rsidR="00E90FC7">
        <w:rPr>
          <w:lang w:val="en-US"/>
        </w:rPr>
        <w:t>8</w:t>
      </w:r>
      <w:r w:rsidR="00CE2518" w:rsidRPr="00CE2518">
        <w:rPr>
          <w:lang w:val="en-US"/>
        </w:rPr>
        <w:t xml:space="preserve"> SEK</w:t>
      </w:r>
      <w:r w:rsidR="000131B8">
        <w:rPr>
          <w:lang w:val="en-US"/>
        </w:rPr>
        <w:t xml:space="preserve"> a </w:t>
      </w:r>
      <w:r w:rsidR="00CE2518" w:rsidRPr="00CE2518">
        <w:rPr>
          <w:lang w:val="en-US"/>
        </w:rPr>
        <w:t xml:space="preserve">month for green space within 500 m, </w:t>
      </w:r>
      <w:r w:rsidR="000131B8">
        <w:rPr>
          <w:lang w:val="en-US"/>
        </w:rPr>
        <w:t>618</w:t>
      </w:r>
      <w:r w:rsidR="00CE2518" w:rsidRPr="00CE2518">
        <w:rPr>
          <w:lang w:val="en-US"/>
        </w:rPr>
        <w:t xml:space="preserve"> SEK for shops within 500 m, and 4</w:t>
      </w:r>
      <w:r w:rsidR="00E90FC7">
        <w:rPr>
          <w:lang w:val="en-US"/>
        </w:rPr>
        <w:t>30</w:t>
      </w:r>
      <w:r w:rsidR="00CE2518" w:rsidRPr="00CE2518">
        <w:rPr>
          <w:lang w:val="en-US"/>
        </w:rPr>
        <w:t>–5</w:t>
      </w:r>
      <w:r w:rsidR="00E90FC7">
        <w:rPr>
          <w:lang w:val="en-US"/>
        </w:rPr>
        <w:t>50</w:t>
      </w:r>
      <w:r w:rsidR="00CE2518" w:rsidRPr="00CE2518">
        <w:rPr>
          <w:lang w:val="en-US"/>
        </w:rPr>
        <w:t xml:space="preserve"> SEK for parking amenities.</w:t>
      </w:r>
      <w:r w:rsidR="00B26932">
        <w:rPr>
          <w:lang w:val="en-US"/>
        </w:rPr>
        <w:t xml:space="preserve">  M</w:t>
      </w:r>
      <w:r w:rsidR="00CE2518" w:rsidRPr="00F318ED">
        <w:rPr>
          <w:lang w:val="en-US"/>
        </w:rPr>
        <w:t>ale homeowners</w:t>
      </w:r>
      <w:r w:rsidR="00B26932">
        <w:rPr>
          <w:lang w:val="en-US"/>
        </w:rPr>
        <w:t xml:space="preserve"> prioritize proximity to shops, with MWTP values 75 SEK greater than female homeowners.  Parking availability is also prioritized by male homeowners, </w:t>
      </w:r>
      <w:r w:rsidR="00EB4796">
        <w:rPr>
          <w:lang w:val="en-US"/>
        </w:rPr>
        <w:t>who demonstrate much stronger preferences for reserved parking facilities than women (5</w:t>
      </w:r>
      <w:r w:rsidR="000131B8">
        <w:rPr>
          <w:lang w:val="en-US"/>
        </w:rPr>
        <w:t>18</w:t>
      </w:r>
      <w:r w:rsidR="00EB4796">
        <w:rPr>
          <w:lang w:val="en-US"/>
        </w:rPr>
        <w:t>-6</w:t>
      </w:r>
      <w:r w:rsidR="000131B8">
        <w:rPr>
          <w:lang w:val="en-US"/>
        </w:rPr>
        <w:t>2</w:t>
      </w:r>
      <w:r w:rsidR="00EB4796">
        <w:rPr>
          <w:lang w:val="en-US"/>
        </w:rPr>
        <w:t>4 SEK vs 4</w:t>
      </w:r>
      <w:r w:rsidR="00E90FC7">
        <w:rPr>
          <w:lang w:val="en-US"/>
        </w:rPr>
        <w:t>30</w:t>
      </w:r>
      <w:r w:rsidR="00EB4796">
        <w:rPr>
          <w:lang w:val="en-US"/>
        </w:rPr>
        <w:t>-5</w:t>
      </w:r>
      <w:r w:rsidR="00E90FC7">
        <w:rPr>
          <w:lang w:val="en-US"/>
        </w:rPr>
        <w:t>50</w:t>
      </w:r>
      <w:r w:rsidR="00EB4796">
        <w:rPr>
          <w:lang w:val="en-US"/>
        </w:rPr>
        <w:t xml:space="preserve"> SEK).</w:t>
      </w:r>
      <w:r w:rsidR="00EB4796" w:rsidRPr="00F318ED">
        <w:rPr>
          <w:lang w:val="en-US"/>
        </w:rPr>
        <w:t xml:space="preserve"> </w:t>
      </w:r>
      <w:r w:rsidR="00EB4796">
        <w:rPr>
          <w:lang w:val="en-US"/>
        </w:rPr>
        <w:t>Compared to female homeowners, males value proximity to green spaces to a lesser extent with a MWTP value of 3</w:t>
      </w:r>
      <w:r w:rsidR="000131B8">
        <w:rPr>
          <w:lang w:val="en-US"/>
        </w:rPr>
        <w:t>1</w:t>
      </w:r>
      <w:r w:rsidR="00E90FC7">
        <w:rPr>
          <w:lang w:val="en-US"/>
        </w:rPr>
        <w:t>3</w:t>
      </w:r>
      <w:r w:rsidR="00EB4796">
        <w:rPr>
          <w:lang w:val="en-US"/>
        </w:rPr>
        <w:t xml:space="preserve"> SEK</w:t>
      </w:r>
      <w:r w:rsidR="000131B8">
        <w:rPr>
          <w:lang w:val="en-US"/>
        </w:rPr>
        <w:t xml:space="preserve"> a month</w:t>
      </w:r>
      <w:r w:rsidR="00EB4796">
        <w:rPr>
          <w:lang w:val="en-US"/>
        </w:rPr>
        <w:t>.</w:t>
      </w:r>
    </w:p>
    <w:p w14:paraId="0908CC6A" w14:textId="024FBCC9" w:rsidR="00CE2518" w:rsidRPr="00CE2518" w:rsidRDefault="00CE2518" w:rsidP="00F15126">
      <w:pPr>
        <w:pStyle w:val="Paragraph"/>
        <w:spacing w:line="360" w:lineRule="auto"/>
        <w:ind w:firstLine="720"/>
        <w:rPr>
          <w:lang w:val="en-US"/>
        </w:rPr>
      </w:pPr>
      <w:r w:rsidRPr="00CE2518">
        <w:rPr>
          <w:lang w:val="en-US"/>
        </w:rPr>
        <w:t xml:space="preserve">Among renters, coefficient estimates reveal no statistically significant gender interactions. The main effects for female renters indicate positive and significant preferences for proximity to green space and shops, with corresponding MWTPs of </w:t>
      </w:r>
      <w:r w:rsidR="000131B8">
        <w:rPr>
          <w:lang w:val="en-US"/>
        </w:rPr>
        <w:t>32</w:t>
      </w:r>
      <w:r w:rsidR="00E90FC7">
        <w:rPr>
          <w:lang w:val="en-US"/>
        </w:rPr>
        <w:t>4</w:t>
      </w:r>
      <w:r w:rsidR="000131B8">
        <w:rPr>
          <w:lang w:val="en-US"/>
        </w:rPr>
        <w:t xml:space="preserve"> and 366</w:t>
      </w:r>
      <w:r w:rsidRPr="00CE2518">
        <w:rPr>
          <w:lang w:val="en-US"/>
        </w:rPr>
        <w:t xml:space="preserve"> SEK</w:t>
      </w:r>
      <w:r w:rsidR="00EB4796">
        <w:rPr>
          <w:lang w:val="en-US"/>
        </w:rPr>
        <w:t xml:space="preserve"> a </w:t>
      </w:r>
      <w:r w:rsidRPr="00CE2518">
        <w:rPr>
          <w:lang w:val="en-US"/>
        </w:rPr>
        <w:t>month</w:t>
      </w:r>
      <w:r w:rsidR="000131B8">
        <w:rPr>
          <w:lang w:val="en-US"/>
        </w:rPr>
        <w:t>, respectively</w:t>
      </w:r>
      <w:r w:rsidRPr="00CE2518">
        <w:rPr>
          <w:lang w:val="en-US"/>
        </w:rPr>
        <w:t xml:space="preserve">. Male renters’ coefficients are directionally similar, though MWP magnitudes are modestly higher </w:t>
      </w:r>
      <w:r w:rsidR="00EB4796" w:rsidRPr="00CE2518">
        <w:rPr>
          <w:lang w:val="en-US"/>
        </w:rPr>
        <w:t>(</w:t>
      </w:r>
      <w:r w:rsidR="000131B8">
        <w:rPr>
          <w:lang w:val="en-US"/>
        </w:rPr>
        <w:t>381</w:t>
      </w:r>
      <w:r w:rsidRPr="00CE2518">
        <w:rPr>
          <w:lang w:val="en-US"/>
        </w:rPr>
        <w:t xml:space="preserve"> SEK for green space and </w:t>
      </w:r>
      <w:r w:rsidR="000131B8">
        <w:rPr>
          <w:lang w:val="en-US"/>
        </w:rPr>
        <w:t>5</w:t>
      </w:r>
      <w:r w:rsidR="00E90FC7">
        <w:rPr>
          <w:lang w:val="en-US"/>
        </w:rPr>
        <w:t>10</w:t>
      </w:r>
      <w:r w:rsidRPr="00CE2518">
        <w:rPr>
          <w:lang w:val="en-US"/>
        </w:rPr>
        <w:t xml:space="preserve"> SEK for shops), indicating consistent but not statistically distinct preferences.</w:t>
      </w:r>
    </w:p>
    <w:p w14:paraId="5337D314" w14:textId="46572154" w:rsidR="00CE2518" w:rsidRPr="00CE2518" w:rsidRDefault="00CE2518" w:rsidP="00F15126">
      <w:pPr>
        <w:pStyle w:val="Paragraph"/>
        <w:spacing w:line="360" w:lineRule="auto"/>
        <w:ind w:firstLine="720"/>
        <w:rPr>
          <w:lang w:val="en-US"/>
        </w:rPr>
      </w:pPr>
      <w:r w:rsidRPr="00CE2518">
        <w:rPr>
          <w:lang w:val="en-US"/>
        </w:rPr>
        <w:t xml:space="preserve">The results suggest that gender differences in housing preferences are limited in statistical terms, though systematic patterns are evident. Among homeowners, men show weaker preferences for green space but stronger preferences for shop proximity relative to women. Parking MWTPs are </w:t>
      </w:r>
      <w:r w:rsidR="00711216">
        <w:rPr>
          <w:lang w:val="en-US"/>
        </w:rPr>
        <w:t xml:space="preserve">demonstratively </w:t>
      </w:r>
      <w:r w:rsidRPr="00CE2518">
        <w:rPr>
          <w:lang w:val="en-US"/>
        </w:rPr>
        <w:t xml:space="preserve">higher for men while transit accessibility appears </w:t>
      </w:r>
      <w:r w:rsidR="003C589C" w:rsidRPr="00CE2518">
        <w:rPr>
          <w:lang w:val="en-US"/>
        </w:rPr>
        <w:t>gender neutral</w:t>
      </w:r>
      <w:r w:rsidRPr="00CE2518">
        <w:rPr>
          <w:lang w:val="en-US"/>
        </w:rPr>
        <w:t>. The consistency of results across tenure groups indicates that gendered patterns in housing choice are modest in magnitude, with significant variation only for specific amenity types.</w:t>
      </w:r>
    </w:p>
    <w:p w14:paraId="21BD08FF" w14:textId="26EE6CA5" w:rsidR="00EA0C07" w:rsidRPr="00CE2518" w:rsidRDefault="00EA0C07" w:rsidP="00F15126">
      <w:pPr>
        <w:pStyle w:val="Newparagraph"/>
        <w:spacing w:line="360" w:lineRule="auto"/>
        <w:jc w:val="center"/>
      </w:pPr>
    </w:p>
    <w:p w14:paraId="2CD4A90D" w14:textId="4665F437" w:rsidR="00EA0C07" w:rsidRDefault="00EA0C07" w:rsidP="00F15126">
      <w:pPr>
        <w:pStyle w:val="Newparagraph"/>
        <w:spacing w:line="360" w:lineRule="auto"/>
        <w:jc w:val="center"/>
      </w:pPr>
    </w:p>
    <w:p w14:paraId="75662CB0" w14:textId="5F7AAEBD" w:rsidR="00EA0C07" w:rsidRDefault="00EA0C07" w:rsidP="00F15126">
      <w:pPr>
        <w:pStyle w:val="Caption"/>
        <w:keepNext/>
        <w:spacing w:line="360" w:lineRule="auto"/>
        <w:jc w:val="center"/>
      </w:pPr>
      <w:r>
        <w:lastRenderedPageBreak/>
        <w:t xml:space="preserve">Table </w:t>
      </w:r>
      <w:r w:rsidR="00482C8F">
        <w:fldChar w:fldCharType="begin"/>
      </w:r>
      <w:r w:rsidR="00482C8F">
        <w:instrText xml:space="preserve"> SEQ Table \* ARABIC </w:instrText>
      </w:r>
      <w:r w:rsidR="00482C8F">
        <w:fldChar w:fldCharType="separate"/>
      </w:r>
      <w:r w:rsidR="00482C8F">
        <w:rPr>
          <w:noProof/>
        </w:rPr>
        <w:t>6</w:t>
      </w:r>
      <w:r w:rsidR="00482C8F">
        <w:rPr>
          <w:noProof/>
        </w:rPr>
        <w:fldChar w:fldCharType="end"/>
      </w:r>
      <w:r>
        <w:t xml:space="preserve"> - Interaction Regression - Sex</w:t>
      </w:r>
    </w:p>
    <w:p w14:paraId="4B512CE9" w14:textId="1DBD0DCA" w:rsidR="00EA0C07" w:rsidRDefault="007E6433" w:rsidP="000131B8">
      <w:pPr>
        <w:pStyle w:val="Newparagraph"/>
        <w:spacing w:line="360" w:lineRule="auto"/>
        <w:ind w:firstLine="0"/>
        <w:jc w:val="center"/>
        <w:rPr>
          <w:lang w:val="en-US"/>
        </w:rPr>
      </w:pPr>
      <w:r w:rsidRPr="007E6433">
        <w:rPr>
          <w:noProof/>
          <w:lang w:val="en-US"/>
        </w:rPr>
        <w:drawing>
          <wp:inline distT="0" distB="0" distL="0" distR="0" wp14:anchorId="78C6CC74" wp14:editId="56BCC522">
            <wp:extent cx="5396865" cy="6336030"/>
            <wp:effectExtent l="0" t="0" r="0" b="7620"/>
            <wp:docPr id="592990142"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0142" name="Picture 1" descr="A table of numbers with numbers&#10;&#10;AI-generated content may be incorrect."/>
                    <pic:cNvPicPr/>
                  </pic:nvPicPr>
                  <pic:blipFill>
                    <a:blip r:embed="rId16"/>
                    <a:stretch>
                      <a:fillRect/>
                    </a:stretch>
                  </pic:blipFill>
                  <pic:spPr>
                    <a:xfrm>
                      <a:off x="0" y="0"/>
                      <a:ext cx="5396865" cy="6336030"/>
                    </a:xfrm>
                    <a:prstGeom prst="rect">
                      <a:avLst/>
                    </a:prstGeom>
                  </pic:spPr>
                </pic:pic>
              </a:graphicData>
            </a:graphic>
          </wp:inline>
        </w:drawing>
      </w:r>
    </w:p>
    <w:p w14:paraId="73BBA90B" w14:textId="77777777" w:rsidR="00EA0C07" w:rsidRDefault="00EA0C07" w:rsidP="00F15126">
      <w:pPr>
        <w:pStyle w:val="Newparagraph"/>
        <w:spacing w:line="360" w:lineRule="auto"/>
        <w:jc w:val="center"/>
        <w:rPr>
          <w:lang w:val="en-US"/>
        </w:rPr>
      </w:pPr>
    </w:p>
    <w:p w14:paraId="31816C53" w14:textId="77777777" w:rsidR="00CE2518" w:rsidRDefault="00CE2518" w:rsidP="00F15126">
      <w:pPr>
        <w:pStyle w:val="Newparagraph"/>
        <w:spacing w:line="360" w:lineRule="auto"/>
        <w:jc w:val="center"/>
        <w:rPr>
          <w:lang w:val="en-US"/>
        </w:rPr>
      </w:pPr>
    </w:p>
    <w:p w14:paraId="117D3A22" w14:textId="0BEBC89D" w:rsidR="00CE2518" w:rsidRDefault="00CE2518" w:rsidP="00F15126">
      <w:pPr>
        <w:spacing w:line="360" w:lineRule="auto"/>
        <w:rPr>
          <w:lang w:val="en-US"/>
        </w:rPr>
      </w:pPr>
      <w:r>
        <w:rPr>
          <w:lang w:val="en-US"/>
        </w:rPr>
        <w:br w:type="page"/>
      </w:r>
    </w:p>
    <w:p w14:paraId="005111A8" w14:textId="77777777" w:rsidR="00CE2518" w:rsidRDefault="00CE2518" w:rsidP="00F15126">
      <w:pPr>
        <w:pStyle w:val="Newparagraph"/>
        <w:spacing w:line="360" w:lineRule="auto"/>
        <w:jc w:val="center"/>
        <w:rPr>
          <w:lang w:val="en-US"/>
        </w:rPr>
      </w:pPr>
    </w:p>
    <w:p w14:paraId="1C94DBCC" w14:textId="437062F6" w:rsidR="00EA0C07" w:rsidRDefault="00EA0C07" w:rsidP="00F15126">
      <w:pPr>
        <w:pStyle w:val="Heading3"/>
        <w:rPr>
          <w:lang w:val="en-US"/>
        </w:rPr>
      </w:pPr>
      <w:r>
        <w:rPr>
          <w:lang w:val="en-US"/>
        </w:rPr>
        <w:t>Health</w:t>
      </w:r>
      <w:r w:rsidR="00F96361">
        <w:rPr>
          <w:lang w:val="en-US"/>
        </w:rPr>
        <w:t xml:space="preserve"> models</w:t>
      </w:r>
    </w:p>
    <w:p w14:paraId="5EC6171A" w14:textId="447D9FA0" w:rsidR="00CE2518" w:rsidRPr="00F318ED" w:rsidRDefault="00F128EC" w:rsidP="00F128EC">
      <w:pPr>
        <w:pStyle w:val="Paragraph"/>
        <w:spacing w:line="360" w:lineRule="auto"/>
        <w:rPr>
          <w:lang w:val="en-US"/>
        </w:rPr>
      </w:pPr>
      <w:r>
        <w:t xml:space="preserve">In </w:t>
      </w:r>
      <w:r>
        <w:rPr>
          <w:lang w:val="en-US"/>
        </w:rPr>
        <w:t xml:space="preserve">Table 7, we present the results for tests including interactions terms of attributes and health </w:t>
      </w:r>
      <w:r>
        <w:t>(coded as 1 for "good" or better health; reference = fair/poor)</w:t>
      </w:r>
      <w:r>
        <w:rPr>
          <w:lang w:val="en-US"/>
        </w:rPr>
        <w:t xml:space="preserve">.  </w:t>
      </w:r>
      <w:r w:rsidR="00CE2518" w:rsidRPr="00F318ED">
        <w:rPr>
          <w:lang w:val="en-US"/>
        </w:rPr>
        <w:t xml:space="preserve">For homeowners, </w:t>
      </w:r>
      <w:r>
        <w:rPr>
          <w:lang w:val="en-US"/>
        </w:rPr>
        <w:t>those reporting good or better health place less importance on distance to transportation, expressing MWTP values that are about one third of those with fair/poor health (</w:t>
      </w:r>
      <w:r w:rsidR="00BB3AA7">
        <w:rPr>
          <w:lang w:val="en-US"/>
        </w:rPr>
        <w:t>47</w:t>
      </w:r>
      <w:r>
        <w:rPr>
          <w:lang w:val="en-US"/>
        </w:rPr>
        <w:t xml:space="preserve"> SEK vs </w:t>
      </w:r>
      <w:r w:rsidR="00BB3AA7">
        <w:rPr>
          <w:lang w:val="en-US"/>
        </w:rPr>
        <w:t>164</w:t>
      </w:r>
      <w:r>
        <w:rPr>
          <w:lang w:val="en-US"/>
        </w:rPr>
        <w:t xml:space="preserve"> SEK).  </w:t>
      </w:r>
      <w:r w:rsidR="00BB3AA7">
        <w:rPr>
          <w:lang w:val="en-US"/>
        </w:rPr>
        <w:t>However, those reporting better health value proximity to green space</w:t>
      </w:r>
      <w:r w:rsidR="00CE2518" w:rsidRPr="00F318ED">
        <w:rPr>
          <w:lang w:val="en-US"/>
        </w:rPr>
        <w:t xml:space="preserve"> </w:t>
      </w:r>
      <w:r w:rsidR="00BB3AA7">
        <w:rPr>
          <w:lang w:val="en-US"/>
        </w:rPr>
        <w:t>to a greater extent, with MWTP values of 416 SEK a month compared to 29</w:t>
      </w:r>
      <w:r w:rsidR="00E90FC7">
        <w:rPr>
          <w:lang w:val="en-US"/>
        </w:rPr>
        <w:t>3</w:t>
      </w:r>
      <w:r w:rsidR="00BB3AA7">
        <w:rPr>
          <w:lang w:val="en-US"/>
        </w:rPr>
        <w:t xml:space="preserve"> SEK a month.</w:t>
      </w:r>
    </w:p>
    <w:p w14:paraId="2049F37A" w14:textId="14FD7280" w:rsidR="00CE2518" w:rsidRPr="00CE2518" w:rsidRDefault="00CE2518" w:rsidP="00F15126">
      <w:pPr>
        <w:pStyle w:val="Paragraph"/>
        <w:spacing w:line="360" w:lineRule="auto"/>
        <w:ind w:firstLine="720"/>
        <w:rPr>
          <w:lang w:val="en-US"/>
        </w:rPr>
      </w:pPr>
      <w:r w:rsidRPr="00CE2518">
        <w:rPr>
          <w:lang w:val="en-US"/>
        </w:rPr>
        <w:t xml:space="preserve">Among renters, </w:t>
      </w:r>
      <w:r w:rsidR="00BB3AA7">
        <w:rPr>
          <w:lang w:val="en-US"/>
        </w:rPr>
        <w:t>lesser value is placed on proximity to transportation, with those in better health demonstrating MWTP values of 93 SEK compared to 25</w:t>
      </w:r>
      <w:r w:rsidR="00E90FC7">
        <w:rPr>
          <w:lang w:val="en-US"/>
        </w:rPr>
        <w:t>2</w:t>
      </w:r>
      <w:r w:rsidR="00BB3AA7">
        <w:rPr>
          <w:lang w:val="en-US"/>
        </w:rPr>
        <w:t xml:space="preserve"> SEK a month.  Other interaction terms do not meet conventional measures of </w:t>
      </w:r>
      <w:r w:rsidR="00F96361">
        <w:rPr>
          <w:lang w:val="en-US"/>
        </w:rPr>
        <w:t>significance</w:t>
      </w:r>
      <w:r w:rsidR="00BB3AA7">
        <w:rPr>
          <w:lang w:val="en-US"/>
        </w:rPr>
        <w:t xml:space="preserve">. </w:t>
      </w:r>
      <w:r w:rsidRPr="00CE2518">
        <w:rPr>
          <w:lang w:val="en-US"/>
        </w:rPr>
        <w:t xml:space="preserve"> Nonetheless, MWTPs suggest similar patterns: renters in good health exhibit somewhat higher valuations for green space</w:t>
      </w:r>
      <w:r w:rsidR="00BB3AA7">
        <w:rPr>
          <w:lang w:val="en-US"/>
        </w:rPr>
        <w:t xml:space="preserve">, </w:t>
      </w:r>
      <w:r w:rsidRPr="00CE2518">
        <w:rPr>
          <w:lang w:val="en-US"/>
        </w:rPr>
        <w:t xml:space="preserve">whereas those in poorer health show </w:t>
      </w:r>
      <w:r w:rsidR="00F96361">
        <w:rPr>
          <w:lang w:val="en-US"/>
        </w:rPr>
        <w:t>suppressed</w:t>
      </w:r>
      <w:r w:rsidRPr="00CE2518">
        <w:rPr>
          <w:lang w:val="en-US"/>
        </w:rPr>
        <w:t xml:space="preserve"> MWTP for </w:t>
      </w:r>
      <w:r w:rsidR="00BB3AA7">
        <w:rPr>
          <w:lang w:val="en-US"/>
        </w:rPr>
        <w:t>transit stop proximity</w:t>
      </w:r>
      <w:r w:rsidRPr="00CE2518">
        <w:rPr>
          <w:lang w:val="en-US"/>
        </w:rPr>
        <w:t xml:space="preserve">. </w:t>
      </w:r>
    </w:p>
    <w:p w14:paraId="02221C6A" w14:textId="77777777" w:rsidR="00CE2518" w:rsidRPr="00CE2518" w:rsidRDefault="00CE2518" w:rsidP="00F15126">
      <w:pPr>
        <w:pStyle w:val="Newparagraph"/>
        <w:spacing w:line="360" w:lineRule="auto"/>
      </w:pPr>
    </w:p>
    <w:p w14:paraId="1795B825" w14:textId="6B5003D0" w:rsidR="00EA0C07" w:rsidRPr="00EA0C07" w:rsidRDefault="00EA0C07" w:rsidP="00F15126">
      <w:pPr>
        <w:pStyle w:val="Newparagraph"/>
        <w:spacing w:line="360" w:lineRule="auto"/>
        <w:jc w:val="center"/>
        <w:rPr>
          <w:lang w:val="en-US"/>
        </w:rPr>
      </w:pPr>
    </w:p>
    <w:p w14:paraId="3769DD58" w14:textId="09155B26" w:rsidR="00BB3AA7" w:rsidRDefault="00BB3AA7" w:rsidP="00BB3AA7">
      <w:pPr>
        <w:pStyle w:val="Caption"/>
        <w:keepNext/>
        <w:spacing w:line="360" w:lineRule="auto"/>
        <w:jc w:val="center"/>
      </w:pPr>
      <w:r>
        <w:lastRenderedPageBreak/>
        <w:t>Table 7 - Interaction Regression - Health</w:t>
      </w:r>
    </w:p>
    <w:p w14:paraId="31E3A8E5" w14:textId="2966FDFF" w:rsidR="00EA0C07" w:rsidRDefault="007E6433" w:rsidP="00F15126">
      <w:pPr>
        <w:pStyle w:val="Heading2"/>
        <w:rPr>
          <w:lang w:val="en-US"/>
        </w:rPr>
      </w:pPr>
      <w:r w:rsidRPr="007E6433">
        <w:rPr>
          <w:noProof/>
          <w:lang w:val="en-US"/>
        </w:rPr>
        <w:drawing>
          <wp:inline distT="0" distB="0" distL="0" distR="0" wp14:anchorId="6F2AEED5" wp14:editId="0097EF3B">
            <wp:extent cx="5396865" cy="5690235"/>
            <wp:effectExtent l="0" t="0" r="0" b="5715"/>
            <wp:docPr id="271860078" name="Picture 1" descr="A table of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0078" name="Picture 1" descr="A table of numbers and equations&#10;&#10;AI-generated content may be incorrect."/>
                    <pic:cNvPicPr/>
                  </pic:nvPicPr>
                  <pic:blipFill>
                    <a:blip r:embed="rId17"/>
                    <a:stretch>
                      <a:fillRect/>
                    </a:stretch>
                  </pic:blipFill>
                  <pic:spPr>
                    <a:xfrm>
                      <a:off x="0" y="0"/>
                      <a:ext cx="5396865" cy="5690235"/>
                    </a:xfrm>
                    <a:prstGeom prst="rect">
                      <a:avLst/>
                    </a:prstGeom>
                  </pic:spPr>
                </pic:pic>
              </a:graphicData>
            </a:graphic>
          </wp:inline>
        </w:drawing>
      </w:r>
    </w:p>
    <w:p w14:paraId="544BCC22" w14:textId="480A6768" w:rsidR="00CE2518" w:rsidRDefault="00CE2518" w:rsidP="00F15126">
      <w:pPr>
        <w:spacing w:line="360" w:lineRule="auto"/>
        <w:rPr>
          <w:rFonts w:cs="Arial"/>
          <w:b/>
          <w:bCs/>
          <w:i/>
          <w:iCs/>
          <w:szCs w:val="28"/>
          <w:lang w:val="en-US"/>
        </w:rPr>
      </w:pPr>
      <w:r>
        <w:rPr>
          <w:lang w:val="en-US"/>
        </w:rPr>
        <w:br w:type="page"/>
      </w:r>
    </w:p>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1"/>
    </w:p>
    <w:p w14:paraId="1036E510" w14:textId="7FF20141" w:rsidR="001045EE" w:rsidRDefault="001045EE" w:rsidP="00482C8F">
      <w:pPr>
        <w:pStyle w:val="Paragraph"/>
        <w:spacing w:line="360" w:lineRule="auto"/>
        <w:ind w:firstLine="720"/>
      </w:pPr>
      <w:r>
        <w:t>This study provides new evidence on how older adults in Sweden value housing and neighbourhood attributes when considering relocation. Using a discrete choice experiment embedded in the RELOC-AGE project, we identify strong preferences for neighbourhood accessibility and reveal meaningful heterogeneity across tenure, age, gender, and health. The findings extend prior behavioural housing research by quantifying trade-offs older adults are willing to make, rather than relying on descriptive or revealed-preference approaches.</w:t>
      </w:r>
    </w:p>
    <w:p w14:paraId="1B40F53E" w14:textId="60DCE14A" w:rsidR="00482C8F" w:rsidRPr="00482C8F" w:rsidRDefault="001045EE" w:rsidP="00482C8F">
      <w:pPr>
        <w:pStyle w:val="Paragraph"/>
        <w:spacing w:line="360" w:lineRule="auto"/>
        <w:ind w:firstLine="720"/>
        <w:rPr>
          <w:lang w:val="en-US"/>
        </w:rPr>
      </w:pPr>
      <w:r>
        <w:t>Across all subgroups, proximity to daily amenities, particularly shops, services, and green areas, is highly valued. Willingness</w:t>
      </w:r>
      <w:r w:rsidR="003C589C">
        <w:t xml:space="preserve"> </w:t>
      </w:r>
      <w:r>
        <w:t>to</w:t>
      </w:r>
      <w:r w:rsidR="003C589C">
        <w:t xml:space="preserve"> </w:t>
      </w:r>
      <w:r>
        <w:t xml:space="preserve">pay estimates for these attributes are substantial, confirming that neighbourhood accessibility is central to residential utility in later life. These results align with findings from the United States and the Netherlands (Caplan et al., 2021; Ossokina &amp; Arentze, 2022), while contributing new evidence from a Scandinavian context where empirical valuation studies remain limited. Access to services and green space appears to function as essential infrastructure supporting independence, physical activity, and social participation rather than as optional amenities. </w:t>
      </w:r>
      <w:r w:rsidR="00482C8F" w:rsidRPr="00482C8F">
        <w:rPr>
          <w:lang w:val="en-US"/>
        </w:rPr>
        <w:t xml:space="preserve">Age-related differences in preferences are present but modest in magnitude. Among homeowners, older respondents place relatively greater value on proximity to public transport and slightly </w:t>
      </w:r>
      <w:r>
        <w:rPr>
          <w:lang w:val="en-US"/>
        </w:rPr>
        <w:t>higher</w:t>
      </w:r>
      <w:r w:rsidR="00482C8F" w:rsidRPr="00482C8F">
        <w:rPr>
          <w:lang w:val="en-US"/>
        </w:rPr>
        <w:t xml:space="preserve"> value on proximity to green space compared to younger counterparts. This shift is consistent with increasing reliance on public transport as driving ability declines, while the </w:t>
      </w:r>
      <w:r>
        <w:rPr>
          <w:lang w:val="en-US"/>
        </w:rPr>
        <w:t>increased</w:t>
      </w:r>
      <w:r w:rsidR="00482C8F" w:rsidRPr="00482C8F">
        <w:rPr>
          <w:lang w:val="en-US"/>
        </w:rPr>
        <w:t xml:space="preserve"> valuation of green space </w:t>
      </w:r>
      <w:r>
        <w:rPr>
          <w:lang w:val="en-US"/>
        </w:rPr>
        <w:t>may</w:t>
      </w:r>
      <w:r w:rsidR="00482C8F" w:rsidRPr="00482C8F">
        <w:rPr>
          <w:lang w:val="en-US"/>
        </w:rPr>
        <w:t xml:space="preserve"> reflect </w:t>
      </w:r>
      <w:r>
        <w:rPr>
          <w:lang w:val="en-US"/>
        </w:rPr>
        <w:t>greater</w:t>
      </w:r>
      <w:r w:rsidR="00482C8F" w:rsidRPr="00482C8F">
        <w:rPr>
          <w:lang w:val="en-US"/>
        </w:rPr>
        <w:t xml:space="preserve"> appreciation. Among renters, age-related interactions are weaker, with statistically significant differences observed primarily for proximity to shops. Overall, these findings suggest that ageing influences the relative importance of attributes rather than reversing underlying preference patterns.</w:t>
      </w:r>
    </w:p>
    <w:p w14:paraId="260D1ACD" w14:textId="77777777" w:rsidR="00482C8F" w:rsidRPr="00482C8F" w:rsidRDefault="00482C8F" w:rsidP="00482C8F">
      <w:pPr>
        <w:pStyle w:val="Paragraph"/>
        <w:spacing w:line="360" w:lineRule="auto"/>
        <w:ind w:firstLine="720"/>
        <w:rPr>
          <w:lang w:val="en-US"/>
        </w:rPr>
      </w:pPr>
      <w:r w:rsidRPr="00482C8F">
        <w:rPr>
          <w:lang w:val="en-US"/>
        </w:rPr>
        <w:t xml:space="preserve">Gender differences in housing preferences are limited and concentrated among homeowners. Male homeowners exhibit stronger preferences for parking amenities and proximity to shops, while female homeowners place relatively greater value on green space. Among renters, gender interactions are not statistically significant, and MWTP estimates are directionally similar across men and women. These results indicate that </w:t>
      </w:r>
      <w:r w:rsidRPr="00482C8F">
        <w:rPr>
          <w:lang w:val="en-US"/>
        </w:rPr>
        <w:lastRenderedPageBreak/>
        <w:t>gendered patterns in housing preferences exist but are modest and attribute-specific, rather than systematic across all dimensions of residential choice.</w:t>
      </w:r>
    </w:p>
    <w:p w14:paraId="5FC9E4B1" w14:textId="77777777" w:rsidR="00482C8F" w:rsidRPr="00482C8F" w:rsidRDefault="00482C8F" w:rsidP="00482C8F">
      <w:pPr>
        <w:pStyle w:val="Paragraph"/>
        <w:spacing w:line="360" w:lineRule="auto"/>
        <w:ind w:firstLine="720"/>
        <w:rPr>
          <w:lang w:val="en-US"/>
        </w:rPr>
      </w:pPr>
      <w:r w:rsidRPr="00482C8F">
        <w:rPr>
          <w:lang w:val="en-US"/>
        </w:rPr>
        <w:t>Health status also shapes housing preferences in intuitive ways, though most interaction effects are not statistically strong. Respondents reporting fair or poor health place greater value on proximity to public transport, while those in better health exhibit higher valuations for green space. These patterns are consistent with differing mobility needs and opportunities for outdoor engagement. However, given the limited statistical significance of many interaction terms, these findings should be interpreted as indicative tendencies rather than definitive subgroup differences.</w:t>
      </w:r>
    </w:p>
    <w:p w14:paraId="303E71D4" w14:textId="2D69F101" w:rsidR="00482C8F" w:rsidRPr="00482C8F" w:rsidRDefault="00482C8F" w:rsidP="00482C8F">
      <w:pPr>
        <w:pStyle w:val="Paragraph"/>
        <w:spacing w:line="360" w:lineRule="auto"/>
        <w:ind w:firstLine="720"/>
        <w:rPr>
          <w:lang w:val="en-US"/>
        </w:rPr>
      </w:pPr>
      <w:r w:rsidRPr="00482C8F">
        <w:rPr>
          <w:lang w:val="en-US"/>
        </w:rPr>
        <w:t>From a policy perspective, the results highlight the centrality of mobility and accessibility in later-life housing decisions. Both public and private transport access play a critical role in sustaining autonomy and independence, regardless of age, gender, or health</w:t>
      </w:r>
      <w:r w:rsidR="001045EE">
        <w:rPr>
          <w:lang w:val="en-US"/>
        </w:rPr>
        <w:t xml:space="preserve">. </w:t>
      </w:r>
      <w:r w:rsidR="001045EE">
        <w:t xml:space="preserve">The slightly higher MWTP for green space among the oldest respondents suggests that access to nearby green areas remains valued in advanced old age, reinforcing the importance of maintaining such amenities within close reach of housing.  </w:t>
      </w:r>
      <w:r w:rsidRPr="00482C8F">
        <w:rPr>
          <w:lang w:val="en-US"/>
        </w:rPr>
        <w:t>Improving the accessibility and usability of green environments</w:t>
      </w:r>
      <w:r w:rsidR="001045EE">
        <w:rPr>
          <w:lang w:val="en-US"/>
        </w:rPr>
        <w:t xml:space="preserve">, </w:t>
      </w:r>
      <w:r w:rsidRPr="00482C8F">
        <w:rPr>
          <w:lang w:val="en-US"/>
        </w:rPr>
        <w:t>through level pathways, seating, lighting, and safe crossings</w:t>
      </w:r>
      <w:r w:rsidR="001045EE">
        <w:rPr>
          <w:lang w:val="en-US"/>
        </w:rPr>
        <w:t xml:space="preserve">, </w:t>
      </w:r>
      <w:r w:rsidRPr="00482C8F">
        <w:rPr>
          <w:lang w:val="en-US"/>
        </w:rPr>
        <w:t>may help ensure that the health and wellbeing benefits of green space remain available across the ageing spectrum.</w:t>
      </w:r>
    </w:p>
    <w:p w14:paraId="66A19B98" w14:textId="05BC6CF5" w:rsidR="00482C8F" w:rsidRPr="00482C8F" w:rsidRDefault="00482C8F" w:rsidP="00482C8F">
      <w:pPr>
        <w:pStyle w:val="Paragraph"/>
        <w:spacing w:line="360" w:lineRule="auto"/>
        <w:ind w:firstLine="720"/>
        <w:rPr>
          <w:lang w:val="en-US"/>
        </w:rPr>
      </w:pPr>
      <w:r w:rsidRPr="00482C8F">
        <w:rPr>
          <w:lang w:val="en-US"/>
        </w:rPr>
        <w:t xml:space="preserve">In comparison with previous studies, our findings align closely with evidence from the Netherlands showing strong preferences for proximity to shops and public transport among older adults (Ossokina &amp; Arentze, 2022). The present study extends this literature by incorporating both renters and homeowners within a Scandinavian welfare context and by focusing on individuals actively considering relocation. This strengthens the </w:t>
      </w:r>
      <w:r w:rsidR="001045EE" w:rsidRPr="00482C8F">
        <w:rPr>
          <w:lang w:val="en-US"/>
        </w:rPr>
        <w:t>behavioral</w:t>
      </w:r>
      <w:r w:rsidRPr="00482C8F">
        <w:rPr>
          <w:lang w:val="en-US"/>
        </w:rPr>
        <w:t xml:space="preserve"> relevance of the results and addresses an important gap in the existing evidence base.</w:t>
      </w:r>
    </w:p>
    <w:p w14:paraId="1DF9A391" w14:textId="703587FA" w:rsidR="00AD4EE0" w:rsidRPr="00AD4EE0" w:rsidRDefault="00B734FC" w:rsidP="00B734FC">
      <w:pPr>
        <w:pStyle w:val="Heading3"/>
        <w:rPr>
          <w:lang w:val="en-US"/>
        </w:rPr>
      </w:pPr>
      <w:r>
        <w:rPr>
          <w:lang w:val="en-US"/>
        </w:rPr>
        <w:t>Limitations</w:t>
      </w:r>
      <w:r w:rsidR="003C589C">
        <w:rPr>
          <w:lang w:val="en-US"/>
        </w:rPr>
        <w:t xml:space="preserve"> </w:t>
      </w:r>
    </w:p>
    <w:p w14:paraId="6FA68972" w14:textId="0BD41564" w:rsidR="003654C4" w:rsidRPr="003654C4" w:rsidRDefault="003654C4" w:rsidP="003654C4">
      <w:pPr>
        <w:pStyle w:val="Paragraph"/>
        <w:spacing w:line="360" w:lineRule="auto"/>
        <w:ind w:firstLine="720"/>
        <w:rPr>
          <w:lang w:val="en-US"/>
        </w:rPr>
      </w:pPr>
      <w:r w:rsidRPr="003654C4">
        <w:rPr>
          <w:lang w:val="en-US"/>
        </w:rPr>
        <w:t>Several limitations warrant consideration. First, the study sample comprises individuals already registered for relocation services. Although this can be viewed as a strength</w:t>
      </w:r>
      <w:r>
        <w:rPr>
          <w:lang w:val="en-US"/>
        </w:rPr>
        <w:t xml:space="preserve">, </w:t>
      </w:r>
      <w:r w:rsidRPr="003654C4">
        <w:rPr>
          <w:lang w:val="en-US"/>
        </w:rPr>
        <w:t>since these individuals are actively considering relocation and may therefore give more thoughtful responses to hypothetical housing choices</w:t>
      </w:r>
      <w:r>
        <w:rPr>
          <w:lang w:val="en-US"/>
        </w:rPr>
        <w:t xml:space="preserve">, </w:t>
      </w:r>
      <w:r w:rsidRPr="003654C4">
        <w:rPr>
          <w:lang w:val="en-US"/>
        </w:rPr>
        <w:t xml:space="preserve">they may differ from </w:t>
      </w:r>
      <w:r w:rsidRPr="003654C4">
        <w:rPr>
          <w:lang w:val="en-US"/>
        </w:rPr>
        <w:lastRenderedPageBreak/>
        <w:t>the broader older population in terms of motivation or socioeconomic characteristics. In addition, the sample is skewed toward higher levels of educational attainment, which limits the generalizability of the findings. The attribute set focuses primarily on locational factors and does not capture dwelling-level characteristics such as size, accessibility, or interior adaptability. Moreover, the monetary estimates are context-specific and may vary across housing markets. Finally, the cross-sectional design precludes an assessment of how preferences evolve over time. Future research would benefit from longitudinal and mixed-method approaches to better capture how changes in health, financial, and social circumstances shape residential choices.</w:t>
      </w:r>
    </w:p>
    <w:p w14:paraId="08A1FF6D" w14:textId="0B8B075F" w:rsidR="00AD4EE0" w:rsidRPr="00AD4EE0" w:rsidRDefault="00AD4EE0" w:rsidP="00AD4EE0">
      <w:pPr>
        <w:pStyle w:val="Heading2"/>
        <w:rPr>
          <w:lang w:val="en-US"/>
        </w:rPr>
      </w:pPr>
      <w:r w:rsidRPr="00AD4EE0">
        <w:rPr>
          <w:lang w:val="en-US"/>
        </w:rPr>
        <w:t>Conclusion</w:t>
      </w:r>
      <w:r>
        <w:rPr>
          <w:lang w:val="en-US"/>
        </w:rPr>
        <w:t xml:space="preserve"> </w:t>
      </w:r>
    </w:p>
    <w:p w14:paraId="1C0812A0" w14:textId="3B920BA0" w:rsidR="001045EE" w:rsidRPr="001045EE" w:rsidRDefault="001045EE" w:rsidP="001045EE">
      <w:pPr>
        <w:pStyle w:val="Paragraph"/>
        <w:spacing w:line="360" w:lineRule="auto"/>
        <w:ind w:firstLine="720"/>
        <w:rPr>
          <w:lang w:val="en-US"/>
        </w:rPr>
      </w:pPr>
      <w:r w:rsidRPr="001045EE">
        <w:rPr>
          <w:lang w:val="en-US"/>
        </w:rPr>
        <w:t xml:space="preserve">This study demonstrates that neighborhood accessibility is a central determinant of housing choice among older adults in Sweden. Proximity to shops, services, green space, public transport, and parking consistently increases residential utility, though the relative importance of these attributes varies systematically by age, </w:t>
      </w:r>
      <w:r>
        <w:rPr>
          <w:lang w:val="en-US"/>
        </w:rPr>
        <w:t>gender, health</w:t>
      </w:r>
      <w:r w:rsidRPr="001045EE">
        <w:rPr>
          <w:lang w:val="en-US"/>
        </w:rPr>
        <w:t>, and tenure. Older adults are far from a homogeneous group: while younger cohorts prioritize amenity-rich environments, the oldest respondents place greater emphasis on mobility autonomy and comfort-related features such as parking access.</w:t>
      </w:r>
    </w:p>
    <w:p w14:paraId="7CBF4502" w14:textId="2893AA63" w:rsidR="001045EE" w:rsidRPr="001045EE" w:rsidRDefault="001045EE" w:rsidP="001045EE">
      <w:pPr>
        <w:pStyle w:val="Paragraph"/>
        <w:spacing w:line="360" w:lineRule="auto"/>
        <w:ind w:firstLine="720"/>
        <w:rPr>
          <w:lang w:val="en-US"/>
        </w:rPr>
      </w:pPr>
      <w:r w:rsidRPr="001045EE">
        <w:rPr>
          <w:lang w:val="en-US"/>
        </w:rPr>
        <w:t>The persistence of strong preferences for both public and private mobility challenges simplified assumptions about transport needs in later life. Rather than substituting one mode for another, older adults appear to maintain mixed mobility strategies that evolve with health, geography, and personal circumstances. At the same time, income gradients in willingness to pay highlight the risk that market mechanisms may exacerbate spatial inequality, limiting access to supportive neighborhoods for lower-income older adults.</w:t>
      </w:r>
    </w:p>
    <w:p w14:paraId="50C76978" w14:textId="014230FD" w:rsidR="001045EE" w:rsidRPr="001045EE" w:rsidRDefault="001045EE" w:rsidP="001045EE">
      <w:pPr>
        <w:pStyle w:val="Paragraph"/>
        <w:spacing w:line="360" w:lineRule="auto"/>
        <w:ind w:firstLine="720"/>
        <w:rPr>
          <w:lang w:val="en-US"/>
        </w:rPr>
      </w:pPr>
      <w:r w:rsidRPr="001045EE">
        <w:rPr>
          <w:lang w:val="en-US"/>
        </w:rPr>
        <w:t xml:space="preserve">For policymakers and planners, the findings reinforce the importance of integrating housing, transport, and land-use planning. Age-friendly housing strategies should prioritize neighborhood context alongside dwelling design, ensuring that accessible housing is located within </w:t>
      </w:r>
      <w:r>
        <w:rPr>
          <w:lang w:val="en-US"/>
        </w:rPr>
        <w:t>reasonable</w:t>
      </w:r>
      <w:r w:rsidRPr="001045EE">
        <w:rPr>
          <w:lang w:val="en-US"/>
        </w:rPr>
        <w:t xml:space="preserve"> distances of essential services and green spaces. At the same time, policies must preserve affordability and tenure diversity in high-amenity locations to avoid reinforcing socioeconomic segregation in later life.</w:t>
      </w:r>
    </w:p>
    <w:p w14:paraId="0D25F14C" w14:textId="38DF22FC" w:rsidR="001045EE" w:rsidRPr="001045EE" w:rsidRDefault="001045EE" w:rsidP="001045EE">
      <w:pPr>
        <w:pStyle w:val="Paragraph"/>
        <w:spacing w:line="360" w:lineRule="auto"/>
        <w:ind w:firstLine="720"/>
        <w:rPr>
          <w:lang w:val="en-US"/>
        </w:rPr>
      </w:pPr>
      <w:r w:rsidRPr="001045EE">
        <w:rPr>
          <w:lang w:val="en-US"/>
        </w:rPr>
        <w:t xml:space="preserve">Beyond its substantive findings, the study illustrates the value of discrete choice </w:t>
      </w:r>
      <w:r w:rsidRPr="001045EE">
        <w:rPr>
          <w:lang w:val="en-US"/>
        </w:rPr>
        <w:lastRenderedPageBreak/>
        <w:t>methods for analyzing housing decisions among ageing populations. By quantifying trade-offs and heterogeneity, the approach provides actionable evidence to support more inclusive, flexible, and equitable housing strategies. As Sweden’s population continues to age, recognizing and planning for the diversity of later-life housing preferences will be essential for promoting independence, wellbeing, and social inclusion.</w:t>
      </w:r>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71D8B9D0" w14:textId="77777777" w:rsidR="00C735A0" w:rsidRPr="00C735A0" w:rsidRDefault="00BD68CC" w:rsidP="00C735A0">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C735A0" w:rsidRPr="00C735A0">
        <w:t xml:space="preserve">Abramsson, M., &amp; Andersson, E. K. (2012). Residential Mobility Patterns of Elderly—Leaving the House for an Apartment. </w:t>
      </w:r>
      <w:r w:rsidR="00C735A0" w:rsidRPr="00C735A0">
        <w:rPr>
          <w:i/>
          <w:iCs/>
        </w:rPr>
        <w:t>Housing Studies</w:t>
      </w:r>
      <w:r w:rsidR="00C735A0" w:rsidRPr="00C735A0">
        <w:t xml:space="preserve">, </w:t>
      </w:r>
      <w:r w:rsidR="00C735A0" w:rsidRPr="00C735A0">
        <w:rPr>
          <w:i/>
          <w:iCs/>
        </w:rPr>
        <w:t>27</w:t>
      </w:r>
      <w:r w:rsidR="00C735A0" w:rsidRPr="00C735A0">
        <w:t>(5), 582–604. https://doi.org/10.1080/02673037.2012.697553</w:t>
      </w:r>
    </w:p>
    <w:p w14:paraId="225D681C" w14:textId="77777777" w:rsidR="00C735A0" w:rsidRPr="00C735A0" w:rsidRDefault="00C735A0" w:rsidP="00C735A0">
      <w:pPr>
        <w:pStyle w:val="Bibliography"/>
      </w:pPr>
      <w:r w:rsidRPr="00C735A0">
        <w:t xml:space="preserve">Abramsson, M., &amp; Andersson, E. K. (2015). Changing locations: Central or peripheral moves of seniors? </w:t>
      </w:r>
      <w:r w:rsidRPr="00C735A0">
        <w:rPr>
          <w:i/>
          <w:iCs/>
        </w:rPr>
        <w:t>Journal of Housing and the Built Environment</w:t>
      </w:r>
      <w:r w:rsidRPr="00C735A0">
        <w:t xml:space="preserve">, </w:t>
      </w:r>
      <w:r w:rsidRPr="00C735A0">
        <w:rPr>
          <w:i/>
          <w:iCs/>
        </w:rPr>
        <w:t>30</w:t>
      </w:r>
      <w:r w:rsidRPr="00C735A0">
        <w:t>(4), 535–551. https://doi.org/10.1007/s10901-014-9427-0</w:t>
      </w:r>
    </w:p>
    <w:p w14:paraId="746FC446" w14:textId="77777777" w:rsidR="00C735A0" w:rsidRPr="00C735A0" w:rsidRDefault="00C735A0" w:rsidP="00C735A0">
      <w:pPr>
        <w:pStyle w:val="Bibliography"/>
      </w:pPr>
      <w:r w:rsidRPr="00C735A0">
        <w:t xml:space="preserve">Aitken, D., Willis, K., &amp; Gilroy, R. (2024). Do older homebuyers prefer dwellings with accessibility and adaptability features? Findings from an exploratory study. </w:t>
      </w:r>
      <w:r w:rsidRPr="00C735A0">
        <w:rPr>
          <w:i/>
          <w:iCs/>
        </w:rPr>
        <w:t>Housing Studies</w:t>
      </w:r>
      <w:r w:rsidRPr="00C735A0">
        <w:t xml:space="preserve">, </w:t>
      </w:r>
      <w:r w:rsidRPr="00C735A0">
        <w:rPr>
          <w:i/>
          <w:iCs/>
        </w:rPr>
        <w:t>39</w:t>
      </w:r>
      <w:r w:rsidRPr="00C735A0">
        <w:t>(3), 608–630. https://doi.org/10.1080/02673037.2022.2060944</w:t>
      </w:r>
    </w:p>
    <w:p w14:paraId="7EC9A3EB" w14:textId="77777777" w:rsidR="00C735A0" w:rsidRPr="00C735A0" w:rsidRDefault="00C735A0" w:rsidP="00C735A0">
      <w:pPr>
        <w:pStyle w:val="Bibliography"/>
      </w:pPr>
      <w:r w:rsidRPr="00C735A0">
        <w:t xml:space="preserve">Alsnih, R., &amp; Hensher, D. A. (2003). The mobility and accessibility expectations of seniors in an aging population. </w:t>
      </w:r>
      <w:r w:rsidRPr="00C735A0">
        <w:rPr>
          <w:i/>
          <w:iCs/>
        </w:rPr>
        <w:t>Transportation Research Part A: Policy and Practice</w:t>
      </w:r>
      <w:r w:rsidRPr="00C735A0">
        <w:t xml:space="preserve">, </w:t>
      </w:r>
      <w:r w:rsidRPr="00C735A0">
        <w:rPr>
          <w:i/>
          <w:iCs/>
        </w:rPr>
        <w:t>37</w:t>
      </w:r>
      <w:r w:rsidRPr="00C735A0">
        <w:t>(10), 903–916. https://doi.org/10.1016/S0965-8564(03)00073-9</w:t>
      </w:r>
    </w:p>
    <w:p w14:paraId="18A25D31" w14:textId="77777777" w:rsidR="00C735A0" w:rsidRPr="00C735A0" w:rsidRDefault="00C735A0" w:rsidP="00C735A0">
      <w:pPr>
        <w:pStyle w:val="Bibliography"/>
      </w:pPr>
      <w:r w:rsidRPr="00C735A0">
        <w:t xml:space="preserve">Ardeshiri, A., Washington, L., Vij, A., Leishman, C., &amp; Beer, A. (2024). Housing preferences for owner-occupied versus investment properties in Sydney, Australia. </w:t>
      </w:r>
      <w:r w:rsidRPr="00C735A0">
        <w:rPr>
          <w:i/>
          <w:iCs/>
        </w:rPr>
        <w:t>Housing Studies</w:t>
      </w:r>
      <w:r w:rsidRPr="00C735A0">
        <w:t xml:space="preserve">, </w:t>
      </w:r>
      <w:r w:rsidRPr="00C735A0">
        <w:rPr>
          <w:i/>
          <w:iCs/>
        </w:rPr>
        <w:t>0</w:t>
      </w:r>
      <w:r w:rsidRPr="00C735A0">
        <w:t>(0), 1–23. https://doi.org/10.1080/02673037.2024.2428749</w:t>
      </w:r>
    </w:p>
    <w:p w14:paraId="27DDED28" w14:textId="77777777" w:rsidR="00C735A0" w:rsidRPr="00C735A0" w:rsidRDefault="00C735A0" w:rsidP="00C735A0">
      <w:pPr>
        <w:pStyle w:val="Bibliography"/>
      </w:pPr>
      <w:r w:rsidRPr="00C735A0">
        <w:t xml:space="preserve">Caplan, A. J., Akhundjanov, S. B., &amp; Toll, K. (2021). Measuring heterogeneous preferences for residential amenities. </w:t>
      </w:r>
      <w:r w:rsidRPr="00C735A0">
        <w:rPr>
          <w:i/>
          <w:iCs/>
        </w:rPr>
        <w:t>Regional Science and Urban Economics</w:t>
      </w:r>
      <w:r w:rsidRPr="00C735A0">
        <w:t xml:space="preserve">, </w:t>
      </w:r>
      <w:r w:rsidRPr="00C735A0">
        <w:rPr>
          <w:i/>
          <w:iCs/>
        </w:rPr>
        <w:t>87</w:t>
      </w:r>
      <w:r w:rsidRPr="00C735A0">
        <w:t>, 103646. https://doi.org/10.1016/j.regsciurbeco.2021.103646</w:t>
      </w:r>
    </w:p>
    <w:p w14:paraId="07DFCE88" w14:textId="77777777" w:rsidR="00C735A0" w:rsidRPr="00C735A0" w:rsidRDefault="00C735A0" w:rsidP="00C735A0">
      <w:pPr>
        <w:pStyle w:val="Bibliography"/>
      </w:pPr>
      <w:r w:rsidRPr="00C735A0">
        <w:t xml:space="preserve">Clark, W., Deurloo, M., &amp; Dieleman, F. (2006). Residential Mobility and Neighbourhood Outcomes. </w:t>
      </w:r>
      <w:r w:rsidRPr="00C735A0">
        <w:rPr>
          <w:i/>
          <w:iCs/>
        </w:rPr>
        <w:t>Housing Studies</w:t>
      </w:r>
      <w:r w:rsidRPr="00C735A0">
        <w:t xml:space="preserve">, </w:t>
      </w:r>
      <w:r w:rsidRPr="00C735A0">
        <w:rPr>
          <w:i/>
          <w:iCs/>
        </w:rPr>
        <w:t>21</w:t>
      </w:r>
      <w:r w:rsidRPr="00C735A0">
        <w:t>(3), 323–342. https://doi.org/10.1080/02673030600585946</w:t>
      </w:r>
    </w:p>
    <w:p w14:paraId="3002F752" w14:textId="77777777" w:rsidR="00C735A0" w:rsidRPr="00C735A0" w:rsidRDefault="00C735A0" w:rsidP="00C735A0">
      <w:pPr>
        <w:pStyle w:val="Bibliography"/>
      </w:pPr>
      <w:r w:rsidRPr="00C735A0">
        <w:lastRenderedPageBreak/>
        <w:t xml:space="preserve">Cohen-Cline, H., Turkheimer, E., &amp; Duncan, G. E. (2015). Access to green space, physical activity and mental health: A twin study. </w:t>
      </w:r>
      <w:r w:rsidRPr="00C735A0">
        <w:rPr>
          <w:i/>
          <w:iCs/>
        </w:rPr>
        <w:t>Journal of Epidemiology and Community Health</w:t>
      </w:r>
      <w:r w:rsidRPr="00C735A0">
        <w:t xml:space="preserve">, </w:t>
      </w:r>
      <w:r w:rsidRPr="00C735A0">
        <w:rPr>
          <w:i/>
          <w:iCs/>
        </w:rPr>
        <w:t>69</w:t>
      </w:r>
      <w:r w:rsidRPr="00C735A0">
        <w:t>(6), 523–529. https://doi.org/10.1136/jech-2014-204667</w:t>
      </w:r>
    </w:p>
    <w:p w14:paraId="7CD6DC4D" w14:textId="77777777" w:rsidR="00C735A0" w:rsidRPr="00C735A0" w:rsidRDefault="00C735A0" w:rsidP="00C735A0">
      <w:pPr>
        <w:pStyle w:val="Bibliography"/>
      </w:pPr>
      <w:r w:rsidRPr="00C735A0">
        <w:rPr>
          <w:lang w:val="sv-SE"/>
        </w:rPr>
        <w:t xml:space="preserve">Damhuis, R., &amp; Van Gent, W. (2024). </w:t>
      </w:r>
      <w:r w:rsidRPr="00C735A0">
        <w:t xml:space="preserve">The period effects of crisis and recovery on life course and residential mobility of owner-occupants. </w:t>
      </w:r>
      <w:r w:rsidRPr="00C735A0">
        <w:rPr>
          <w:i/>
          <w:iCs/>
        </w:rPr>
        <w:t>Housing Studies</w:t>
      </w:r>
      <w:r w:rsidRPr="00C735A0">
        <w:t xml:space="preserve">, </w:t>
      </w:r>
      <w:r w:rsidRPr="00C735A0">
        <w:rPr>
          <w:i/>
          <w:iCs/>
        </w:rPr>
        <w:t>39</w:t>
      </w:r>
      <w:r w:rsidRPr="00C735A0">
        <w:t>(4), 1066–1086. https://doi.org/10.1080/02673037.2022.2101626</w:t>
      </w:r>
    </w:p>
    <w:p w14:paraId="59CE7C2B" w14:textId="77777777" w:rsidR="00C735A0" w:rsidRPr="00C735A0" w:rsidRDefault="00C735A0" w:rsidP="00C735A0">
      <w:pPr>
        <w:pStyle w:val="Bibliography"/>
      </w:pPr>
      <w:r w:rsidRPr="00C735A0">
        <w:t xml:space="preserve">De Jong, P., Rouwendal, J., &amp; Brouwer, A. (2022). Staying put out of choice or constraint? The residential choice behaviour of Dutch older adults. </w:t>
      </w:r>
      <w:r w:rsidRPr="00C735A0">
        <w:rPr>
          <w:i/>
          <w:iCs/>
        </w:rPr>
        <w:t>Population, Space and Place</w:t>
      </w:r>
      <w:r w:rsidRPr="00C735A0">
        <w:t xml:space="preserve">, </w:t>
      </w:r>
      <w:r w:rsidRPr="00C735A0">
        <w:rPr>
          <w:i/>
          <w:iCs/>
        </w:rPr>
        <w:t>28</w:t>
      </w:r>
      <w:r w:rsidRPr="00C735A0">
        <w:t>(4), e2553. https://doi.org/10.1002/psp.2553</w:t>
      </w:r>
    </w:p>
    <w:p w14:paraId="617E63BF" w14:textId="77777777" w:rsidR="00C735A0" w:rsidRPr="00C735A0" w:rsidRDefault="00C735A0" w:rsidP="00C735A0">
      <w:pPr>
        <w:pStyle w:val="Bibliography"/>
      </w:pPr>
      <w:r w:rsidRPr="00C735A0">
        <w:t xml:space="preserve">DeShazo, J. R., &amp; Fermo, G. (2002). Designing Choice Sets for Stated Preference Methods: The Effects of Complexity on Choice Consistency. </w:t>
      </w:r>
      <w:r w:rsidRPr="00C735A0">
        <w:rPr>
          <w:i/>
          <w:iCs/>
        </w:rPr>
        <w:t>Journal of Environmental Economics and Management</w:t>
      </w:r>
      <w:r w:rsidRPr="00C735A0">
        <w:t xml:space="preserve">, </w:t>
      </w:r>
      <w:r w:rsidRPr="00C735A0">
        <w:rPr>
          <w:i/>
          <w:iCs/>
        </w:rPr>
        <w:t>44</w:t>
      </w:r>
      <w:r w:rsidRPr="00C735A0">
        <w:t>(1), 123–143. https://doi.org/10.1006/jeem.2001.1199</w:t>
      </w:r>
    </w:p>
    <w:p w14:paraId="48C58654" w14:textId="77777777" w:rsidR="00C735A0" w:rsidRPr="00C735A0" w:rsidRDefault="00C735A0" w:rsidP="00C735A0">
      <w:pPr>
        <w:pStyle w:val="Bibliography"/>
      </w:pPr>
      <w:r w:rsidRPr="00C735A0">
        <w:t xml:space="preserve">Ewen, H. H., Hahn, S. J., Erickson, M. A., &amp; Krout, J. A. (2014). Aging in Place or Relocation? Plans of Community-Dwelling Older Adults. </w:t>
      </w:r>
      <w:r w:rsidRPr="00C735A0">
        <w:rPr>
          <w:i/>
          <w:iCs/>
        </w:rPr>
        <w:t>Journal of Housing for the Elderly</w:t>
      </w:r>
      <w:r w:rsidRPr="00C735A0">
        <w:t xml:space="preserve">, </w:t>
      </w:r>
      <w:r w:rsidRPr="00C735A0">
        <w:rPr>
          <w:i/>
          <w:iCs/>
        </w:rPr>
        <w:t>28</w:t>
      </w:r>
      <w:r w:rsidRPr="00C735A0">
        <w:t>(3), 288–309. sih. https://doi.org/10.1080/02763893.2014.930366</w:t>
      </w:r>
    </w:p>
    <w:p w14:paraId="5CBF2C97" w14:textId="77777777" w:rsidR="00C735A0" w:rsidRPr="00C735A0" w:rsidRDefault="00C735A0" w:rsidP="00C735A0">
      <w:pPr>
        <w:pStyle w:val="Bibliography"/>
      </w:pPr>
      <w:r w:rsidRPr="00C735A0">
        <w:t xml:space="preserve">Grimmer, K., Foot, J., Pastakia, K., &amp; Kay, D. (2015). Consumer views about aging-in-place. </w:t>
      </w:r>
      <w:r w:rsidRPr="00C735A0">
        <w:rPr>
          <w:i/>
          <w:iCs/>
        </w:rPr>
        <w:t>Clinical Interventions in Aging</w:t>
      </w:r>
      <w:r w:rsidRPr="00C735A0">
        <w:t>, 1803. https://doi.org/10.2147/CIA.S90672</w:t>
      </w:r>
    </w:p>
    <w:p w14:paraId="2D1E8229" w14:textId="77777777" w:rsidR="00C735A0" w:rsidRPr="00C735A0" w:rsidRDefault="00C735A0" w:rsidP="00C735A0">
      <w:pPr>
        <w:pStyle w:val="Bibliography"/>
      </w:pPr>
      <w:r w:rsidRPr="00C735A0">
        <w:t xml:space="preserve">Helveston, J. P. (2023). </w:t>
      </w:r>
      <w:r w:rsidRPr="00C735A0">
        <w:rPr>
          <w:b/>
          <w:bCs/>
        </w:rPr>
        <w:t>logitr</w:t>
      </w:r>
      <w:r w:rsidRPr="00C735A0">
        <w:t xml:space="preserve">: Fast Estimation of Multinomial and Mixed Logit Models with Preference Space and Willingness-to-Pay Space Utility Parameterizations. </w:t>
      </w:r>
      <w:r w:rsidRPr="00C735A0">
        <w:rPr>
          <w:i/>
          <w:iCs/>
        </w:rPr>
        <w:t>Journal of Statistical Software</w:t>
      </w:r>
      <w:r w:rsidRPr="00C735A0">
        <w:t xml:space="preserve">, </w:t>
      </w:r>
      <w:r w:rsidRPr="00C735A0">
        <w:rPr>
          <w:i/>
          <w:iCs/>
        </w:rPr>
        <w:t>105</w:t>
      </w:r>
      <w:r w:rsidRPr="00C735A0">
        <w:t>(10). https://doi.org/10.18637/jss.v105.i10</w:t>
      </w:r>
    </w:p>
    <w:p w14:paraId="0674288E" w14:textId="77777777" w:rsidR="00C735A0" w:rsidRPr="00C735A0" w:rsidRDefault="00C735A0" w:rsidP="00C735A0">
      <w:pPr>
        <w:pStyle w:val="Bibliography"/>
      </w:pPr>
      <w:r w:rsidRPr="00C735A0">
        <w:t xml:space="preserve">Hensher, D. A., Rose, J. M., &amp; Greene, W. H. (2015). </w:t>
      </w:r>
      <w:r w:rsidRPr="00C735A0">
        <w:rPr>
          <w:i/>
          <w:iCs/>
        </w:rPr>
        <w:t>Applied Choice Analysis</w:t>
      </w:r>
      <w:r w:rsidRPr="00C735A0">
        <w:t xml:space="preserve"> (2nd ed.). Cambridge University Press. https://doi.org/10.1017/CBO9781316136232</w:t>
      </w:r>
    </w:p>
    <w:p w14:paraId="314471E8" w14:textId="77777777" w:rsidR="00C735A0" w:rsidRPr="00C735A0" w:rsidRDefault="00C735A0" w:rsidP="00C735A0">
      <w:pPr>
        <w:pStyle w:val="Bibliography"/>
      </w:pPr>
      <w:r w:rsidRPr="00C735A0">
        <w:lastRenderedPageBreak/>
        <w:t xml:space="preserve">Hildebrand, E. D. (2003). </w:t>
      </w:r>
      <w:r w:rsidRPr="00C735A0">
        <w:rPr>
          <w:i/>
          <w:iCs/>
        </w:rPr>
        <w:t>Dimensions in elderly travel behaviour: A simplified activity-based model using lifestyle clusters</w:t>
      </w:r>
      <w:r w:rsidRPr="00C735A0">
        <w:t>.</w:t>
      </w:r>
    </w:p>
    <w:p w14:paraId="29D28C1A" w14:textId="77777777" w:rsidR="00C735A0" w:rsidRPr="00C735A0" w:rsidRDefault="00C735A0" w:rsidP="00C735A0">
      <w:pPr>
        <w:pStyle w:val="Bibliography"/>
      </w:pPr>
      <w:r w:rsidRPr="00C735A0">
        <w:rPr>
          <w:lang w:val="sv-SE"/>
        </w:rPr>
        <w:t xml:space="preserve">Himmler, S., Soekhai, V., van Exel, J., &amp; Brouwer, W. (2021). </w:t>
      </w:r>
      <w:r w:rsidRPr="00C735A0">
        <w:t xml:space="preserve">What works better for preference elicitation among older people? Cognitive burden of discrete choice experiment and case 2 best-worst scaling in an online setting. </w:t>
      </w:r>
      <w:r w:rsidRPr="00C735A0">
        <w:rPr>
          <w:i/>
          <w:iCs/>
        </w:rPr>
        <w:t>Journal of Choice Modelling</w:t>
      </w:r>
      <w:r w:rsidRPr="00C735A0">
        <w:t xml:space="preserve">, </w:t>
      </w:r>
      <w:r w:rsidRPr="00C735A0">
        <w:rPr>
          <w:i/>
          <w:iCs/>
        </w:rPr>
        <w:t>38</w:t>
      </w:r>
      <w:r w:rsidRPr="00C735A0">
        <w:t>, 100265. https://doi.org/10.1016/j.jocm.2020.100265</w:t>
      </w:r>
    </w:p>
    <w:p w14:paraId="0D558B7A" w14:textId="77777777" w:rsidR="00C735A0" w:rsidRPr="00C735A0" w:rsidRDefault="00C735A0" w:rsidP="00C735A0">
      <w:pPr>
        <w:pStyle w:val="Bibliography"/>
        <w:rPr>
          <w:lang w:val="sv-SE"/>
        </w:rPr>
      </w:pPr>
      <w:r w:rsidRPr="00C735A0">
        <w:t xml:space="preserve">Lancsar, E., &amp; Louviere, J. (2008). Conducting Discrete Choice Experiments to Inform Healthcare Decision Making: A User??s Guide. </w:t>
      </w:r>
      <w:r w:rsidRPr="00C735A0">
        <w:rPr>
          <w:i/>
          <w:iCs/>
          <w:lang w:val="sv-SE"/>
        </w:rPr>
        <w:t>PharmacoEconomics</w:t>
      </w:r>
      <w:r w:rsidRPr="00C735A0">
        <w:rPr>
          <w:lang w:val="sv-SE"/>
        </w:rPr>
        <w:t xml:space="preserve">, </w:t>
      </w:r>
      <w:r w:rsidRPr="00C735A0">
        <w:rPr>
          <w:i/>
          <w:iCs/>
          <w:lang w:val="sv-SE"/>
        </w:rPr>
        <w:t>26</w:t>
      </w:r>
      <w:r w:rsidRPr="00C735A0">
        <w:rPr>
          <w:lang w:val="sv-SE"/>
        </w:rPr>
        <w:t>(8), 661–677. https://doi.org/10.2165/00019053-200826080-00004</w:t>
      </w:r>
    </w:p>
    <w:p w14:paraId="25D48C7B" w14:textId="77777777" w:rsidR="00C735A0" w:rsidRPr="00C735A0" w:rsidRDefault="00C735A0" w:rsidP="00C735A0">
      <w:pPr>
        <w:pStyle w:val="Bibliography"/>
      </w:pPr>
      <w:r w:rsidRPr="00C735A0">
        <w:rPr>
          <w:lang w:val="sv-SE"/>
        </w:rPr>
        <w:t xml:space="preserve">Lee, P.-H., Han, Q., de Vries, B., &amp; Juan, Y.-K. (2025). </w:t>
      </w:r>
      <w:r w:rsidRPr="00C735A0">
        <w:t xml:space="preserve">Heterogeneities in willingness to pay for circular affordable housing: Insight from young users. </w:t>
      </w:r>
      <w:r w:rsidRPr="00C735A0">
        <w:rPr>
          <w:i/>
          <w:iCs/>
        </w:rPr>
        <w:t>Housing Studies</w:t>
      </w:r>
      <w:r w:rsidRPr="00C735A0">
        <w:t xml:space="preserve">, </w:t>
      </w:r>
      <w:r w:rsidRPr="00C735A0">
        <w:rPr>
          <w:i/>
          <w:iCs/>
        </w:rPr>
        <w:t>40</w:t>
      </w:r>
      <w:r w:rsidRPr="00C735A0">
        <w:t>(11), 2450–2480. https://doi.org/10.1080/02673037.2024.2404063</w:t>
      </w:r>
    </w:p>
    <w:p w14:paraId="661E1742" w14:textId="77777777" w:rsidR="00C735A0" w:rsidRPr="00C735A0" w:rsidRDefault="00C735A0" w:rsidP="00C735A0">
      <w:pPr>
        <w:pStyle w:val="Bibliography"/>
      </w:pPr>
      <w:r w:rsidRPr="00C735A0">
        <w:t xml:space="preserve">Lofqvist, C., Granbom, M., Himmelsbach, I., Iwarsson, S., Oswald, F., &amp; Haak, M. (2013). Voices on Relocation and Aging in Place in Very Old Age—A Complex and Ambivalent Matter. </w:t>
      </w:r>
      <w:r w:rsidRPr="00C735A0">
        <w:rPr>
          <w:i/>
          <w:iCs/>
        </w:rPr>
        <w:t>The Gerontologist</w:t>
      </w:r>
      <w:r w:rsidRPr="00C735A0">
        <w:t xml:space="preserve">, </w:t>
      </w:r>
      <w:r w:rsidRPr="00C735A0">
        <w:rPr>
          <w:i/>
          <w:iCs/>
        </w:rPr>
        <w:t>53</w:t>
      </w:r>
      <w:r w:rsidRPr="00C735A0">
        <w:t>(6), 919–927. https://doi.org/10.1093/geront/gnt034</w:t>
      </w:r>
    </w:p>
    <w:p w14:paraId="2B6F313E" w14:textId="77777777" w:rsidR="00C735A0" w:rsidRPr="00C735A0" w:rsidRDefault="00C735A0" w:rsidP="00C735A0">
      <w:pPr>
        <w:pStyle w:val="Bibliography"/>
      </w:pPr>
      <w:r w:rsidRPr="00C735A0">
        <w:t xml:space="preserve">Lu, P., &amp; Kong, D. (2024). Community-Based Residential Relocation in Middle and Older Age: A United States–China Comparison Study on Its Predictors and Associated Mortality Risk. </w:t>
      </w:r>
      <w:r w:rsidRPr="00C735A0">
        <w:rPr>
          <w:i/>
          <w:iCs/>
        </w:rPr>
        <w:t>Journal of Aging and Health</w:t>
      </w:r>
      <w:r w:rsidRPr="00C735A0">
        <w:t>, 08982643241276270. https://doi.org/10.1177/08982643241276270</w:t>
      </w:r>
    </w:p>
    <w:p w14:paraId="63C0F16F" w14:textId="77777777" w:rsidR="00C735A0" w:rsidRPr="00C735A0" w:rsidRDefault="00C735A0" w:rsidP="00C735A0">
      <w:pPr>
        <w:pStyle w:val="Bibliography"/>
      </w:pPr>
      <w:r w:rsidRPr="00C735A0">
        <w:t xml:space="preserve">Maas, J. (2006). Green space, urbanity, and health: How strong is the relation? </w:t>
      </w:r>
      <w:r w:rsidRPr="00C735A0">
        <w:rPr>
          <w:i/>
          <w:iCs/>
        </w:rPr>
        <w:t>Journal of Epidemiology &amp; Community Health</w:t>
      </w:r>
      <w:r w:rsidRPr="00C735A0">
        <w:t xml:space="preserve">, </w:t>
      </w:r>
      <w:r w:rsidRPr="00C735A0">
        <w:rPr>
          <w:i/>
          <w:iCs/>
        </w:rPr>
        <w:t>60</w:t>
      </w:r>
      <w:r w:rsidRPr="00C735A0">
        <w:t>(7), 587–592. https://doi.org/10.1136/jech.2005.043125</w:t>
      </w:r>
    </w:p>
    <w:p w14:paraId="7BFB2E53" w14:textId="77777777" w:rsidR="00C735A0" w:rsidRPr="00C735A0" w:rsidRDefault="00C735A0" w:rsidP="00C735A0">
      <w:pPr>
        <w:pStyle w:val="Bibliography"/>
      </w:pPr>
      <w:r w:rsidRPr="00C735A0">
        <w:t xml:space="preserve">Mangham, L. J., Hanson, K., &amp; McPake, B. (2009). How to do (or not to do) … Designing a discrete choice experiment for application in a low-income country. </w:t>
      </w:r>
      <w:r w:rsidRPr="00C735A0">
        <w:rPr>
          <w:i/>
          <w:iCs/>
        </w:rPr>
        <w:lastRenderedPageBreak/>
        <w:t>Health Policy and Planning</w:t>
      </w:r>
      <w:r w:rsidRPr="00C735A0">
        <w:t xml:space="preserve">, </w:t>
      </w:r>
      <w:r w:rsidRPr="00C735A0">
        <w:rPr>
          <w:i/>
          <w:iCs/>
        </w:rPr>
        <w:t>24</w:t>
      </w:r>
      <w:r w:rsidRPr="00C735A0">
        <w:t>(2), 151–158. https://doi.org/10.1093/heapol/czn047</w:t>
      </w:r>
    </w:p>
    <w:p w14:paraId="6E2D21C8" w14:textId="77777777" w:rsidR="00C735A0" w:rsidRPr="00C735A0" w:rsidRDefault="00C735A0" w:rsidP="00C735A0">
      <w:pPr>
        <w:pStyle w:val="Bibliography"/>
      </w:pPr>
      <w:r w:rsidRPr="00C735A0">
        <w:t xml:space="preserve">McFadden, D. (1974). The measurement of urban travel demand. </w:t>
      </w:r>
      <w:r w:rsidRPr="00C735A0">
        <w:rPr>
          <w:i/>
          <w:iCs/>
        </w:rPr>
        <w:t>Journal of Public Economics</w:t>
      </w:r>
      <w:r w:rsidRPr="00C735A0">
        <w:t xml:space="preserve">, </w:t>
      </w:r>
      <w:r w:rsidRPr="00C735A0">
        <w:rPr>
          <w:i/>
          <w:iCs/>
        </w:rPr>
        <w:t>3</w:t>
      </w:r>
      <w:r w:rsidRPr="00C735A0">
        <w:t>(4), 303–328. https://doi.org/10.1016/0047-2727(74)90003-6</w:t>
      </w:r>
    </w:p>
    <w:p w14:paraId="5475EAC5" w14:textId="77777777" w:rsidR="00C735A0" w:rsidRPr="00C735A0" w:rsidRDefault="00C735A0" w:rsidP="00C735A0">
      <w:pPr>
        <w:pStyle w:val="Bibliography"/>
      </w:pPr>
      <w:r w:rsidRPr="00C735A0">
        <w:t xml:space="preserve">McFadden, D., &amp; Train, K. (2000). Mixed MNL models for discrete response. </w:t>
      </w:r>
      <w:r w:rsidRPr="00C735A0">
        <w:rPr>
          <w:i/>
          <w:iCs/>
        </w:rPr>
        <w:t>Journal of Applied Econometrics</w:t>
      </w:r>
      <w:r w:rsidRPr="00C735A0">
        <w:t xml:space="preserve">, </w:t>
      </w:r>
      <w:r w:rsidRPr="00C735A0">
        <w:rPr>
          <w:i/>
          <w:iCs/>
        </w:rPr>
        <w:t>15</w:t>
      </w:r>
      <w:r w:rsidRPr="00C735A0">
        <w:t>(5), 447–470. https://doi.org/10.1002/1099-1255(200009/10)15:5&lt;447::AID-JAE570&gt;3.0.CO;2-1</w:t>
      </w:r>
    </w:p>
    <w:p w14:paraId="4ABC5DCF" w14:textId="77777777" w:rsidR="00C735A0" w:rsidRPr="00C735A0" w:rsidRDefault="00C735A0" w:rsidP="00C735A0">
      <w:pPr>
        <w:pStyle w:val="Bibliography"/>
      </w:pPr>
      <w:r w:rsidRPr="00C735A0">
        <w:rPr>
          <w:lang w:val="sv-SE"/>
        </w:rPr>
        <w:t xml:space="preserve">Nielsen, T. S., &amp; Hansen, K. B. (2007). </w:t>
      </w:r>
      <w:r w:rsidRPr="00C735A0">
        <w:t xml:space="preserve">Do green areas affect health? Results from a Danish survey on the use of green areas and health indicators. </w:t>
      </w:r>
      <w:r w:rsidRPr="00C735A0">
        <w:rPr>
          <w:i/>
          <w:iCs/>
        </w:rPr>
        <w:t>Health &amp; Place</w:t>
      </w:r>
      <w:r w:rsidRPr="00C735A0">
        <w:t xml:space="preserve">, </w:t>
      </w:r>
      <w:r w:rsidRPr="00C735A0">
        <w:rPr>
          <w:i/>
          <w:iCs/>
        </w:rPr>
        <w:t>13</w:t>
      </w:r>
      <w:r w:rsidRPr="00C735A0">
        <w:t>(4), 839–850. https://doi.org/10.1016/j.healthplace.2007.02.001</w:t>
      </w:r>
    </w:p>
    <w:p w14:paraId="3767AAA9" w14:textId="77777777" w:rsidR="00C735A0" w:rsidRPr="00C735A0" w:rsidRDefault="00C735A0" w:rsidP="00C735A0">
      <w:pPr>
        <w:pStyle w:val="Bibliography"/>
      </w:pPr>
      <w:r w:rsidRPr="00C735A0">
        <w:t xml:space="preserve">Ossokina, I. V., &amp; Arentze, T. A. (2022). Reference-dependent housing choice behaviour: Why are older people reluctant to move? </w:t>
      </w:r>
      <w:r w:rsidRPr="00C735A0">
        <w:rPr>
          <w:i/>
          <w:iCs/>
        </w:rPr>
        <w:t>Housing Studies</w:t>
      </w:r>
      <w:r w:rsidRPr="00C735A0">
        <w:t>, 1–19. https://doi.org/10.1080/02673037.2022.2151984</w:t>
      </w:r>
    </w:p>
    <w:p w14:paraId="1F0AF4C8" w14:textId="77777777" w:rsidR="00C735A0" w:rsidRPr="00C735A0" w:rsidRDefault="00C735A0" w:rsidP="00C735A0">
      <w:pPr>
        <w:pStyle w:val="Bibliography"/>
      </w:pPr>
      <w:r w:rsidRPr="00C735A0">
        <w:t xml:space="preserve">Ossokina, I. V., Arentze, T. A., Van Gameren, D., &amp; Van Den Heuvel, D. (2020). Best living concepts for elderly homeowners: Combining a stated choice experiment with architectural design. </w:t>
      </w:r>
      <w:r w:rsidRPr="00C735A0">
        <w:rPr>
          <w:i/>
          <w:iCs/>
        </w:rPr>
        <w:t>Journal of Housing and the Built Environment</w:t>
      </w:r>
      <w:r w:rsidRPr="00C735A0">
        <w:t xml:space="preserve">, </w:t>
      </w:r>
      <w:r w:rsidRPr="00C735A0">
        <w:rPr>
          <w:i/>
          <w:iCs/>
        </w:rPr>
        <w:t>35</w:t>
      </w:r>
      <w:r w:rsidRPr="00C735A0">
        <w:t>(3), 847–865. https://doi.org/10.1007/s10901-019-09716-5</w:t>
      </w:r>
    </w:p>
    <w:p w14:paraId="025D58E7" w14:textId="77777777" w:rsidR="00C735A0" w:rsidRPr="00C735A0" w:rsidRDefault="00C735A0" w:rsidP="00C735A0">
      <w:pPr>
        <w:pStyle w:val="Bibliography"/>
      </w:pPr>
      <w:r w:rsidRPr="00C735A0">
        <w:t xml:space="preserve">Paquet, C., Orschulok, T. P., Coffee, N. T., Howard, N. J., Hugo, G., Taylor, A. W., Adams, R. J., &amp; Daniel, M. (2013). Are accessibility and characteristics of public open spaces associated with a better cardiometabolic health? </w:t>
      </w:r>
      <w:r w:rsidRPr="00C735A0">
        <w:rPr>
          <w:i/>
          <w:iCs/>
        </w:rPr>
        <w:t>Landscape and Urban Planning</w:t>
      </w:r>
      <w:r w:rsidRPr="00C735A0">
        <w:t xml:space="preserve">, </w:t>
      </w:r>
      <w:r w:rsidRPr="00C735A0">
        <w:rPr>
          <w:i/>
          <w:iCs/>
        </w:rPr>
        <w:t>118</w:t>
      </w:r>
      <w:r w:rsidRPr="00C735A0">
        <w:t>, 70–78. https://doi.org/10.1016/j.landurbplan.2012.11.011</w:t>
      </w:r>
    </w:p>
    <w:p w14:paraId="52284AE4" w14:textId="77777777" w:rsidR="00C735A0" w:rsidRPr="00C735A0" w:rsidRDefault="00C735A0" w:rsidP="00C735A0">
      <w:pPr>
        <w:pStyle w:val="Bibliography"/>
      </w:pPr>
      <w:r w:rsidRPr="00C735A0">
        <w:t xml:space="preserve">Ricciardi, A. M., Xia, J., &amp; Currie, G. (2015). Exploring public transport equity between separate disadvantaged cohorts: A case study in Perth, Australia. </w:t>
      </w:r>
      <w:r w:rsidRPr="00C735A0">
        <w:rPr>
          <w:i/>
          <w:iCs/>
        </w:rPr>
        <w:lastRenderedPageBreak/>
        <w:t>Journal of Transport Geography</w:t>
      </w:r>
      <w:r w:rsidRPr="00C735A0">
        <w:t xml:space="preserve">, </w:t>
      </w:r>
      <w:r w:rsidRPr="00C735A0">
        <w:rPr>
          <w:i/>
          <w:iCs/>
        </w:rPr>
        <w:t>43</w:t>
      </w:r>
      <w:r w:rsidRPr="00C735A0">
        <w:t>, 111–122. https://doi.org/10.1016/j.jtrangeo.2015.01.011</w:t>
      </w:r>
    </w:p>
    <w:p w14:paraId="6ECDF6C7" w14:textId="77777777" w:rsidR="00C735A0" w:rsidRPr="00C735A0" w:rsidRDefault="00C735A0" w:rsidP="00C735A0">
      <w:pPr>
        <w:pStyle w:val="Bibliography"/>
      </w:pPr>
      <w:r w:rsidRPr="00C735A0">
        <w:t xml:space="preserve">Robison, J. T., &amp; Moen, P. (2000). A Life-Course Perspective on Housing Expectations and Shifts in Late Midlife. </w:t>
      </w:r>
      <w:r w:rsidRPr="00C735A0">
        <w:rPr>
          <w:i/>
          <w:iCs/>
        </w:rPr>
        <w:t>Research on Aging</w:t>
      </w:r>
      <w:r w:rsidRPr="00C735A0">
        <w:t xml:space="preserve">, </w:t>
      </w:r>
      <w:r w:rsidRPr="00C735A0">
        <w:rPr>
          <w:i/>
          <w:iCs/>
        </w:rPr>
        <w:t>22</w:t>
      </w:r>
      <w:r w:rsidRPr="00C735A0">
        <w:t>(5), 499–532. https://doi.org/10.1177/0164027500225003</w:t>
      </w:r>
    </w:p>
    <w:p w14:paraId="6E811AFD" w14:textId="77777777" w:rsidR="00C735A0" w:rsidRPr="00C735A0" w:rsidRDefault="00C735A0" w:rsidP="00C735A0">
      <w:pPr>
        <w:pStyle w:val="Bibliography"/>
      </w:pPr>
      <w:r w:rsidRPr="00C735A0">
        <w:t xml:space="preserve">Roy, N., Dubé, R., Després, C., Freitas, A., &amp; Légaré, F. (2018). Choosing between staying at home or moving: A systematic review of factors influencing housing decisions among frail older adults. </w:t>
      </w:r>
      <w:r w:rsidRPr="00C735A0">
        <w:rPr>
          <w:i/>
          <w:iCs/>
        </w:rPr>
        <w:t>PLOS ONE</w:t>
      </w:r>
      <w:r w:rsidRPr="00C735A0">
        <w:t xml:space="preserve">, </w:t>
      </w:r>
      <w:r w:rsidRPr="00C735A0">
        <w:rPr>
          <w:i/>
          <w:iCs/>
        </w:rPr>
        <w:t>13</w:t>
      </w:r>
      <w:r w:rsidRPr="00C735A0">
        <w:t>(1), e0189266. https://doi.org/10.1371/journal.pone.0189266</w:t>
      </w:r>
    </w:p>
    <w:p w14:paraId="69F54EEC" w14:textId="77777777" w:rsidR="00C735A0" w:rsidRPr="00C735A0" w:rsidRDefault="00C735A0" w:rsidP="00C735A0">
      <w:pPr>
        <w:pStyle w:val="Bibliography"/>
      </w:pPr>
      <w:r w:rsidRPr="00C735A0">
        <w:t xml:space="preserve">Schulz, M., Gross, C., &amp; Teti, A. (2025). </w:t>
      </w:r>
      <w:r w:rsidRPr="00C735A0">
        <w:rPr>
          <w:i/>
          <w:iCs/>
        </w:rPr>
        <w:t>Owning, Renting and Environmental Proactivity: The Role of Housing Tenure in Hypothetical Housing Decisions</w:t>
      </w:r>
      <w:r w:rsidRPr="00C735A0">
        <w:t>.</w:t>
      </w:r>
    </w:p>
    <w:p w14:paraId="02E1AD0C" w14:textId="77777777" w:rsidR="00C735A0" w:rsidRPr="00C735A0" w:rsidRDefault="00C735A0" w:rsidP="00C735A0">
      <w:pPr>
        <w:pStyle w:val="Bibliography"/>
      </w:pPr>
      <w:r w:rsidRPr="00C735A0">
        <w:t xml:space="preserve">Sturm, R., &amp; Cohen, D. (2014). </w:t>
      </w:r>
      <w:r w:rsidRPr="00C735A0">
        <w:rPr>
          <w:i/>
          <w:iCs/>
        </w:rPr>
        <w:t>Proximity to Urban Parks and Mental Health</w:t>
      </w:r>
      <w:r w:rsidRPr="00C735A0">
        <w:t>.</w:t>
      </w:r>
    </w:p>
    <w:p w14:paraId="26B85BC2" w14:textId="77777777" w:rsidR="00C735A0" w:rsidRPr="00C735A0" w:rsidRDefault="00C735A0" w:rsidP="00C735A0">
      <w:pPr>
        <w:pStyle w:val="Bibliography"/>
      </w:pPr>
      <w:r w:rsidRPr="00C735A0">
        <w:t xml:space="preserve">Train, K. (Ed.). (2003). </w:t>
      </w:r>
      <w:r w:rsidRPr="00C735A0">
        <w:rPr>
          <w:i/>
          <w:iCs/>
        </w:rPr>
        <w:t>Discrete choice methods with simulation</w:t>
      </w:r>
      <w:r w:rsidRPr="00C735A0">
        <w:t>. Cambridge University Press.</w:t>
      </w:r>
    </w:p>
    <w:p w14:paraId="09A4F660" w14:textId="77777777" w:rsidR="00C735A0" w:rsidRPr="00C735A0" w:rsidRDefault="00C735A0" w:rsidP="00C735A0">
      <w:pPr>
        <w:pStyle w:val="Bibliography"/>
      </w:pPr>
      <w:r w:rsidRPr="00C735A0">
        <w:t xml:space="preserve">United Nations Department of Economic and Social Affairs. (2023). </w:t>
      </w:r>
      <w:r w:rsidRPr="00C735A0">
        <w:rPr>
          <w:i/>
          <w:iCs/>
        </w:rPr>
        <w:t>World Social Report 2023: Leaving No One Behind in an Ageing World</w:t>
      </w:r>
      <w:r w:rsidRPr="00C735A0">
        <w:t>. United Nations. https://doi.org/10.18356/9789210019682</w:t>
      </w:r>
    </w:p>
    <w:p w14:paraId="188C83A4" w14:textId="77777777" w:rsidR="00C735A0" w:rsidRPr="00C735A0" w:rsidRDefault="00C735A0" w:rsidP="00C735A0">
      <w:pPr>
        <w:pStyle w:val="Bibliography"/>
      </w:pPr>
      <w:r w:rsidRPr="00C735A0">
        <w:t xml:space="preserve">Wiles, J. L., Leibing, A., Guberman, N., Reeve, J., &amp; Allen, R. E. S. (2012). The Meaning of “Aging in Place” to Older People. </w:t>
      </w:r>
      <w:r w:rsidRPr="00C735A0">
        <w:rPr>
          <w:i/>
          <w:iCs/>
        </w:rPr>
        <w:t>The Gerontologist</w:t>
      </w:r>
      <w:r w:rsidRPr="00C735A0">
        <w:t xml:space="preserve">, </w:t>
      </w:r>
      <w:r w:rsidRPr="00C735A0">
        <w:rPr>
          <w:i/>
          <w:iCs/>
        </w:rPr>
        <w:t>52</w:t>
      </w:r>
      <w:r w:rsidRPr="00C735A0">
        <w:t>(3), 357–366. https://doi.org/10.1093/geront/gnr098</w:t>
      </w:r>
    </w:p>
    <w:p w14:paraId="61A2D7FC" w14:textId="77777777" w:rsidR="00C735A0" w:rsidRPr="00C735A0" w:rsidRDefault="00C735A0" w:rsidP="00C735A0">
      <w:pPr>
        <w:pStyle w:val="Bibliography"/>
      </w:pPr>
      <w:r w:rsidRPr="00C735A0">
        <w:t xml:space="preserve">Wooldridge, J. M. (2010). </w:t>
      </w:r>
      <w:r w:rsidRPr="00C735A0">
        <w:rPr>
          <w:i/>
          <w:iCs/>
        </w:rPr>
        <w:t>Econometric Analysis of Cross Section and Panel Data, second edition</w:t>
      </w:r>
      <w:r w:rsidRPr="00C735A0">
        <w:t>. MIT Press.</w:t>
      </w:r>
    </w:p>
    <w:p w14:paraId="3F44BB3C" w14:textId="77777777" w:rsidR="00C735A0" w:rsidRPr="00C735A0" w:rsidRDefault="00C735A0" w:rsidP="00C735A0">
      <w:pPr>
        <w:pStyle w:val="Bibliography"/>
      </w:pPr>
      <w:r w:rsidRPr="00C735A0">
        <w:t xml:space="preserve">Zhao, L., Szajnfarber, Z., Broniatowski, D., &amp; Helveston, J. P. (2023). Using conjoint analysis to incorporate heterogeneous preferences into multimodal transit trip </w:t>
      </w:r>
      <w:r w:rsidRPr="00C735A0">
        <w:lastRenderedPageBreak/>
        <w:t xml:space="preserve">simulations. </w:t>
      </w:r>
      <w:r w:rsidRPr="00C735A0">
        <w:rPr>
          <w:i/>
          <w:iCs/>
        </w:rPr>
        <w:t>Systems Engineering</w:t>
      </w:r>
      <w:r w:rsidRPr="00C735A0">
        <w:t xml:space="preserve">, </w:t>
      </w:r>
      <w:r w:rsidRPr="00C735A0">
        <w:rPr>
          <w:i/>
          <w:iCs/>
        </w:rPr>
        <w:t>26</w:t>
      </w:r>
      <w:r w:rsidRPr="00C735A0">
        <w:t>(4), 438–448. https://doi.org/10.1002/sys.21670</w:t>
      </w:r>
    </w:p>
    <w:p w14:paraId="6303F926" w14:textId="1E3B2174"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18"/>
      <w:headerReference w:type="default" r:id="rId19"/>
      <w:footerReference w:type="even" r:id="rId20"/>
      <w:footerReference w:type="default" r:id="rId21"/>
      <w:headerReference w:type="first" r:id="rId22"/>
      <w:footerReference w:type="first" r:id="rId23"/>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F77A1" w14:textId="77777777" w:rsidR="00184B20" w:rsidRDefault="00184B20" w:rsidP="00AF2C92">
      <w:r>
        <w:separator/>
      </w:r>
    </w:p>
  </w:endnote>
  <w:endnote w:type="continuationSeparator" w:id="0">
    <w:p w14:paraId="5EAF28AB" w14:textId="77777777" w:rsidR="00184B20" w:rsidRDefault="00184B2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730E" w14:textId="77777777" w:rsidR="0080631A" w:rsidRDefault="00806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BB62A" w14:textId="77777777" w:rsidR="0080631A" w:rsidRDefault="008063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A2E8" w14:textId="77777777" w:rsidR="0080631A" w:rsidRDefault="00806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DD06" w14:textId="77777777" w:rsidR="00184B20" w:rsidRDefault="00184B20" w:rsidP="00AF2C92">
      <w:r>
        <w:separator/>
      </w:r>
    </w:p>
  </w:footnote>
  <w:footnote w:type="continuationSeparator" w:id="0">
    <w:p w14:paraId="54B1BDA8" w14:textId="77777777" w:rsidR="00184B20" w:rsidRDefault="00184B20"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2C4E" w14:textId="77777777" w:rsidR="0080631A" w:rsidRDefault="00806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B212" w14:textId="77777777" w:rsidR="0080631A" w:rsidRDefault="00806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5F03" w14:textId="77777777" w:rsidR="0080631A" w:rsidRDefault="00806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31B8"/>
    <w:rsid w:val="000133C0"/>
    <w:rsid w:val="00014C4E"/>
    <w:rsid w:val="00017107"/>
    <w:rsid w:val="000202E2"/>
    <w:rsid w:val="00022441"/>
    <w:rsid w:val="0002261E"/>
    <w:rsid w:val="00024839"/>
    <w:rsid w:val="00026871"/>
    <w:rsid w:val="0003508A"/>
    <w:rsid w:val="000368B2"/>
    <w:rsid w:val="00037A98"/>
    <w:rsid w:val="000427FB"/>
    <w:rsid w:val="0004455E"/>
    <w:rsid w:val="00047CB5"/>
    <w:rsid w:val="00051FAA"/>
    <w:rsid w:val="00053651"/>
    <w:rsid w:val="000572A9"/>
    <w:rsid w:val="00061325"/>
    <w:rsid w:val="0007102B"/>
    <w:rsid w:val="000733AC"/>
    <w:rsid w:val="00074B81"/>
    <w:rsid w:val="00074D22"/>
    <w:rsid w:val="00075081"/>
    <w:rsid w:val="0007528A"/>
    <w:rsid w:val="000807B7"/>
    <w:rsid w:val="000811AB"/>
    <w:rsid w:val="00083C5F"/>
    <w:rsid w:val="000848E9"/>
    <w:rsid w:val="0009172C"/>
    <w:rsid w:val="000930EC"/>
    <w:rsid w:val="00095E61"/>
    <w:rsid w:val="000966C1"/>
    <w:rsid w:val="000970AC"/>
    <w:rsid w:val="000A1167"/>
    <w:rsid w:val="000A4428"/>
    <w:rsid w:val="000A6D40"/>
    <w:rsid w:val="000A7BC2"/>
    <w:rsid w:val="000A7BC3"/>
    <w:rsid w:val="000B1661"/>
    <w:rsid w:val="000B1F0B"/>
    <w:rsid w:val="000B2E88"/>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6259"/>
    <w:rsid w:val="000F2A45"/>
    <w:rsid w:val="000F4677"/>
    <w:rsid w:val="000F5BE0"/>
    <w:rsid w:val="000F78B5"/>
    <w:rsid w:val="00100485"/>
    <w:rsid w:val="00100587"/>
    <w:rsid w:val="0010284E"/>
    <w:rsid w:val="00103122"/>
    <w:rsid w:val="0010336A"/>
    <w:rsid w:val="001045EE"/>
    <w:rsid w:val="001050F1"/>
    <w:rsid w:val="00105AEA"/>
    <w:rsid w:val="00106DAF"/>
    <w:rsid w:val="00114ABE"/>
    <w:rsid w:val="001154EE"/>
    <w:rsid w:val="00116023"/>
    <w:rsid w:val="00126365"/>
    <w:rsid w:val="00127537"/>
    <w:rsid w:val="00134A51"/>
    <w:rsid w:val="00140727"/>
    <w:rsid w:val="001464C2"/>
    <w:rsid w:val="00154663"/>
    <w:rsid w:val="00160628"/>
    <w:rsid w:val="00161344"/>
    <w:rsid w:val="00162195"/>
    <w:rsid w:val="0016322A"/>
    <w:rsid w:val="00165A21"/>
    <w:rsid w:val="00165BE3"/>
    <w:rsid w:val="001705CE"/>
    <w:rsid w:val="0017714B"/>
    <w:rsid w:val="001804DF"/>
    <w:rsid w:val="00180760"/>
    <w:rsid w:val="00181B5C"/>
    <w:rsid w:val="00181BDC"/>
    <w:rsid w:val="00181DB0"/>
    <w:rsid w:val="001829E3"/>
    <w:rsid w:val="00184B20"/>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00"/>
    <w:rsid w:val="001C5736"/>
    <w:rsid w:val="001D519F"/>
    <w:rsid w:val="001D56A9"/>
    <w:rsid w:val="001D647F"/>
    <w:rsid w:val="001D66E7"/>
    <w:rsid w:val="001D6857"/>
    <w:rsid w:val="001D7492"/>
    <w:rsid w:val="001E0572"/>
    <w:rsid w:val="001E0A67"/>
    <w:rsid w:val="001E1028"/>
    <w:rsid w:val="001E14E2"/>
    <w:rsid w:val="001E6302"/>
    <w:rsid w:val="001E6EB9"/>
    <w:rsid w:val="001E7DCB"/>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6F4B"/>
    <w:rsid w:val="00242B0D"/>
    <w:rsid w:val="002467C6"/>
    <w:rsid w:val="0024692A"/>
    <w:rsid w:val="00252BBA"/>
    <w:rsid w:val="00253123"/>
    <w:rsid w:val="00264001"/>
    <w:rsid w:val="00266354"/>
    <w:rsid w:val="0026756C"/>
    <w:rsid w:val="00267A18"/>
    <w:rsid w:val="00273462"/>
    <w:rsid w:val="0027395B"/>
    <w:rsid w:val="00275854"/>
    <w:rsid w:val="00280BC4"/>
    <w:rsid w:val="00283B41"/>
    <w:rsid w:val="0028488F"/>
    <w:rsid w:val="00285F28"/>
    <w:rsid w:val="00286398"/>
    <w:rsid w:val="002A3C42"/>
    <w:rsid w:val="002A4CFF"/>
    <w:rsid w:val="002A5D75"/>
    <w:rsid w:val="002B1B1A"/>
    <w:rsid w:val="002B7228"/>
    <w:rsid w:val="002C3348"/>
    <w:rsid w:val="002C53EE"/>
    <w:rsid w:val="002C6F8D"/>
    <w:rsid w:val="002D24F7"/>
    <w:rsid w:val="002D2799"/>
    <w:rsid w:val="002D2CD7"/>
    <w:rsid w:val="002D4DDC"/>
    <w:rsid w:val="002D4F75"/>
    <w:rsid w:val="002D5164"/>
    <w:rsid w:val="002D6493"/>
    <w:rsid w:val="002D7AB6"/>
    <w:rsid w:val="002E06D0"/>
    <w:rsid w:val="002E3A03"/>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1932"/>
    <w:rsid w:val="003522A1"/>
    <w:rsid w:val="0035254B"/>
    <w:rsid w:val="00353555"/>
    <w:rsid w:val="00354AA1"/>
    <w:rsid w:val="003565D4"/>
    <w:rsid w:val="003607FB"/>
    <w:rsid w:val="00360FD5"/>
    <w:rsid w:val="0036340D"/>
    <w:rsid w:val="003634A5"/>
    <w:rsid w:val="003654C4"/>
    <w:rsid w:val="00366868"/>
    <w:rsid w:val="00367506"/>
    <w:rsid w:val="00370085"/>
    <w:rsid w:val="003744A7"/>
    <w:rsid w:val="00376235"/>
    <w:rsid w:val="003770DF"/>
    <w:rsid w:val="00381FB6"/>
    <w:rsid w:val="003836D3"/>
    <w:rsid w:val="00383A52"/>
    <w:rsid w:val="00391652"/>
    <w:rsid w:val="0039507F"/>
    <w:rsid w:val="003A1260"/>
    <w:rsid w:val="003A2931"/>
    <w:rsid w:val="003A295F"/>
    <w:rsid w:val="003A41DD"/>
    <w:rsid w:val="003A7033"/>
    <w:rsid w:val="003B47FE"/>
    <w:rsid w:val="003B5673"/>
    <w:rsid w:val="003B6287"/>
    <w:rsid w:val="003B62C9"/>
    <w:rsid w:val="003C589C"/>
    <w:rsid w:val="003C7176"/>
    <w:rsid w:val="003D0929"/>
    <w:rsid w:val="003D33D1"/>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0D56"/>
    <w:rsid w:val="004058A7"/>
    <w:rsid w:val="00412457"/>
    <w:rsid w:val="00412C8E"/>
    <w:rsid w:val="0041518D"/>
    <w:rsid w:val="00417A5B"/>
    <w:rsid w:val="0042221D"/>
    <w:rsid w:val="00424DD3"/>
    <w:rsid w:val="004269C5"/>
    <w:rsid w:val="00427C3F"/>
    <w:rsid w:val="00430956"/>
    <w:rsid w:val="00435939"/>
    <w:rsid w:val="00437CC7"/>
    <w:rsid w:val="00437FD5"/>
    <w:rsid w:val="00442B9C"/>
    <w:rsid w:val="00445EFA"/>
    <w:rsid w:val="0044738A"/>
    <w:rsid w:val="004473D3"/>
    <w:rsid w:val="00452231"/>
    <w:rsid w:val="00454425"/>
    <w:rsid w:val="00460C13"/>
    <w:rsid w:val="00463228"/>
    <w:rsid w:val="00463782"/>
    <w:rsid w:val="004639E6"/>
    <w:rsid w:val="004667E0"/>
    <w:rsid w:val="0046760E"/>
    <w:rsid w:val="00470E10"/>
    <w:rsid w:val="00477A97"/>
    <w:rsid w:val="00481343"/>
    <w:rsid w:val="00482C8F"/>
    <w:rsid w:val="0048549E"/>
    <w:rsid w:val="004930C6"/>
    <w:rsid w:val="00493347"/>
    <w:rsid w:val="00496092"/>
    <w:rsid w:val="004A08DB"/>
    <w:rsid w:val="004A25D0"/>
    <w:rsid w:val="004A37E8"/>
    <w:rsid w:val="004A3F23"/>
    <w:rsid w:val="004A6381"/>
    <w:rsid w:val="004A7549"/>
    <w:rsid w:val="004B09D4"/>
    <w:rsid w:val="004B309D"/>
    <w:rsid w:val="004B330A"/>
    <w:rsid w:val="004B7C8E"/>
    <w:rsid w:val="004C3D3C"/>
    <w:rsid w:val="004D0EDC"/>
    <w:rsid w:val="004D1220"/>
    <w:rsid w:val="004D14B3"/>
    <w:rsid w:val="004D1529"/>
    <w:rsid w:val="004D2253"/>
    <w:rsid w:val="004D41A2"/>
    <w:rsid w:val="004D5514"/>
    <w:rsid w:val="004D56C3"/>
    <w:rsid w:val="004E0338"/>
    <w:rsid w:val="004E4FF3"/>
    <w:rsid w:val="004E56A8"/>
    <w:rsid w:val="004F0CBB"/>
    <w:rsid w:val="004F3B55"/>
    <w:rsid w:val="004F428E"/>
    <w:rsid w:val="004F4E46"/>
    <w:rsid w:val="004F6B7D"/>
    <w:rsid w:val="005015F6"/>
    <w:rsid w:val="00502937"/>
    <w:rsid w:val="005030C4"/>
    <w:rsid w:val="005031C5"/>
    <w:rsid w:val="00504FDC"/>
    <w:rsid w:val="00505D4E"/>
    <w:rsid w:val="00511E65"/>
    <w:rsid w:val="005120CC"/>
    <w:rsid w:val="00512B7B"/>
    <w:rsid w:val="00514EA1"/>
    <w:rsid w:val="0051798B"/>
    <w:rsid w:val="00521F5A"/>
    <w:rsid w:val="00525E06"/>
    <w:rsid w:val="00526454"/>
    <w:rsid w:val="00531823"/>
    <w:rsid w:val="00534B29"/>
    <w:rsid w:val="00534ECC"/>
    <w:rsid w:val="0053720D"/>
    <w:rsid w:val="00540EF5"/>
    <w:rsid w:val="00541BF3"/>
    <w:rsid w:val="00541CD3"/>
    <w:rsid w:val="005420B2"/>
    <w:rsid w:val="005476FA"/>
    <w:rsid w:val="0055595E"/>
    <w:rsid w:val="00557988"/>
    <w:rsid w:val="00562C49"/>
    <w:rsid w:val="00562DEF"/>
    <w:rsid w:val="0056321A"/>
    <w:rsid w:val="00563A35"/>
    <w:rsid w:val="00566596"/>
    <w:rsid w:val="00570D27"/>
    <w:rsid w:val="005741E9"/>
    <w:rsid w:val="005748CF"/>
    <w:rsid w:val="00584270"/>
    <w:rsid w:val="00584738"/>
    <w:rsid w:val="005920B0"/>
    <w:rsid w:val="0059380D"/>
    <w:rsid w:val="00595A8F"/>
    <w:rsid w:val="00596029"/>
    <w:rsid w:val="005977C2"/>
    <w:rsid w:val="00597BF2"/>
    <w:rsid w:val="005A1F54"/>
    <w:rsid w:val="005A3020"/>
    <w:rsid w:val="005B134E"/>
    <w:rsid w:val="005B2039"/>
    <w:rsid w:val="005B344F"/>
    <w:rsid w:val="005B3FBA"/>
    <w:rsid w:val="005B4289"/>
    <w:rsid w:val="005B4A1D"/>
    <w:rsid w:val="005B674D"/>
    <w:rsid w:val="005C056D"/>
    <w:rsid w:val="005C0CBE"/>
    <w:rsid w:val="005C1FCF"/>
    <w:rsid w:val="005C3F41"/>
    <w:rsid w:val="005C5156"/>
    <w:rsid w:val="005D1885"/>
    <w:rsid w:val="005D2725"/>
    <w:rsid w:val="005D32D8"/>
    <w:rsid w:val="005D4A38"/>
    <w:rsid w:val="005E2EEA"/>
    <w:rsid w:val="005E332D"/>
    <w:rsid w:val="005E3708"/>
    <w:rsid w:val="005E3CCD"/>
    <w:rsid w:val="005E3D6B"/>
    <w:rsid w:val="005E5B55"/>
    <w:rsid w:val="005E5E4A"/>
    <w:rsid w:val="005E693D"/>
    <w:rsid w:val="005E75BF"/>
    <w:rsid w:val="005F57BA"/>
    <w:rsid w:val="005F61E6"/>
    <w:rsid w:val="005F6C45"/>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2629"/>
    <w:rsid w:val="0064782B"/>
    <w:rsid w:val="0065293D"/>
    <w:rsid w:val="00653EFC"/>
    <w:rsid w:val="00654021"/>
    <w:rsid w:val="00661045"/>
    <w:rsid w:val="00666881"/>
    <w:rsid w:val="00666DA8"/>
    <w:rsid w:val="0066737A"/>
    <w:rsid w:val="00671057"/>
    <w:rsid w:val="00675AAF"/>
    <w:rsid w:val="00676724"/>
    <w:rsid w:val="0068031A"/>
    <w:rsid w:val="00681B2F"/>
    <w:rsid w:val="0068335F"/>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11216"/>
    <w:rsid w:val="00711799"/>
    <w:rsid w:val="00712550"/>
    <w:rsid w:val="00712B78"/>
    <w:rsid w:val="0071393B"/>
    <w:rsid w:val="00713EE2"/>
    <w:rsid w:val="007177FC"/>
    <w:rsid w:val="00720BD4"/>
    <w:rsid w:val="00720C5E"/>
    <w:rsid w:val="0072105B"/>
    <w:rsid w:val="00721701"/>
    <w:rsid w:val="00722B2D"/>
    <w:rsid w:val="00731835"/>
    <w:rsid w:val="00733DD5"/>
    <w:rsid w:val="007341F8"/>
    <w:rsid w:val="00734372"/>
    <w:rsid w:val="00734EB8"/>
    <w:rsid w:val="00735CF1"/>
    <w:rsid w:val="00735F8B"/>
    <w:rsid w:val="0074090B"/>
    <w:rsid w:val="00741BA3"/>
    <w:rsid w:val="00742D1F"/>
    <w:rsid w:val="00743EBA"/>
    <w:rsid w:val="00744C8E"/>
    <w:rsid w:val="00745E86"/>
    <w:rsid w:val="0074707E"/>
    <w:rsid w:val="007516DC"/>
    <w:rsid w:val="00752E58"/>
    <w:rsid w:val="00754AD0"/>
    <w:rsid w:val="00754B80"/>
    <w:rsid w:val="007550E3"/>
    <w:rsid w:val="00761918"/>
    <w:rsid w:val="00762F03"/>
    <w:rsid w:val="0076413B"/>
    <w:rsid w:val="007648AE"/>
    <w:rsid w:val="00764BF8"/>
    <w:rsid w:val="00765149"/>
    <w:rsid w:val="0076514D"/>
    <w:rsid w:val="00773D59"/>
    <w:rsid w:val="00776582"/>
    <w:rsid w:val="00781003"/>
    <w:rsid w:val="00786838"/>
    <w:rsid w:val="007878A2"/>
    <w:rsid w:val="007911FD"/>
    <w:rsid w:val="00793930"/>
    <w:rsid w:val="00793DD1"/>
    <w:rsid w:val="00794FEC"/>
    <w:rsid w:val="007A003E"/>
    <w:rsid w:val="007A1965"/>
    <w:rsid w:val="007A2ED1"/>
    <w:rsid w:val="007A4BE6"/>
    <w:rsid w:val="007B0DC6"/>
    <w:rsid w:val="007B1094"/>
    <w:rsid w:val="007B1762"/>
    <w:rsid w:val="007B30DF"/>
    <w:rsid w:val="007B3320"/>
    <w:rsid w:val="007C301F"/>
    <w:rsid w:val="007C4540"/>
    <w:rsid w:val="007C65AF"/>
    <w:rsid w:val="007D135D"/>
    <w:rsid w:val="007D3EEB"/>
    <w:rsid w:val="007D730F"/>
    <w:rsid w:val="007D7CD8"/>
    <w:rsid w:val="007E3AA7"/>
    <w:rsid w:val="007E6433"/>
    <w:rsid w:val="007F737D"/>
    <w:rsid w:val="0080308E"/>
    <w:rsid w:val="00804F25"/>
    <w:rsid w:val="00805303"/>
    <w:rsid w:val="0080631A"/>
    <w:rsid w:val="00806705"/>
    <w:rsid w:val="00806738"/>
    <w:rsid w:val="00807358"/>
    <w:rsid w:val="00812B92"/>
    <w:rsid w:val="008216D5"/>
    <w:rsid w:val="008249CE"/>
    <w:rsid w:val="00831A50"/>
    <w:rsid w:val="00831B3C"/>
    <w:rsid w:val="00831C89"/>
    <w:rsid w:val="00832114"/>
    <w:rsid w:val="00832CA2"/>
    <w:rsid w:val="00834C46"/>
    <w:rsid w:val="008404AB"/>
    <w:rsid w:val="0084093E"/>
    <w:rsid w:val="00841CE1"/>
    <w:rsid w:val="008473D8"/>
    <w:rsid w:val="008528DC"/>
    <w:rsid w:val="00852B8C"/>
    <w:rsid w:val="00854981"/>
    <w:rsid w:val="00862A8D"/>
    <w:rsid w:val="00864B2E"/>
    <w:rsid w:val="00865963"/>
    <w:rsid w:val="00871C1D"/>
    <w:rsid w:val="0087450E"/>
    <w:rsid w:val="00875A82"/>
    <w:rsid w:val="00876CA3"/>
    <w:rsid w:val="008772FE"/>
    <w:rsid w:val="008775F1"/>
    <w:rsid w:val="008821AE"/>
    <w:rsid w:val="00883D3A"/>
    <w:rsid w:val="00884B39"/>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3D86"/>
    <w:rsid w:val="008D435A"/>
    <w:rsid w:val="008E387B"/>
    <w:rsid w:val="008E6087"/>
    <w:rsid w:val="008E758D"/>
    <w:rsid w:val="008F10A7"/>
    <w:rsid w:val="008F2A0A"/>
    <w:rsid w:val="008F755D"/>
    <w:rsid w:val="008F7A39"/>
    <w:rsid w:val="009021E8"/>
    <w:rsid w:val="00902F89"/>
    <w:rsid w:val="00904677"/>
    <w:rsid w:val="00905EE2"/>
    <w:rsid w:val="00907371"/>
    <w:rsid w:val="00911440"/>
    <w:rsid w:val="00911712"/>
    <w:rsid w:val="00911B27"/>
    <w:rsid w:val="009170BE"/>
    <w:rsid w:val="00920B55"/>
    <w:rsid w:val="009262C9"/>
    <w:rsid w:val="00930EB9"/>
    <w:rsid w:val="00933DC7"/>
    <w:rsid w:val="00940A32"/>
    <w:rsid w:val="009418F4"/>
    <w:rsid w:val="00942BBC"/>
    <w:rsid w:val="00944180"/>
    <w:rsid w:val="00944AA0"/>
    <w:rsid w:val="00947DA2"/>
    <w:rsid w:val="00951177"/>
    <w:rsid w:val="009578AB"/>
    <w:rsid w:val="009673E8"/>
    <w:rsid w:val="00974DB8"/>
    <w:rsid w:val="0097618B"/>
    <w:rsid w:val="00980661"/>
    <w:rsid w:val="0098093B"/>
    <w:rsid w:val="009864C6"/>
    <w:rsid w:val="009876D4"/>
    <w:rsid w:val="009914A5"/>
    <w:rsid w:val="0099548E"/>
    <w:rsid w:val="00996456"/>
    <w:rsid w:val="00996A12"/>
    <w:rsid w:val="00997B0F"/>
    <w:rsid w:val="009A0CC3"/>
    <w:rsid w:val="009A1CAD"/>
    <w:rsid w:val="009A3440"/>
    <w:rsid w:val="009A53C8"/>
    <w:rsid w:val="009A5832"/>
    <w:rsid w:val="009A6838"/>
    <w:rsid w:val="009B24B5"/>
    <w:rsid w:val="009B2588"/>
    <w:rsid w:val="009B4EBC"/>
    <w:rsid w:val="009B5ABB"/>
    <w:rsid w:val="009B73CE"/>
    <w:rsid w:val="009C1CB5"/>
    <w:rsid w:val="009C2461"/>
    <w:rsid w:val="009C5A15"/>
    <w:rsid w:val="009C6FE2"/>
    <w:rsid w:val="009C7674"/>
    <w:rsid w:val="009D004A"/>
    <w:rsid w:val="009D03A9"/>
    <w:rsid w:val="009D53A5"/>
    <w:rsid w:val="009D5880"/>
    <w:rsid w:val="009E1FD4"/>
    <w:rsid w:val="009E3B07"/>
    <w:rsid w:val="009E51D1"/>
    <w:rsid w:val="009E5531"/>
    <w:rsid w:val="009E6F03"/>
    <w:rsid w:val="009F171E"/>
    <w:rsid w:val="009F3D2F"/>
    <w:rsid w:val="009F7052"/>
    <w:rsid w:val="00A001F9"/>
    <w:rsid w:val="00A02668"/>
    <w:rsid w:val="00A02801"/>
    <w:rsid w:val="00A06334"/>
    <w:rsid w:val="00A06A39"/>
    <w:rsid w:val="00A07F58"/>
    <w:rsid w:val="00A131CB"/>
    <w:rsid w:val="00A14847"/>
    <w:rsid w:val="00A16D6D"/>
    <w:rsid w:val="00A21383"/>
    <w:rsid w:val="00A2199F"/>
    <w:rsid w:val="00A21B31"/>
    <w:rsid w:val="00A2360E"/>
    <w:rsid w:val="00A26E0C"/>
    <w:rsid w:val="00A27F08"/>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865F5"/>
    <w:rsid w:val="00A90A79"/>
    <w:rsid w:val="00A922FF"/>
    <w:rsid w:val="00A96B30"/>
    <w:rsid w:val="00AA1A76"/>
    <w:rsid w:val="00AA442D"/>
    <w:rsid w:val="00AA59B5"/>
    <w:rsid w:val="00AA7777"/>
    <w:rsid w:val="00AA7B84"/>
    <w:rsid w:val="00AC0B4C"/>
    <w:rsid w:val="00AC1164"/>
    <w:rsid w:val="00AC2296"/>
    <w:rsid w:val="00AC2754"/>
    <w:rsid w:val="00AC48B0"/>
    <w:rsid w:val="00AC4ACD"/>
    <w:rsid w:val="00AC5DFB"/>
    <w:rsid w:val="00AD13DC"/>
    <w:rsid w:val="00AD4EE0"/>
    <w:rsid w:val="00AD6721"/>
    <w:rsid w:val="00AD6DE2"/>
    <w:rsid w:val="00AE0A40"/>
    <w:rsid w:val="00AE1ED4"/>
    <w:rsid w:val="00AE21E1"/>
    <w:rsid w:val="00AE2F8D"/>
    <w:rsid w:val="00AE3BAE"/>
    <w:rsid w:val="00AE4462"/>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70C7"/>
    <w:rsid w:val="00B80F26"/>
    <w:rsid w:val="00B822BD"/>
    <w:rsid w:val="00B842F4"/>
    <w:rsid w:val="00B91A7B"/>
    <w:rsid w:val="00B92032"/>
    <w:rsid w:val="00B929DD"/>
    <w:rsid w:val="00B93AF6"/>
    <w:rsid w:val="00B95405"/>
    <w:rsid w:val="00B963F1"/>
    <w:rsid w:val="00BA020A"/>
    <w:rsid w:val="00BA7987"/>
    <w:rsid w:val="00BB025A"/>
    <w:rsid w:val="00BB02A4"/>
    <w:rsid w:val="00BB1270"/>
    <w:rsid w:val="00BB1E44"/>
    <w:rsid w:val="00BB3AA7"/>
    <w:rsid w:val="00BB5267"/>
    <w:rsid w:val="00BB52B8"/>
    <w:rsid w:val="00BB59D8"/>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24"/>
    <w:rsid w:val="00C3035D"/>
    <w:rsid w:val="00C30A2A"/>
    <w:rsid w:val="00C33993"/>
    <w:rsid w:val="00C4069E"/>
    <w:rsid w:val="00C41ADC"/>
    <w:rsid w:val="00C41C62"/>
    <w:rsid w:val="00C44149"/>
    <w:rsid w:val="00C44410"/>
    <w:rsid w:val="00C44A15"/>
    <w:rsid w:val="00C4630A"/>
    <w:rsid w:val="00C523F0"/>
    <w:rsid w:val="00C525C5"/>
    <w:rsid w:val="00C526D2"/>
    <w:rsid w:val="00C53A91"/>
    <w:rsid w:val="00C5794E"/>
    <w:rsid w:val="00C60968"/>
    <w:rsid w:val="00C63D39"/>
    <w:rsid w:val="00C63EDD"/>
    <w:rsid w:val="00C65B36"/>
    <w:rsid w:val="00C662D8"/>
    <w:rsid w:val="00C66E43"/>
    <w:rsid w:val="00C7292E"/>
    <w:rsid w:val="00C734B8"/>
    <w:rsid w:val="00C735A0"/>
    <w:rsid w:val="00C74E88"/>
    <w:rsid w:val="00C752B8"/>
    <w:rsid w:val="00C80924"/>
    <w:rsid w:val="00C8286B"/>
    <w:rsid w:val="00C947F8"/>
    <w:rsid w:val="00C9515F"/>
    <w:rsid w:val="00C963C5"/>
    <w:rsid w:val="00C96CA5"/>
    <w:rsid w:val="00CA030C"/>
    <w:rsid w:val="00CA08A2"/>
    <w:rsid w:val="00CA1F41"/>
    <w:rsid w:val="00CA32EE"/>
    <w:rsid w:val="00CA5771"/>
    <w:rsid w:val="00CA6A1A"/>
    <w:rsid w:val="00CB6014"/>
    <w:rsid w:val="00CC1E75"/>
    <w:rsid w:val="00CC2E0E"/>
    <w:rsid w:val="00CC361C"/>
    <w:rsid w:val="00CC474B"/>
    <w:rsid w:val="00CC4B73"/>
    <w:rsid w:val="00CC658C"/>
    <w:rsid w:val="00CC67BF"/>
    <w:rsid w:val="00CD0843"/>
    <w:rsid w:val="00CD24E7"/>
    <w:rsid w:val="00CD4E31"/>
    <w:rsid w:val="00CD5A78"/>
    <w:rsid w:val="00CD7345"/>
    <w:rsid w:val="00CE2518"/>
    <w:rsid w:val="00CE372E"/>
    <w:rsid w:val="00CF0A1B"/>
    <w:rsid w:val="00CF1623"/>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1F0"/>
    <w:rsid w:val="00D74396"/>
    <w:rsid w:val="00D74B85"/>
    <w:rsid w:val="00D77150"/>
    <w:rsid w:val="00D80284"/>
    <w:rsid w:val="00D81F71"/>
    <w:rsid w:val="00D82E80"/>
    <w:rsid w:val="00D8642D"/>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C6C63"/>
    <w:rsid w:val="00DD0354"/>
    <w:rsid w:val="00DD27D7"/>
    <w:rsid w:val="00DD28E8"/>
    <w:rsid w:val="00DD458C"/>
    <w:rsid w:val="00DD50B5"/>
    <w:rsid w:val="00DD5C31"/>
    <w:rsid w:val="00DD6E25"/>
    <w:rsid w:val="00DD72E9"/>
    <w:rsid w:val="00DD7605"/>
    <w:rsid w:val="00DE2020"/>
    <w:rsid w:val="00DE3476"/>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6352"/>
    <w:rsid w:val="00E17336"/>
    <w:rsid w:val="00E17D15"/>
    <w:rsid w:val="00E22B95"/>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665"/>
    <w:rsid w:val="00E73999"/>
    <w:rsid w:val="00E73BDC"/>
    <w:rsid w:val="00E73E9E"/>
    <w:rsid w:val="00E7672F"/>
    <w:rsid w:val="00E803A2"/>
    <w:rsid w:val="00E81660"/>
    <w:rsid w:val="00E854FE"/>
    <w:rsid w:val="00E85E77"/>
    <w:rsid w:val="00E906CC"/>
    <w:rsid w:val="00E90FC7"/>
    <w:rsid w:val="00E91CF0"/>
    <w:rsid w:val="00E939A0"/>
    <w:rsid w:val="00E97E4E"/>
    <w:rsid w:val="00EA0C07"/>
    <w:rsid w:val="00EA1CC2"/>
    <w:rsid w:val="00EA2D76"/>
    <w:rsid w:val="00EA4644"/>
    <w:rsid w:val="00EA758A"/>
    <w:rsid w:val="00EA7CB1"/>
    <w:rsid w:val="00EB0019"/>
    <w:rsid w:val="00EB096F"/>
    <w:rsid w:val="00EB199F"/>
    <w:rsid w:val="00EB21A4"/>
    <w:rsid w:val="00EB27C4"/>
    <w:rsid w:val="00EB4796"/>
    <w:rsid w:val="00EB5387"/>
    <w:rsid w:val="00EB5C10"/>
    <w:rsid w:val="00EB7322"/>
    <w:rsid w:val="00EC0FE9"/>
    <w:rsid w:val="00EC198B"/>
    <w:rsid w:val="00EC426D"/>
    <w:rsid w:val="00EC48E1"/>
    <w:rsid w:val="00EC571B"/>
    <w:rsid w:val="00EC57D7"/>
    <w:rsid w:val="00EC6385"/>
    <w:rsid w:val="00ED1DE9"/>
    <w:rsid w:val="00ED23D4"/>
    <w:rsid w:val="00ED5E0B"/>
    <w:rsid w:val="00EE37B6"/>
    <w:rsid w:val="00EF0F45"/>
    <w:rsid w:val="00EF26DF"/>
    <w:rsid w:val="00EF3A72"/>
    <w:rsid w:val="00EF7463"/>
    <w:rsid w:val="00EF7971"/>
    <w:rsid w:val="00F002EF"/>
    <w:rsid w:val="00F01EE9"/>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5C67"/>
    <w:rsid w:val="00F26958"/>
    <w:rsid w:val="00F30DFF"/>
    <w:rsid w:val="00F318ED"/>
    <w:rsid w:val="00F32B80"/>
    <w:rsid w:val="00F340EB"/>
    <w:rsid w:val="00F34727"/>
    <w:rsid w:val="00F35285"/>
    <w:rsid w:val="00F41A8F"/>
    <w:rsid w:val="00F43B9D"/>
    <w:rsid w:val="00F44D5E"/>
    <w:rsid w:val="00F52429"/>
    <w:rsid w:val="00F53A35"/>
    <w:rsid w:val="00F55A3D"/>
    <w:rsid w:val="00F5744B"/>
    <w:rsid w:val="00F61209"/>
    <w:rsid w:val="00F6259E"/>
    <w:rsid w:val="00F64A50"/>
    <w:rsid w:val="00F65DD4"/>
    <w:rsid w:val="00F672B2"/>
    <w:rsid w:val="00F67B41"/>
    <w:rsid w:val="00F72FA0"/>
    <w:rsid w:val="00F74C49"/>
    <w:rsid w:val="00F832E5"/>
    <w:rsid w:val="00F83973"/>
    <w:rsid w:val="00F87FA3"/>
    <w:rsid w:val="00F93D8C"/>
    <w:rsid w:val="00F96361"/>
    <w:rsid w:val="00FA3102"/>
    <w:rsid w:val="00FA3CE2"/>
    <w:rsid w:val="00FA48D4"/>
    <w:rsid w:val="00FA54FA"/>
    <w:rsid w:val="00FA6D39"/>
    <w:rsid w:val="00FB227E"/>
    <w:rsid w:val="00FB3D61"/>
    <w:rsid w:val="00FB44CE"/>
    <w:rsid w:val="00FB5009"/>
    <w:rsid w:val="00FB76AB"/>
    <w:rsid w:val="00FC45F1"/>
    <w:rsid w:val="00FD03FE"/>
    <w:rsid w:val="00FD126E"/>
    <w:rsid w:val="00FD3C36"/>
    <w:rsid w:val="00FD4D81"/>
    <w:rsid w:val="00FD7498"/>
    <w:rsid w:val="00FD7FB3"/>
    <w:rsid w:val="00FE11DA"/>
    <w:rsid w:val="00FE4713"/>
    <w:rsid w:val="00FE4B3B"/>
    <w:rsid w:val="00FE6C9D"/>
    <w:rsid w:val="00FE78F6"/>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christie@med.lu.se"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11642</TotalTime>
  <Pages>36</Pages>
  <Words>21255</Words>
  <Characters>129446</Characters>
  <Application>Microsoft Office Word</Application>
  <DocSecurity>0</DocSecurity>
  <Lines>2311</Lines>
  <Paragraphs>534</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150167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92</cp:revision>
  <cp:lastPrinted>2025-12-12T13:09:00Z</cp:lastPrinted>
  <dcterms:created xsi:type="dcterms:W3CDTF">2025-10-29T09:40:00Z</dcterms:created>
  <dcterms:modified xsi:type="dcterms:W3CDTF">2025-12-12T14:56:00Z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id="dNpQ90Bz"/&gt;&lt;style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