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1BF7" w14:textId="77777777" w:rsidR="00A830A9" w:rsidRPr="00594BFA" w:rsidRDefault="00A830A9" w:rsidP="00A830A9">
      <w:pPr>
        <w:spacing w:before="240" w:after="0" w:line="360" w:lineRule="auto"/>
        <w:rPr>
          <w:rFonts w:ascii="Times New Roman" w:eastAsia="Times New Roman" w:hAnsi="Times New Roman" w:cs="Times New Roman"/>
          <w:b/>
          <w:kern w:val="0"/>
          <w:sz w:val="28"/>
          <w:szCs w:val="24"/>
          <w:lang w:val="en-US" w:eastAsia="en-GB"/>
          <w14:ligatures w14:val="none"/>
        </w:rPr>
      </w:pPr>
      <w:r w:rsidRPr="00594BFA">
        <w:rPr>
          <w:rFonts w:ascii="Times New Roman" w:eastAsia="Times New Roman" w:hAnsi="Times New Roman" w:cs="Times New Roman"/>
          <w:b/>
          <w:kern w:val="0"/>
          <w:sz w:val="28"/>
          <w:szCs w:val="24"/>
          <w:lang w:val="en-US" w:eastAsia="en-GB"/>
          <w14:ligatures w14:val="none"/>
        </w:rPr>
        <w:t>The Value of location: What Matters Most for Older Adults Considering Relocation in Sweden?</w:t>
      </w:r>
    </w:p>
    <w:p w14:paraId="742AB269" w14:textId="77777777" w:rsidR="00A830A9" w:rsidRPr="00594BFA" w:rsidRDefault="00A830A9" w:rsidP="00A830A9">
      <w:pPr>
        <w:spacing w:after="120" w:line="360" w:lineRule="auto"/>
        <w:rPr>
          <w:rFonts w:ascii="Times New Roman" w:eastAsia="Times New Roman" w:hAnsi="Times New Roman" w:cs="Times New Roman"/>
          <w:b/>
          <w:kern w:val="0"/>
          <w:sz w:val="28"/>
          <w:szCs w:val="24"/>
          <w:lang w:val="en-US" w:eastAsia="en-GB"/>
          <w14:ligatures w14:val="none"/>
        </w:rPr>
      </w:pPr>
    </w:p>
    <w:p w14:paraId="250B64A0" w14:textId="5677CF41" w:rsidR="00832A7E" w:rsidRPr="00594BFA" w:rsidRDefault="00000000">
      <w:pPr>
        <w:rPr>
          <w:lang w:val="en-US"/>
        </w:rPr>
      </w:pPr>
      <w:r w:rsidRPr="00594BFA">
        <w:rPr>
          <w:b/>
          <w:bCs/>
          <w:lang w:val="en-US"/>
        </w:rPr>
        <w:t>Background and Objectives:</w:t>
      </w:r>
      <w:r w:rsidRPr="00594BFA">
        <w:rPr>
          <w:lang w:val="en-US"/>
        </w:rPr>
        <w:t xml:space="preserve"> </w:t>
      </w:r>
      <w:r w:rsidR="00077773" w:rsidRPr="00594BFA">
        <w:rPr>
          <w:lang w:val="en-US"/>
        </w:rPr>
        <w:t xml:space="preserve">Housing and </w:t>
      </w:r>
      <w:proofErr w:type="spellStart"/>
      <w:r w:rsidR="00077773" w:rsidRPr="00594BFA">
        <w:rPr>
          <w:lang w:val="en-US"/>
        </w:rPr>
        <w:t>neighbourhood</w:t>
      </w:r>
      <w:proofErr w:type="spellEnd"/>
      <w:r w:rsidR="00077773" w:rsidRPr="00594BFA">
        <w:rPr>
          <w:lang w:val="en-US"/>
        </w:rPr>
        <w:t xml:space="preserve"> characteristics shape relocation decisions among older adults, yet few studies quantify the trade-offs involved. This study examined housing and locational preferences among older adults in Sweden considering relocation, testing variation by tenure, age, gender, and health, and whether unobserved preference segments add further insight.</w:t>
      </w:r>
    </w:p>
    <w:p w14:paraId="2B05FF1A" w14:textId="77777777" w:rsidR="00077773" w:rsidRPr="00594BFA" w:rsidRDefault="00000000">
      <w:pPr>
        <w:rPr>
          <w:lang w:val="en-US"/>
        </w:rPr>
      </w:pPr>
      <w:r w:rsidRPr="00594BFA">
        <w:rPr>
          <w:b/>
          <w:bCs/>
          <w:lang w:val="en-US"/>
        </w:rPr>
        <w:t>Research Design and Methods:</w:t>
      </w:r>
      <w:r w:rsidRPr="00594BFA">
        <w:rPr>
          <w:lang w:val="en-US"/>
        </w:rPr>
        <w:t xml:space="preserve"> </w:t>
      </w:r>
      <w:r w:rsidR="00077773" w:rsidRPr="00594BFA">
        <w:rPr>
          <w:lang w:val="en-US"/>
        </w:rPr>
        <w:t>Data were drawn from a discrete choice experiment administered during the 2024 follow-up of the Prospective RELOC-AGE cohort study (N = 957; mean age = 72; 55.3% women). Mixed logit models estimated marginal willingness-to-pay (MWTP) for proximity to green space, shops, and public transport, parking, and monthly cost, and tested variation by tenure, age, gender, and health; latent class models identified unobserved preference segments.</w:t>
      </w:r>
    </w:p>
    <w:p w14:paraId="4EB4E48F" w14:textId="77777777" w:rsidR="00077773" w:rsidRPr="00594BFA" w:rsidRDefault="00000000">
      <w:pPr>
        <w:rPr>
          <w:lang w:val="en-US"/>
        </w:rPr>
      </w:pPr>
      <w:r w:rsidRPr="00594BFA">
        <w:rPr>
          <w:b/>
          <w:bCs/>
          <w:lang w:val="en-US"/>
        </w:rPr>
        <w:t>Results: The findings indicated that (a) homeowners reported higher MWTP than renters for most attributes, particularly parking, reflecting price sensitivity rather than weaker preferences; (b) age, gender, and health explained only modest, attribute-specific variation; and (c) a four-class latent class model identified a shop-oriented segment, a green-space-oriented segment relatively indifferent to close transit, a small extremely price-sensitive shop-oriented segment, and a less price-sensitive, parking-oriented segment, capturing heterogeneity beyond observed demographics.</w:t>
      </w:r>
      <w:r w:rsidRPr="00594BFA">
        <w:rPr>
          <w:lang w:val="en-US"/>
        </w:rPr>
      </w:r>
      <w:r w:rsidR="00077773" w:rsidRPr="00594BFA">
        <w:rPr>
          <w:lang w:val="en-US"/>
        </w:rPr>
      </w:r>
    </w:p>
    <w:p w14:paraId="32DB8EAD" w14:textId="0B97E334" w:rsidR="00832A7E" w:rsidRPr="00594BFA" w:rsidRDefault="00000000">
      <w:pPr>
        <w:rPr>
          <w:lang w:val="en-US"/>
        </w:rPr>
      </w:pPr>
      <w:r w:rsidRPr="00594BFA">
        <w:rPr>
          <w:b/>
          <w:bCs/>
          <w:lang w:val="en-US"/>
        </w:rPr>
        <w:t>Discussion and Implications:</w:t>
      </w:r>
      <w:r w:rsidRPr="00594BFA">
        <w:rPr>
          <w:lang w:val="en-US"/>
        </w:rPr>
        <w:t xml:space="preserve"> </w:t>
      </w:r>
      <w:r w:rsidR="00077773" w:rsidRPr="00594BFA">
        <w:rPr>
          <w:lang w:val="en-US"/>
        </w:rPr>
        <w:t>This study advanced research on housing and relocation in later life by combining tenure-stratified choice models with a latent class approach, showing that observed demographics explain only part of this heterogeneity. It identifies price sensitivity, rather than weaker preference, as the key driver of lower renter willingness-to-pay, and offers implications for preserving affordability in high-amenity locations, integrating housing and transport planning, and tailoring strategies to underlying preference segments.</w:t>
      </w:r>
    </w:p>
    <w:p w14:paraId="2BFD52DF" w14:textId="77777777" w:rsidR="00A830A9" w:rsidRPr="00594BFA" w:rsidRDefault="00A830A9" w:rsidP="00391727">
      <w:pPr>
        <w:rPr>
          <w:lang w:val="en-US"/>
        </w:rPr>
      </w:pPr>
      <w:r w:rsidRPr="00594BFA">
        <w:rPr>
          <w:b/>
          <w:bCs/>
          <w:lang w:val="en-US"/>
        </w:rPr>
        <w:t>Keywords</w:t>
      </w:r>
      <w:r w:rsidRPr="00594BFA">
        <w:rPr>
          <w:lang w:val="en-US"/>
        </w:rPr>
        <w:t>: stated choice experiment; discrete choice modelling; ageing in place; housing preferences; willingness to pay</w:t>
      </w:r>
    </w:p>
    <w:p w14:paraId="30610E8D" w14:textId="35D8F7B4" w:rsidR="00832A7E" w:rsidRPr="00594BFA" w:rsidRDefault="00000000">
      <w:pPr>
        <w:rPr>
          <w:lang w:val="en-US"/>
        </w:rPr>
      </w:pPr>
      <w:r w:rsidRPr="00594BFA">
        <w:rPr>
          <w:b/>
          <w:lang w:val="en-US"/>
        </w:rPr>
        <w:t xml:space="preserve">Innovation and Translational Significance: </w:t>
      </w:r>
      <w:r w:rsidRPr="00594BFA">
        <w:rPr>
          <w:lang w:val="en-US"/>
        </w:rPr>
        <w:t xml:space="preserve">This study quantifies how older adults in Sweden weigh </w:t>
      </w:r>
      <w:r w:rsidR="00077773" w:rsidRPr="00594BFA">
        <w:rPr>
          <w:lang w:val="en-US"/>
        </w:rPr>
        <w:t>neighborhood</w:t>
      </w:r>
      <w:r w:rsidRPr="00594BFA">
        <w:rPr>
          <w:lang w:val="en-US"/>
        </w:rPr>
        <w:t xml:space="preserve"> accessibility, parking, and housing cost when considering relocation, using discrete choice methods that move beyond descriptive or qualitative housing research. By comparing homeowners and renters and identifying distinct latent preference segments, the analysis shows that market-based willingness-to-pay gaps partly reflect financial constraint rather than weaker underlying preference, and that unobserved taste differences shape preferences more than standard demographic groups. These findings can inform age-inclusive housing and transport policy by clarifying which residential attributes warrant universal versus targeted provision as populations age.</w:t>
      </w:r>
    </w:p>
    <w:p w14:paraId="16781363" w14:textId="77777777" w:rsidR="00236DE7" w:rsidRPr="00594BFA" w:rsidRDefault="00236DE7" w:rsidP="00A830A9">
      <w:pPr>
        <w:spacing w:before="240" w:after="240" w:line="360" w:lineRule="auto"/>
        <w:ind w:left="720" w:right="567"/>
        <w:rPr>
          <w:rFonts w:ascii="Times New Roman" w:eastAsia="Times New Roman" w:hAnsi="Times New Roman" w:cs="Times New Roman"/>
          <w:kern w:val="0"/>
          <w:szCs w:val="24"/>
          <w:lang w:val="en-US" w:eastAsia="en-GB"/>
          <w14:ligatures w14:val="none"/>
        </w:rPr>
      </w:pPr>
    </w:p>
    <w:p w14:paraId="178C807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lastRenderedPageBreak/>
        <w:t>Background and Objectives</w:t>
      </w:r>
    </w:p>
    <w:p w14:paraId="0429950D" w14:textId="77777777" w:rsidR="00236DE7" w:rsidRPr="00594BFA" w:rsidRDefault="00236DE7"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29AA0327" w14:textId="77777777" w:rsidR="00AB4186" w:rsidRPr="00594BFA" w:rsidRDefault="00551D0B" w:rsidP="00E328C6">
      <w:pPr>
        <w:spacing w:after="0" w:line="480" w:lineRule="auto"/>
        <w:ind w:firstLine="720"/>
        <w:rPr>
          <w:lang w:val="en-US"/>
        </w:rPr>
      </w:pPr>
      <w:r w:rsidRPr="00594BFA">
        <w:rPr>
          <w:rFonts w:ascii="Times New Roman" w:eastAsia="Times New Roman" w:hAnsi="Times New Roman" w:cs="Times New Roman"/>
          <w:kern w:val="0"/>
          <w:sz w:val="24"/>
          <w:szCs w:val="24"/>
          <w:lang w:val="en-US" w:eastAsia="en-GB"/>
          <w14:ligatures w14:val="none"/>
        </w:rPr>
        <w:t xml:space="preserve">Population ageing is reshaping housing markets and welfare systems across much of the developed world. By 2050, the number of people aged 65 years or older is projected to more than double </w:t>
      </w:r>
      <w:proofErr w:type="gramStart"/>
      <w:r w:rsidRPr="00594BFA">
        <w:rPr>
          <w:rFonts w:ascii="Times New Roman" w:eastAsia="Times New Roman" w:hAnsi="Times New Roman" w:cs="Times New Roman"/>
          <w:kern w:val="0"/>
          <w:sz w:val="24"/>
          <w:szCs w:val="24"/>
          <w:lang w:val="en-US" w:eastAsia="en-GB"/>
          <w14:ligatures w14:val="none"/>
        </w:rPr>
        <w:t>from</w:t>
      </w:r>
      <w:proofErr w:type="gramEnd"/>
      <w:r w:rsidRPr="00594BFA">
        <w:rPr>
          <w:rFonts w:ascii="Times New Roman" w:eastAsia="Times New Roman" w:hAnsi="Times New Roman" w:cs="Times New Roman"/>
          <w:kern w:val="0"/>
          <w:sz w:val="24"/>
          <w:szCs w:val="24"/>
          <w:lang w:val="en-US" w:eastAsia="en-GB"/>
          <w14:ligatures w14:val="none"/>
        </w:rPr>
        <w:t xml:space="preserve"> 2021 </w:t>
      </w:r>
      <w:proofErr w:type="gramStart"/>
      <w:r w:rsidRPr="00594BFA">
        <w:rPr>
          <w:rFonts w:ascii="Times New Roman" w:eastAsia="Times New Roman" w:hAnsi="Times New Roman" w:cs="Times New Roman"/>
          <w:kern w:val="0"/>
          <w:sz w:val="24"/>
          <w:szCs w:val="24"/>
          <w:lang w:val="en-US" w:eastAsia="en-GB"/>
          <w14:ligatures w14:val="none"/>
        </w:rPr>
        <w:t>levels</w:t>
      </w:r>
      <w:proofErr w:type="gramEnd"/>
      <w:r w:rsidRPr="00594BFA">
        <w:rPr>
          <w:rFonts w:ascii="Times New Roman" w:eastAsia="Times New Roman" w:hAnsi="Times New Roman" w:cs="Times New Roman"/>
          <w:kern w:val="0"/>
          <w:sz w:val="24"/>
          <w:szCs w:val="24"/>
          <w:lang w:val="en-US" w:eastAsia="en-GB"/>
          <w14:ligatures w14:val="none"/>
        </w:rPr>
        <w:t xml:space="preserve">, rising to 1.6 billion globally (United Nations Department of Economic and Social Affairs, 2023). As populations age, policymakers face growing challenges in ensuring that housing and </w:t>
      </w:r>
      <w:proofErr w:type="spellStart"/>
      <w:r w:rsidRPr="00594BFA">
        <w:rPr>
          <w:rFonts w:ascii="Times New Roman" w:eastAsia="Times New Roman" w:hAnsi="Times New Roman" w:cs="Times New Roman"/>
          <w:kern w:val="0"/>
          <w:sz w:val="24"/>
          <w:szCs w:val="24"/>
          <w:lang w:val="en-US" w:eastAsia="en-GB"/>
          <w14:ligatures w14:val="none"/>
        </w:rPr>
        <w:t>neighbourhoods</w:t>
      </w:r>
      <w:proofErr w:type="spellEnd"/>
      <w:r w:rsidRPr="00594BFA">
        <w:rPr>
          <w:rFonts w:ascii="Times New Roman" w:eastAsia="Times New Roman" w:hAnsi="Times New Roman" w:cs="Times New Roman"/>
          <w:kern w:val="0"/>
          <w:sz w:val="24"/>
          <w:szCs w:val="24"/>
          <w:lang w:val="en-US" w:eastAsia="en-GB"/>
          <w14:ligatures w14:val="none"/>
        </w:rPr>
        <w:t xml:space="preserve"> support autonomy, accessibility, and wellbeing in later life. Although most older adults prefer to age in place, remaining in familiar environments rather than relocating to institutional care (Wiles et al., 2012; Abramsson &amp; Andersson, 2015), life-course events and declining physical capacity often necessitate residential change. Older adults also spend a greater share of their time at home and rely heavily on their residential environment for daily functioning, social contact, and wellbeing (De Jong et al., 2022). Consequently, ageing in place has become central to housing policy internationally (Grimmer et al., 2015). </w:t>
      </w:r>
      <w:r w:rsidR="00AB4186" w:rsidRPr="00594BFA">
        <w:rPr>
          <w:rFonts w:ascii="Times New Roman" w:eastAsia="Times New Roman" w:hAnsi="Times New Roman" w:cs="Times New Roman"/>
          <w:kern w:val="0"/>
          <w:sz w:val="24"/>
          <w:szCs w:val="24"/>
          <w:lang w:val="en-US" w:eastAsia="en-GB"/>
          <w14:ligatures w14:val="none"/>
        </w:rPr>
        <w:t xml:space="preserve">Understanding how older adults evaluate relocation alternatives in this </w:t>
      </w:r>
      <w:proofErr w:type="gramStart"/>
      <w:r w:rsidR="00AB4186" w:rsidRPr="00594BFA">
        <w:rPr>
          <w:rFonts w:ascii="Times New Roman" w:eastAsia="Times New Roman" w:hAnsi="Times New Roman" w:cs="Times New Roman"/>
          <w:kern w:val="0"/>
          <w:sz w:val="24"/>
          <w:szCs w:val="24"/>
          <w:lang w:val="en-US" w:eastAsia="en-GB"/>
          <w14:ligatures w14:val="none"/>
        </w:rPr>
        <w:t>rapidly-changing</w:t>
      </w:r>
      <w:proofErr w:type="gramEnd"/>
      <w:r w:rsidR="00AB4186" w:rsidRPr="00594BFA">
        <w:rPr>
          <w:rFonts w:ascii="Times New Roman" w:eastAsia="Times New Roman" w:hAnsi="Times New Roman" w:cs="Times New Roman"/>
          <w:kern w:val="0"/>
          <w:sz w:val="24"/>
          <w:szCs w:val="24"/>
          <w:lang w:val="en-US" w:eastAsia="en-GB"/>
          <w14:ligatures w14:val="none"/>
        </w:rPr>
        <w:t xml:space="preserve"> setting is both pressing and essential for developing age-inclusive housing strategies.</w:t>
      </w:r>
    </w:p>
    <w:p w14:paraId="3EB1C133" w14:textId="7D726C19" w:rsidR="00551D0B" w:rsidRPr="00594BFA" w:rsidRDefault="00551D0B"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Relocation decisions in later life are shaped by a complex interplay of personal, social, and environmental factors (Roy et al., 2018). Maintaining a dwelling may become burdensome, while multi-level homes or inaccessible layouts may no longer suit changing functional abilities (Ewen et al., 2014). The departure of children or loss of a partner can alter household needs and attachment to place (Abramsson &amp; Andersson, 2012), while reduced mobility and changing social integration influence relocation expectations (Robison &amp; Moen, 2000; Eriksson et al., 2022). Financial considerations, including the desire to release housing equity or reduce housing costs after retirement, may also encourage relocation (Clark et al., 2006). At the same time, psychological factors such as loss aversion may reinforce reluctance to move, as individuals weigh losses in familiarity and community more heavily than </w:t>
      </w:r>
      <w:r w:rsidRPr="00594BFA">
        <w:rPr>
          <w:rFonts w:ascii="Times New Roman" w:eastAsia="Times New Roman" w:hAnsi="Times New Roman" w:cs="Times New Roman"/>
          <w:kern w:val="0"/>
          <w:sz w:val="24"/>
          <w:szCs w:val="24"/>
          <w:lang w:val="en-US" w:eastAsia="en-GB"/>
          <w14:ligatures w14:val="none"/>
        </w:rPr>
        <w:lastRenderedPageBreak/>
        <w:t>potential gains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2022). In Sweden, relocation rates among older adults remain low, reflecting strong place attachment, social ties, and perceived risks associated with moving (Abramsson &amp; Andersson, 2015).</w:t>
      </w:r>
    </w:p>
    <w:p w14:paraId="444D9AEB" w14:textId="619A4D9F" w:rsidR="00551D0B" w:rsidRPr="00594BFA" w:rsidRDefault="00551D0B"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When relocations occur, older adults must evaluate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and accessibility attributes that shape daily life, including access to services, transport, and recreational environments. Preferences are likely to vary across socio-demographic groups, with some individuals </w:t>
      </w:r>
      <w:proofErr w:type="spellStart"/>
      <w:r w:rsidRPr="00594BFA">
        <w:rPr>
          <w:rFonts w:ascii="Times New Roman" w:eastAsia="Times New Roman" w:hAnsi="Times New Roman" w:cs="Times New Roman"/>
          <w:kern w:val="0"/>
          <w:sz w:val="24"/>
          <w:szCs w:val="24"/>
          <w:lang w:val="en-US" w:eastAsia="en-GB"/>
          <w14:ligatures w14:val="none"/>
        </w:rPr>
        <w:t>prioritising</w:t>
      </w:r>
      <w:proofErr w:type="spellEnd"/>
      <w:r w:rsidRPr="00594BFA">
        <w:rPr>
          <w:rFonts w:ascii="Times New Roman" w:eastAsia="Times New Roman" w:hAnsi="Times New Roman" w:cs="Times New Roman"/>
          <w:kern w:val="0"/>
          <w:sz w:val="24"/>
          <w:szCs w:val="24"/>
          <w:lang w:val="en-US" w:eastAsia="en-GB"/>
          <w14:ligatures w14:val="none"/>
        </w:rPr>
        <w:t xml:space="preserve"> proximity to green space and others valuing transport or shops and services more highly. Although housing preferences are widely studied, few stated preference studies quantify trade-offs in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and locational attributes among older adults, particularly across tenure groups. Existing housing research has focused largely on life-course transitions, tenure, and affordability (</w:t>
      </w:r>
      <w:proofErr w:type="spellStart"/>
      <w:r w:rsidRPr="00594BFA">
        <w:rPr>
          <w:rFonts w:ascii="Times New Roman" w:eastAsia="Times New Roman" w:hAnsi="Times New Roman" w:cs="Times New Roman"/>
          <w:kern w:val="0"/>
          <w:sz w:val="24"/>
          <w:szCs w:val="24"/>
          <w:lang w:val="en-US" w:eastAsia="en-GB"/>
          <w14:ligatures w14:val="none"/>
        </w:rPr>
        <w:t>Damhuis</w:t>
      </w:r>
      <w:proofErr w:type="spellEnd"/>
      <w:r w:rsidRPr="00594BFA">
        <w:rPr>
          <w:rFonts w:ascii="Times New Roman" w:eastAsia="Times New Roman" w:hAnsi="Times New Roman" w:cs="Times New Roman"/>
          <w:kern w:val="0"/>
          <w:sz w:val="24"/>
          <w:szCs w:val="24"/>
          <w:lang w:val="en-US" w:eastAsia="en-GB"/>
          <w14:ligatures w14:val="none"/>
        </w:rPr>
        <w:t xml:space="preserve"> &amp; Van Gent, 2024; Lu &amp; Kong, 2024), while relatively little evidence quantifies trade-offs between housing and locational characteristics</w:t>
      </w:r>
      <w:r w:rsidR="00AB4186" w:rsidRPr="00594BFA">
        <w:rPr>
          <w:rFonts w:ascii="Times New Roman" w:eastAsia="Times New Roman" w:hAnsi="Times New Roman" w:cs="Times New Roman"/>
          <w:kern w:val="0"/>
          <w:sz w:val="24"/>
          <w:szCs w:val="24"/>
          <w:lang w:val="en-US" w:eastAsia="en-GB"/>
          <w14:ligatures w14:val="none"/>
        </w:rPr>
        <w:t xml:space="preserve">, </w:t>
      </w:r>
      <w:r w:rsidR="00AB4186" w:rsidRPr="00594BFA">
        <w:rPr>
          <w:rFonts w:ascii="Times New Roman" w:eastAsia="Times New Roman" w:hAnsi="Times New Roman" w:cs="Times New Roman"/>
          <w:kern w:val="0"/>
          <w:sz w:val="24"/>
          <w:szCs w:val="24"/>
          <w:lang w:val="en-US" w:eastAsia="en-GB"/>
          <w14:ligatures w14:val="none"/>
        </w:rPr>
        <w:t xml:space="preserve">and most existing research relies on qualitative approaches (e.g. Eriksson et al., 2022; </w:t>
      </w:r>
      <w:proofErr w:type="spellStart"/>
      <w:r w:rsidR="00AB4186" w:rsidRPr="00594BFA">
        <w:rPr>
          <w:rFonts w:ascii="Times New Roman" w:eastAsia="Times New Roman" w:hAnsi="Times New Roman" w:cs="Times New Roman"/>
          <w:kern w:val="0"/>
          <w:sz w:val="24"/>
          <w:szCs w:val="24"/>
          <w:lang w:val="en-US" w:eastAsia="en-GB"/>
          <w14:ligatures w14:val="none"/>
        </w:rPr>
        <w:t>Chaulagain</w:t>
      </w:r>
      <w:proofErr w:type="spellEnd"/>
      <w:r w:rsidR="00AB4186" w:rsidRPr="00594BFA">
        <w:rPr>
          <w:rFonts w:ascii="Times New Roman" w:eastAsia="Times New Roman" w:hAnsi="Times New Roman" w:cs="Times New Roman"/>
          <w:kern w:val="0"/>
          <w:sz w:val="24"/>
          <w:szCs w:val="24"/>
          <w:lang w:val="en-US" w:eastAsia="en-GB"/>
          <w14:ligatures w14:val="none"/>
        </w:rPr>
        <w:t>, 2025). Understanding how older adults weigh these trade-offs is therefore not only of academic interest but also of pressing policy relevance, as quantitative evidence can inform housing, transport, and land-use strategies that support equitable, age-inclusive relocation options.</w:t>
      </w:r>
    </w:p>
    <w:p w14:paraId="703CF798" w14:textId="77777777" w:rsidR="00887DAD" w:rsidRPr="00594BFA" w:rsidRDefault="00887DAD" w:rsidP="00E328C6">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6DF37455" w14:textId="77777777" w:rsidR="00A830A9" w:rsidRPr="00594BFA" w:rsidRDefault="00E328C6"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Discrete choice experiments</w:t>
      </w:r>
    </w:p>
    <w:p w14:paraId="2FC2D34C" w14:textId="77777777" w:rsidR="00E328C6" w:rsidRPr="00594BFA" w:rsidRDefault="00E328C6" w:rsidP="00E328C6">
      <w:pPr>
        <w:spacing w:after="0" w:line="480" w:lineRule="auto"/>
        <w:rPr>
          <w:rFonts w:ascii="Times New Roman" w:eastAsia="Times New Roman" w:hAnsi="Times New Roman" w:cs="Times New Roman"/>
          <w:kern w:val="0"/>
          <w:sz w:val="24"/>
          <w:szCs w:val="24"/>
          <w:lang w:val="en-US" w:eastAsia="en-GB"/>
          <w14:ligatures w14:val="none"/>
        </w:rPr>
      </w:pPr>
    </w:p>
    <w:p w14:paraId="6030CC2C" w14:textId="77777777" w:rsidR="00E328C6" w:rsidRPr="00594BFA" w:rsidRDefault="00E328C6" w:rsidP="00E328C6">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Discrete Choice Experiments (DCEs) are a widely used stated choice method for assessing the trade-offs individuals make between competing alternatives (Train, 2003). In </w:t>
      </w:r>
      <w:proofErr w:type="gramStart"/>
      <w:r w:rsidRPr="00594BFA">
        <w:rPr>
          <w:rFonts w:ascii="Times New Roman" w:eastAsia="Times New Roman" w:hAnsi="Times New Roman" w:cs="Times New Roman"/>
          <w:kern w:val="0"/>
          <w:sz w:val="24"/>
          <w:szCs w:val="24"/>
          <w:lang w:val="en-US" w:eastAsia="en-GB"/>
          <w14:ligatures w14:val="none"/>
        </w:rPr>
        <w:t>a DCE</w:t>
      </w:r>
      <w:proofErr w:type="gramEnd"/>
      <w:r w:rsidRPr="00594BFA">
        <w:rPr>
          <w:rFonts w:ascii="Times New Roman" w:eastAsia="Times New Roman" w:hAnsi="Times New Roman" w:cs="Times New Roman"/>
          <w:kern w:val="0"/>
          <w:sz w:val="24"/>
          <w:szCs w:val="24"/>
          <w:lang w:val="en-US" w:eastAsia="en-GB"/>
          <w14:ligatures w14:val="none"/>
        </w:rPr>
        <w:t xml:space="preserve">, respondents select their preferred option from a set of alternatives that vary systematically across predefined attributes. Grounded in random utility theory, DCEs assume that individuals choose the alternative that maximizes utility based on observable attributes and unobserved factors (McFadden, 1974). By </w:t>
      </w:r>
      <w:proofErr w:type="spellStart"/>
      <w:r w:rsidRPr="00594BFA">
        <w:rPr>
          <w:rFonts w:ascii="Times New Roman" w:eastAsia="Times New Roman" w:hAnsi="Times New Roman" w:cs="Times New Roman"/>
          <w:kern w:val="0"/>
          <w:sz w:val="24"/>
          <w:szCs w:val="24"/>
          <w:lang w:val="en-US" w:eastAsia="en-GB"/>
          <w14:ligatures w14:val="none"/>
        </w:rPr>
        <w:t>analysing</w:t>
      </w:r>
      <w:proofErr w:type="spellEnd"/>
      <w:r w:rsidRPr="00594BFA">
        <w:rPr>
          <w:rFonts w:ascii="Times New Roman" w:eastAsia="Times New Roman" w:hAnsi="Times New Roman" w:cs="Times New Roman"/>
          <w:kern w:val="0"/>
          <w:sz w:val="24"/>
          <w:szCs w:val="24"/>
          <w:lang w:val="en-US" w:eastAsia="en-GB"/>
          <w14:ligatures w14:val="none"/>
        </w:rPr>
        <w:t xml:space="preserve"> repeated choices across scenarios, </w:t>
      </w:r>
      <w:r w:rsidRPr="00594BFA">
        <w:rPr>
          <w:rFonts w:ascii="Times New Roman" w:eastAsia="Times New Roman" w:hAnsi="Times New Roman" w:cs="Times New Roman"/>
          <w:kern w:val="0"/>
          <w:sz w:val="24"/>
          <w:szCs w:val="24"/>
          <w:lang w:val="en-US" w:eastAsia="en-GB"/>
          <w14:ligatures w14:val="none"/>
        </w:rPr>
        <w:lastRenderedPageBreak/>
        <w:t>researchers can infer the relative importance of attributes and estimate willingness-to-pay values when a cost attribute is included. This makes DCEs particularly useful in housing and ageing research, where individuals balance competing considerations such as cost, accessibility, location, and amenities.</w:t>
      </w:r>
    </w:p>
    <w:p w14:paraId="4B158B5A" w14:textId="77777777" w:rsidR="00E328C6" w:rsidRPr="00594BFA" w:rsidRDefault="00E328C6" w:rsidP="00E328C6">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Although DCEs are increasingly applied in housing research, relatively few studies have focused on older populations or examined heterogeneity in locational preferences across tenure groups. Early studies primarily examined environmental amenities and locational factors such as proximity to green space, transit, and urban</w:t>
      </w:r>
      <w:r w:rsidR="00887DAD" w:rsidRPr="00594BFA">
        <w:rPr>
          <w:rFonts w:ascii="Times New Roman" w:eastAsia="Times New Roman" w:hAnsi="Times New Roman" w:cs="Times New Roman"/>
          <w:kern w:val="0"/>
          <w:sz w:val="24"/>
          <w:szCs w:val="24"/>
          <w:lang w:val="en-US" w:eastAsia="en-GB"/>
          <w14:ligatures w14:val="none"/>
        </w:rPr>
        <w:t xml:space="preserve"> while m</w:t>
      </w:r>
      <w:r w:rsidRPr="00594BFA">
        <w:rPr>
          <w:rFonts w:ascii="Times New Roman" w:eastAsia="Times New Roman" w:hAnsi="Times New Roman" w:cs="Times New Roman"/>
          <w:kern w:val="0"/>
          <w:sz w:val="24"/>
          <w:szCs w:val="24"/>
          <w:lang w:val="en-US" w:eastAsia="en-GB"/>
          <w14:ligatures w14:val="none"/>
        </w:rPr>
        <w:t xml:space="preserve">ore recent work has incorporated socio-demographic and </w:t>
      </w:r>
      <w:proofErr w:type="spellStart"/>
      <w:r w:rsidRPr="00594BFA">
        <w:rPr>
          <w:rFonts w:ascii="Times New Roman" w:eastAsia="Times New Roman" w:hAnsi="Times New Roman" w:cs="Times New Roman"/>
          <w:kern w:val="0"/>
          <w:sz w:val="24"/>
          <w:szCs w:val="24"/>
          <w:lang w:val="en-US" w:eastAsia="en-GB"/>
          <w14:ligatures w14:val="none"/>
        </w:rPr>
        <w:t>behavioural</w:t>
      </w:r>
      <w:proofErr w:type="spellEnd"/>
      <w:r w:rsidRPr="00594BFA">
        <w:rPr>
          <w:rFonts w:ascii="Times New Roman" w:eastAsia="Times New Roman" w:hAnsi="Times New Roman" w:cs="Times New Roman"/>
          <w:kern w:val="0"/>
          <w:sz w:val="24"/>
          <w:szCs w:val="24"/>
          <w:lang w:val="en-US" w:eastAsia="en-GB"/>
          <w14:ligatures w14:val="none"/>
        </w:rPr>
        <w:t xml:space="preserve"> heterogeneity. For example, Caplan et al. (2021) identified substantial variation in willingness-to-pay for residential amenities in the United States, while Lee et al. (2025) examined preferences for circular and affordable housing among younger adults in South Korea</w:t>
      </w:r>
      <w:r w:rsidR="00887DAD" w:rsidRPr="00594BFA">
        <w:rPr>
          <w:rFonts w:ascii="Times New Roman" w:eastAsia="Times New Roman" w:hAnsi="Times New Roman" w:cs="Times New Roman"/>
          <w:kern w:val="0"/>
          <w:sz w:val="24"/>
          <w:szCs w:val="24"/>
          <w:lang w:val="en-US" w:eastAsia="en-GB"/>
          <w14:ligatures w14:val="none"/>
        </w:rPr>
        <w:t xml:space="preserve"> and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distinguished preferences for owner-occupied and investment housing in Australia. Among studies focusing on ageing,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et al. (2020) found that safety, accessibility, and social cohesion strongly shape residential preferences among older homeowners in the Netherlands, while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and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xml:space="preserve"> (2022) showed that housing decisions are often reference dependent.</w:t>
      </w:r>
    </w:p>
    <w:p w14:paraId="148FCD98" w14:textId="77777777" w:rsidR="00A830A9" w:rsidRPr="00594BFA" w:rsidRDefault="00E328C6" w:rsidP="00887DAD">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Housing preferences are rarely uniform across individuals. Economic resources, household composition, tenure, health, and mobility may all shape residential evaluations and willingness-to-pay (Caplan et al., 2021;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Ageing itself introduces additional heterogeneity as physical ability, mobility, and social networks evolve over time (Lofqvist et al., 2013).</w:t>
      </w:r>
      <w:r w:rsidR="00887DAD" w:rsidRPr="00594BFA">
        <w:rPr>
          <w:rFonts w:ascii="Times New Roman" w:eastAsia="Times New Roman" w:hAnsi="Times New Roman" w:cs="Times New Roman"/>
          <w:kern w:val="0"/>
          <w:sz w:val="24"/>
          <w:szCs w:val="24"/>
          <w:lang w:val="en-US" w:eastAsia="en-GB"/>
          <w14:ligatures w14:val="none"/>
        </w:rPr>
        <w:t xml:space="preserve">  In modelling, r</w:t>
      </w:r>
      <w:r w:rsidRPr="00594BFA">
        <w:rPr>
          <w:rFonts w:ascii="Times New Roman" w:eastAsia="Times New Roman" w:hAnsi="Times New Roman" w:cs="Times New Roman"/>
          <w:kern w:val="0"/>
          <w:sz w:val="24"/>
          <w:szCs w:val="24"/>
          <w:lang w:val="en-US" w:eastAsia="en-GB"/>
          <w14:ligatures w14:val="none"/>
        </w:rPr>
        <w:t xml:space="preserve">ecent studies have applied latent class and mixed logit approaches with interaction effects to capture preference heterogeneity (Caplan et al., 2021; Aitken et al., 2024; Schulz et al., 2025). However, evidence on how socio-demographic factors shape locational preferences across renters and homeowners in later life remains </w:t>
      </w:r>
      <w:r w:rsidRPr="00594BFA">
        <w:rPr>
          <w:rFonts w:ascii="Times New Roman" w:eastAsia="Times New Roman" w:hAnsi="Times New Roman" w:cs="Times New Roman"/>
          <w:kern w:val="0"/>
          <w:sz w:val="24"/>
          <w:szCs w:val="24"/>
          <w:lang w:val="en-US" w:eastAsia="en-GB"/>
          <w14:ligatures w14:val="none"/>
        </w:rPr>
        <w:lastRenderedPageBreak/>
        <w:t xml:space="preserve">limited and context specific. </w:t>
      </w:r>
      <w:proofErr w:type="gramStart"/>
      <w:r w:rsidRPr="00594BFA">
        <w:rPr>
          <w:rFonts w:ascii="Times New Roman" w:eastAsia="Times New Roman" w:hAnsi="Times New Roman" w:cs="Times New Roman"/>
          <w:kern w:val="0"/>
          <w:sz w:val="24"/>
          <w:szCs w:val="24"/>
          <w:lang w:val="en-US" w:eastAsia="en-GB"/>
          <w14:ligatures w14:val="none"/>
        </w:rPr>
        <w:t>In particular, little</w:t>
      </w:r>
      <w:proofErr w:type="gramEnd"/>
      <w:r w:rsidRPr="00594BFA">
        <w:rPr>
          <w:rFonts w:ascii="Times New Roman" w:eastAsia="Times New Roman" w:hAnsi="Times New Roman" w:cs="Times New Roman"/>
          <w:kern w:val="0"/>
          <w:sz w:val="24"/>
          <w:szCs w:val="24"/>
          <w:lang w:val="en-US" w:eastAsia="en-GB"/>
          <w14:ligatures w14:val="none"/>
        </w:rPr>
        <w:t xml:space="preserve"> is known about whether preferences for mobility-related attributes differ systematically from preferences for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amenities, and how these trade-offs vary across socio-demographic groups.</w:t>
      </w:r>
    </w:p>
    <w:p w14:paraId="6BCF0826" w14:textId="77777777" w:rsidR="00887DAD" w:rsidRPr="00594BFA" w:rsidRDefault="00887DAD" w:rsidP="00E328C6">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0788209" w14:textId="77777777" w:rsidR="00A830A9" w:rsidRPr="00594BFA" w:rsidRDefault="00A830A9" w:rsidP="00887DAD">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aim of this study was to examine residential trade-offs by estimating willingness-to-pay values of key locational and amenity attributes of older adults in Sweden who are considering relocation, including both renters and homeowners. Specifically, the study assessed how preferences for proximity to green areas, shops, public transport, and parking amenities vary by age, gender, health status, and tenure status. By focusing on individuals actively considering relocation, the study provides estimates that are more </w:t>
      </w:r>
      <w:proofErr w:type="spellStart"/>
      <w:r w:rsidRPr="00594BFA">
        <w:rPr>
          <w:rFonts w:ascii="Times New Roman" w:eastAsia="Times New Roman" w:hAnsi="Times New Roman" w:cs="Times New Roman"/>
          <w:kern w:val="0"/>
          <w:sz w:val="24"/>
          <w:szCs w:val="24"/>
          <w:lang w:val="en-US" w:eastAsia="en-GB"/>
          <w14:ligatures w14:val="none"/>
        </w:rPr>
        <w:t>behaviourally</w:t>
      </w:r>
      <w:proofErr w:type="spellEnd"/>
      <w:r w:rsidRPr="00594BFA">
        <w:rPr>
          <w:rFonts w:ascii="Times New Roman" w:eastAsia="Times New Roman" w:hAnsi="Times New Roman" w:cs="Times New Roman"/>
          <w:kern w:val="0"/>
          <w:sz w:val="24"/>
          <w:szCs w:val="24"/>
          <w:lang w:val="en-US" w:eastAsia="en-GB"/>
          <w14:ligatures w14:val="none"/>
        </w:rPr>
        <w:t xml:space="preserve"> relevant than those derived from general population samples.</w:t>
      </w:r>
    </w:p>
    <w:p w14:paraId="2A2139D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7B5754D" w14:textId="77777777" w:rsidR="00A830A9" w:rsidRPr="00594BFA" w:rsidRDefault="00A830A9"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Research Design and Methods</w:t>
      </w:r>
    </w:p>
    <w:p w14:paraId="67620225" w14:textId="77777777" w:rsidR="00887DAD" w:rsidRPr="00594BFA" w:rsidRDefault="00887DAD" w:rsidP="00887DAD">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35F92EA4" w14:textId="77777777" w:rsidR="00A830A9" w:rsidRPr="00594BFA" w:rsidRDefault="00A830A9" w:rsidP="00CE78A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Using data from a DCE embedded in the Prospective RELOC-AGE project (Zingmark et al., 2021), mixed logit models were estimated to derive marginal willingness-to-pay (MWTP) estimates for proximity to green space, shops, public transport, </w:t>
      </w:r>
      <w:r w:rsidR="00CE78A1" w:rsidRPr="00594BFA">
        <w:rPr>
          <w:rFonts w:ascii="Times New Roman" w:eastAsia="Times New Roman" w:hAnsi="Times New Roman" w:cs="Times New Roman"/>
          <w:kern w:val="0"/>
          <w:sz w:val="24"/>
          <w:szCs w:val="24"/>
          <w:lang w:val="en-US" w:eastAsia="en-GB"/>
          <w14:ligatures w14:val="none"/>
        </w:rPr>
        <w:t>and</w:t>
      </w:r>
      <w:r w:rsidRPr="00594BFA">
        <w:rPr>
          <w:rFonts w:ascii="Times New Roman" w:eastAsia="Times New Roman" w:hAnsi="Times New Roman" w:cs="Times New Roman"/>
          <w:kern w:val="0"/>
          <w:sz w:val="24"/>
          <w:szCs w:val="24"/>
          <w:lang w:val="en-US" w:eastAsia="en-GB"/>
          <w14:ligatures w14:val="none"/>
        </w:rPr>
        <w:t xml:space="preserve"> dedicated parking. </w:t>
      </w:r>
      <w:r w:rsidR="00CE78A1" w:rsidRPr="00594BFA">
        <w:rPr>
          <w:rFonts w:ascii="Times New Roman" w:eastAsia="Times New Roman" w:hAnsi="Times New Roman" w:cs="Times New Roman"/>
          <w:kern w:val="0"/>
          <w:sz w:val="24"/>
          <w:szCs w:val="24"/>
          <w:lang w:val="en-US" w:eastAsia="en-GB"/>
          <w14:ligatures w14:val="none"/>
        </w:rPr>
        <w:t>To examine observable preference heterogeneity, interaction terms were included for age, gender, and health status. While random parameters capture unobserved heterogeneity, interaction terms identify systematic socio-demographic variation in preferences. The study builds on recent stated choice housing studies (</w:t>
      </w:r>
      <w:proofErr w:type="spellStart"/>
      <w:r w:rsidR="00CE78A1" w:rsidRPr="00594BFA">
        <w:rPr>
          <w:rFonts w:ascii="Times New Roman" w:eastAsia="Times New Roman" w:hAnsi="Times New Roman" w:cs="Times New Roman"/>
          <w:kern w:val="0"/>
          <w:sz w:val="24"/>
          <w:szCs w:val="24"/>
          <w:lang w:val="en-US" w:eastAsia="en-GB"/>
          <w14:ligatures w14:val="none"/>
        </w:rPr>
        <w:t>Ossokina</w:t>
      </w:r>
      <w:proofErr w:type="spellEnd"/>
      <w:r w:rsidR="00CE78A1" w:rsidRPr="00594BFA">
        <w:rPr>
          <w:rFonts w:ascii="Times New Roman" w:eastAsia="Times New Roman" w:hAnsi="Times New Roman" w:cs="Times New Roman"/>
          <w:kern w:val="0"/>
          <w:sz w:val="24"/>
          <w:szCs w:val="24"/>
          <w:lang w:val="en-US" w:eastAsia="en-GB"/>
          <w14:ligatures w14:val="none"/>
        </w:rPr>
        <w:t xml:space="preserve"> et al., 2020; Caplan et al., 2021; </w:t>
      </w:r>
      <w:proofErr w:type="spellStart"/>
      <w:r w:rsidR="00CE78A1" w:rsidRPr="00594BFA">
        <w:rPr>
          <w:rFonts w:ascii="Times New Roman" w:eastAsia="Times New Roman" w:hAnsi="Times New Roman" w:cs="Times New Roman"/>
          <w:kern w:val="0"/>
          <w:sz w:val="24"/>
          <w:szCs w:val="24"/>
          <w:lang w:val="en-US" w:eastAsia="en-GB"/>
          <w14:ligatures w14:val="none"/>
        </w:rPr>
        <w:t>Ossokina</w:t>
      </w:r>
      <w:proofErr w:type="spellEnd"/>
      <w:r w:rsidR="00CE78A1" w:rsidRPr="00594BFA">
        <w:rPr>
          <w:rFonts w:ascii="Times New Roman" w:eastAsia="Times New Roman" w:hAnsi="Times New Roman" w:cs="Times New Roman"/>
          <w:kern w:val="0"/>
          <w:sz w:val="24"/>
          <w:szCs w:val="24"/>
          <w:lang w:val="en-US" w:eastAsia="en-GB"/>
          <w14:ligatures w14:val="none"/>
        </w:rPr>
        <w:t xml:space="preserve"> &amp; </w:t>
      </w:r>
      <w:proofErr w:type="spellStart"/>
      <w:r w:rsidR="00CE78A1" w:rsidRPr="00594BFA">
        <w:rPr>
          <w:rFonts w:ascii="Times New Roman" w:eastAsia="Times New Roman" w:hAnsi="Times New Roman" w:cs="Times New Roman"/>
          <w:kern w:val="0"/>
          <w:sz w:val="24"/>
          <w:szCs w:val="24"/>
          <w:lang w:val="en-US" w:eastAsia="en-GB"/>
          <w14:ligatures w14:val="none"/>
        </w:rPr>
        <w:t>Arentze</w:t>
      </w:r>
      <w:proofErr w:type="spellEnd"/>
      <w:r w:rsidR="00CE78A1" w:rsidRPr="00594BFA">
        <w:rPr>
          <w:rFonts w:ascii="Times New Roman" w:eastAsia="Times New Roman" w:hAnsi="Times New Roman" w:cs="Times New Roman"/>
          <w:kern w:val="0"/>
          <w:sz w:val="24"/>
          <w:szCs w:val="24"/>
          <w:lang w:val="en-US" w:eastAsia="en-GB"/>
          <w14:ligatures w14:val="none"/>
        </w:rPr>
        <w:t>, 2022; Aitken et al., 2024; Lee et al., 2025), extending DCE methods to a Scandinavian ageing-in-place context.</w:t>
      </w:r>
    </w:p>
    <w:p w14:paraId="337F2451" w14:textId="77777777" w:rsidR="00CE78A1" w:rsidRPr="00594BFA" w:rsidRDefault="00CE78A1" w:rsidP="00CE78A1">
      <w:pPr>
        <w:spacing w:after="0" w:line="480" w:lineRule="auto"/>
        <w:rPr>
          <w:rFonts w:ascii="Times New Roman" w:eastAsia="Times New Roman" w:hAnsi="Times New Roman" w:cs="Arial"/>
          <w:b/>
          <w:bCs/>
          <w:i/>
          <w:iCs/>
          <w:kern w:val="0"/>
          <w:sz w:val="24"/>
          <w:szCs w:val="28"/>
          <w:lang w:val="en-US" w:eastAsia="en-GB"/>
          <w14:ligatures w14:val="none"/>
        </w:rPr>
      </w:pPr>
    </w:p>
    <w:p w14:paraId="2FA10FFE" w14:textId="77777777" w:rsidR="00887DAD" w:rsidRPr="00594BFA" w:rsidRDefault="00A830A9"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lastRenderedPageBreak/>
        <w:t>Participants and data collection</w:t>
      </w:r>
    </w:p>
    <w:p w14:paraId="50EF5193" w14:textId="77777777" w:rsidR="00887DAD" w:rsidRPr="00594BFA" w:rsidRDefault="00887DAD" w:rsidP="00887DAD">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8194720"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primary objective of the ongoing Prospective RELOC-AGE project, a longitudinal two-tiered mixed-method cohort investigation conducted in Sweden, is to explore the long-term dynamics associated with housing choices, relocation, and active and healthy ageing, focusing on individuals across the ageing process (Zingmark et al., 2021). The project was registered under the identifier NCT04765696 on ClinicalTrials.gov (U.S. National Library of Medicine, 2021). </w:t>
      </w:r>
    </w:p>
    <w:p w14:paraId="4CCA5E7B"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At baseline (2021) eligible participants were aged 55 or older, residing in Sweden, and actively registered with an interest in relocation with one of three housing companies: two local public housing providers and a national provider of tenant-owned dwellings.  As such, the sample reflects a population with an expressed interest in relocation and may not be representative of older adults who intend to age in place.  8,583 people were invited to participate where 1,964 individuals responded to the survey at baseline, and 1,509 individuals responded to the one-year follow-up survey.  With &gt;200 questions in each survey setting, the Prospective RELOC-AGE provides a rich source of information, including a wide set of socio-demographic information.</w:t>
      </w:r>
    </w:p>
    <w:p w14:paraId="0A9775F2" w14:textId="77777777" w:rsidR="00A830A9" w:rsidRPr="00594BFA" w:rsidRDefault="00A830A9" w:rsidP="00887DAD">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DCE was administered in conjunction with the second follow-up survey distributed during May to October 2024, where 1,247 respondents (64 % of the baseline cohort) participated in the Prospective RELOC-AGE survey via a web-based platform. After the main survey was completed, respondents were asked to take part in the optional DCE. Following the initial DCE administration, two reminder emails were distributed. The final DCE sample size consisted of 957 individuals, representing a 73% response rate of the follow-up survey respondents. They represented a geographically diverse sample of individuals aged 55 and above across Sweden (Supplementary Figure S1).</w:t>
      </w:r>
    </w:p>
    <w:p w14:paraId="6F946F8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2C883543" w14:textId="77777777" w:rsidR="00887DAD" w:rsidRPr="00594BFA" w:rsidRDefault="00507931"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Prior to administering the DCE, an internal review was conducted involving 20 researchers and staff, followed by pilot testing with older adults from the Centre for Ageing and Supportive Environments (CASE) Stakeholder Pool (N = 56), a network of older individuals interested in collaborating in ageing-related research. Similar demographics between the survey respondents and Stakeholder Pool participants were important for refining the experiment. In both phases, participants completed the experiment and provided structured feedback on attribute relevance, wording clarity, and task comprehension. Feedback informed revisions to attribute descriptions and wording, refinement of attribute levels, and reduction of the number of </w:t>
      </w:r>
      <w:proofErr w:type="gramStart"/>
      <w:r w:rsidRPr="00594BFA">
        <w:rPr>
          <w:rFonts w:ascii="Times New Roman" w:eastAsia="Times New Roman" w:hAnsi="Times New Roman" w:cs="Times New Roman"/>
          <w:kern w:val="0"/>
          <w:sz w:val="24"/>
          <w:szCs w:val="24"/>
          <w:lang w:val="en-US" w:eastAsia="en-GB"/>
          <w14:ligatures w14:val="none"/>
        </w:rPr>
        <w:t>choice</w:t>
      </w:r>
      <w:proofErr w:type="gramEnd"/>
      <w:r w:rsidRPr="00594BFA">
        <w:rPr>
          <w:rFonts w:ascii="Times New Roman" w:eastAsia="Times New Roman" w:hAnsi="Times New Roman" w:cs="Times New Roman"/>
          <w:kern w:val="0"/>
          <w:sz w:val="24"/>
          <w:szCs w:val="24"/>
          <w:lang w:val="en-US" w:eastAsia="en-GB"/>
          <w14:ligatures w14:val="none"/>
        </w:rPr>
        <w:t xml:space="preserve"> sets to minimize respondent burden. The final DCE questionnaire included three parts: an introduction describing the attributes and levels, a short questionnaire on household income and planned housing costs, and the experiment consisting of nine choice sets</w:t>
      </w:r>
      <w:r w:rsidR="00A830A9" w:rsidRPr="00594BFA">
        <w:rPr>
          <w:rFonts w:ascii="Times New Roman" w:eastAsia="Times New Roman" w:hAnsi="Times New Roman" w:cs="Times New Roman"/>
          <w:kern w:val="0"/>
          <w:sz w:val="24"/>
          <w:szCs w:val="24"/>
          <w:lang w:val="en-US" w:eastAsia="en-GB"/>
          <w14:ligatures w14:val="none"/>
        </w:rPr>
        <w:t>.</w:t>
      </w:r>
    </w:p>
    <w:p w14:paraId="0070184C" w14:textId="77777777" w:rsidR="00887DAD" w:rsidRPr="00594BFA" w:rsidRDefault="00887DAD" w:rsidP="00A830A9">
      <w:pPr>
        <w:spacing w:after="0" w:line="480" w:lineRule="auto"/>
        <w:rPr>
          <w:rFonts w:ascii="Times New Roman" w:eastAsia="Times New Roman" w:hAnsi="Times New Roman" w:cs="Times New Roman"/>
          <w:kern w:val="0"/>
          <w:sz w:val="24"/>
          <w:szCs w:val="24"/>
          <w:lang w:val="en-US" w:eastAsia="en-GB"/>
          <w14:ligatures w14:val="none"/>
        </w:rPr>
      </w:pPr>
    </w:p>
    <w:p w14:paraId="6760BDA0"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Ethics</w:t>
      </w:r>
    </w:p>
    <w:p w14:paraId="05578ECD" w14:textId="77777777" w:rsidR="00887DAD" w:rsidRPr="00594BFA"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0B0E0E17" w14:textId="77777777"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Prospective RELOC-AGE project was approved by the Swedish Ethical Review Authority (nos. 2020–03457; 2022-01287-02; 2024-01696-02),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p>
    <w:p w14:paraId="353F4400" w14:textId="77777777" w:rsidR="00887DAD" w:rsidRPr="00594BFA" w:rsidRDefault="00887DAD"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p>
    <w:p w14:paraId="57207DF4"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lastRenderedPageBreak/>
        <w:t>Experiment design</w:t>
      </w:r>
    </w:p>
    <w:p w14:paraId="148CDE33" w14:textId="77777777" w:rsidR="00887DAD" w:rsidRPr="00594BFA" w:rsidRDefault="00887DAD"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7B34F4DC" w14:textId="77777777" w:rsidR="00086BB9" w:rsidRPr="00594BFA" w:rsidRDefault="00EE48D3" w:rsidP="00086BB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Discrete choice experiments (DCEs) elicit stated preferences by asking respondents to choose between hypothetical alternatives with varying attribute levels, enabling estimation of the relative importance of housing characteristics and associated trade-offs (</w:t>
      </w: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xml:space="preserve"> &amp; Louviere, 2008;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et al., 2015). </w:t>
      </w:r>
    </w:p>
    <w:p w14:paraId="39A28DD0" w14:textId="77777777" w:rsidR="00086BB9" w:rsidRPr="00594BFA" w:rsidRDefault="00EE48D3" w:rsidP="00341F5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Respondents were asked to select the most desirable housing option from alternatives differing across a set of housing-related attributes</w:t>
      </w:r>
      <w:r w:rsidR="00887DAD" w:rsidRPr="00594BFA">
        <w:rPr>
          <w:rFonts w:ascii="Times New Roman" w:eastAsia="Times New Roman" w:hAnsi="Times New Roman" w:cs="Times New Roman"/>
          <w:kern w:val="0"/>
          <w:sz w:val="24"/>
          <w:szCs w:val="24"/>
          <w:lang w:val="en-US" w:eastAsia="en-GB"/>
          <w14:ligatures w14:val="none"/>
        </w:rPr>
        <w:t xml:space="preserve">.  These attributes were </w:t>
      </w:r>
      <w:r w:rsidRPr="00594BFA">
        <w:rPr>
          <w:rFonts w:ascii="Times New Roman" w:eastAsia="Times New Roman" w:hAnsi="Times New Roman" w:cs="Times New Roman"/>
          <w:kern w:val="0"/>
          <w:sz w:val="24"/>
          <w:szCs w:val="24"/>
          <w:lang w:val="en-US" w:eastAsia="en-GB"/>
          <w14:ligatures w14:val="none"/>
        </w:rPr>
        <w:t>informed by findings from the Prospective RELOC-AGE follow-up survey and previous literature.</w:t>
      </w:r>
      <w:r w:rsidR="00341F59" w:rsidRPr="00594BFA">
        <w:rPr>
          <w:rFonts w:ascii="Times New Roman" w:eastAsia="Times New Roman" w:hAnsi="Times New Roman" w:cs="Times New Roman"/>
          <w:kern w:val="0"/>
          <w:sz w:val="24"/>
          <w:szCs w:val="24"/>
          <w:lang w:val="en-US" w:eastAsia="en-GB"/>
          <w14:ligatures w14:val="none"/>
        </w:rPr>
        <w:t xml:space="preserve">  </w:t>
      </w:r>
      <w:r w:rsidR="00086BB9" w:rsidRPr="00594BFA">
        <w:rPr>
          <w:rFonts w:ascii="Times New Roman" w:eastAsia="Times New Roman" w:hAnsi="Times New Roman" w:cs="Times New Roman"/>
          <w:kern w:val="0"/>
          <w:sz w:val="24"/>
          <w:szCs w:val="24"/>
          <w:lang w:val="en-US" w:eastAsia="en-GB"/>
          <w14:ligatures w14:val="none"/>
        </w:rPr>
        <w:t xml:space="preserve">Greenspace was defined as distance to parks, forests, hiking areas, and open spaces, reflecting evidence linking green environments to improved cardiometabolic health, lower stress, and improved mental health (Maas, 2006; Paquet et al., 2013; Nielsen &amp; Hansen, 2007; Sturm &amp; Cohen, 2014; Cohen-Cline et al., 2015). Shops represented distance to shopping amenities such as grocery stores, malls, boutiques, and shopping </w:t>
      </w:r>
      <w:proofErr w:type="spellStart"/>
      <w:r w:rsidR="00086BB9" w:rsidRPr="00594BFA">
        <w:rPr>
          <w:rFonts w:ascii="Times New Roman" w:eastAsia="Times New Roman" w:hAnsi="Times New Roman" w:cs="Times New Roman"/>
          <w:kern w:val="0"/>
          <w:sz w:val="24"/>
          <w:szCs w:val="24"/>
          <w:lang w:val="en-US" w:eastAsia="en-GB"/>
          <w14:ligatures w14:val="none"/>
        </w:rPr>
        <w:t>centres</w:t>
      </w:r>
      <w:proofErr w:type="spellEnd"/>
      <w:r w:rsidR="00086BB9" w:rsidRPr="00594BFA">
        <w:rPr>
          <w:rFonts w:ascii="Times New Roman" w:eastAsia="Times New Roman" w:hAnsi="Times New Roman" w:cs="Times New Roman"/>
          <w:kern w:val="0"/>
          <w:sz w:val="24"/>
          <w:szCs w:val="24"/>
          <w:lang w:val="en-US" w:eastAsia="en-GB"/>
          <w14:ligatures w14:val="none"/>
        </w:rPr>
        <w:t>, reflecting both accessibility and opportunities for social participation (Lucas et al., 2016). Transport referred to distance to public transportation, including bus, metro, and train stations, which has been shown to influence accessibility among older adults (</w:t>
      </w:r>
      <w:proofErr w:type="spellStart"/>
      <w:r w:rsidR="00086BB9" w:rsidRPr="00594BFA">
        <w:rPr>
          <w:rFonts w:ascii="Times New Roman" w:eastAsia="Times New Roman" w:hAnsi="Times New Roman" w:cs="Times New Roman"/>
          <w:kern w:val="0"/>
          <w:sz w:val="24"/>
          <w:szCs w:val="24"/>
          <w:lang w:val="en-US" w:eastAsia="en-GB"/>
          <w14:ligatures w14:val="none"/>
        </w:rPr>
        <w:t>Alsnih</w:t>
      </w:r>
      <w:proofErr w:type="spellEnd"/>
      <w:r w:rsidR="00086BB9" w:rsidRPr="00594BFA">
        <w:rPr>
          <w:rFonts w:ascii="Times New Roman" w:eastAsia="Times New Roman" w:hAnsi="Times New Roman" w:cs="Times New Roman"/>
          <w:kern w:val="0"/>
          <w:sz w:val="24"/>
          <w:szCs w:val="24"/>
          <w:lang w:val="en-US" w:eastAsia="en-GB"/>
          <w14:ligatures w14:val="none"/>
        </w:rPr>
        <w:t xml:space="preserve"> &amp; </w:t>
      </w:r>
      <w:proofErr w:type="spellStart"/>
      <w:r w:rsidR="00086BB9" w:rsidRPr="00594BFA">
        <w:rPr>
          <w:rFonts w:ascii="Times New Roman" w:eastAsia="Times New Roman" w:hAnsi="Times New Roman" w:cs="Times New Roman"/>
          <w:kern w:val="0"/>
          <w:sz w:val="24"/>
          <w:szCs w:val="24"/>
          <w:lang w:val="en-US" w:eastAsia="en-GB"/>
          <w14:ligatures w14:val="none"/>
        </w:rPr>
        <w:t>Hensher</w:t>
      </w:r>
      <w:proofErr w:type="spellEnd"/>
      <w:r w:rsidR="00086BB9" w:rsidRPr="00594BFA">
        <w:rPr>
          <w:rFonts w:ascii="Times New Roman" w:eastAsia="Times New Roman" w:hAnsi="Times New Roman" w:cs="Times New Roman"/>
          <w:kern w:val="0"/>
          <w:sz w:val="24"/>
          <w:szCs w:val="24"/>
          <w:lang w:val="en-US" w:eastAsia="en-GB"/>
          <w14:ligatures w14:val="none"/>
        </w:rPr>
        <w:t xml:space="preserve">, 2003; Ricciardi et al., 2015). Parking availability was also included, </w:t>
      </w:r>
      <w:r w:rsidR="00887DAD" w:rsidRPr="00594BFA">
        <w:rPr>
          <w:rFonts w:ascii="Times New Roman" w:eastAsia="Times New Roman" w:hAnsi="Times New Roman" w:cs="Times New Roman"/>
          <w:kern w:val="0"/>
          <w:sz w:val="24"/>
          <w:szCs w:val="24"/>
          <w:lang w:val="en-US" w:eastAsia="en-GB"/>
          <w14:ligatures w14:val="none"/>
        </w:rPr>
        <w:t xml:space="preserve">relevant as </w:t>
      </w:r>
      <w:r w:rsidR="00086BB9" w:rsidRPr="00594BFA">
        <w:rPr>
          <w:rFonts w:ascii="Times New Roman" w:eastAsia="Times New Roman" w:hAnsi="Times New Roman" w:cs="Times New Roman"/>
          <w:kern w:val="0"/>
          <w:sz w:val="24"/>
          <w:szCs w:val="24"/>
          <w:lang w:val="en-US" w:eastAsia="en-GB"/>
          <w14:ligatures w14:val="none"/>
        </w:rPr>
        <w:t>more than 90% of the sample reported access to an automobile</w:t>
      </w:r>
      <w:r w:rsidR="00A830A9" w:rsidRPr="00594BFA">
        <w:rPr>
          <w:rFonts w:ascii="Times New Roman" w:eastAsia="Times New Roman" w:hAnsi="Times New Roman" w:cs="Times New Roman"/>
          <w:kern w:val="0"/>
          <w:sz w:val="24"/>
          <w:szCs w:val="24"/>
          <w:lang w:val="en-US" w:eastAsia="en-GB"/>
          <w14:ligatures w14:val="none"/>
        </w:rPr>
        <w:t>.</w:t>
      </w:r>
    </w:p>
    <w:p w14:paraId="2C274200" w14:textId="77777777" w:rsidR="00A830A9" w:rsidRPr="00594BFA" w:rsidRDefault="00086BB9" w:rsidP="00086BB9">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Cost was specified as a percentage change from </w:t>
      </w:r>
      <w:proofErr w:type="gramStart"/>
      <w:r w:rsidRPr="00594BFA">
        <w:rPr>
          <w:rFonts w:ascii="Times New Roman" w:eastAsia="Times New Roman" w:hAnsi="Times New Roman" w:cs="Times New Roman"/>
          <w:kern w:val="0"/>
          <w:sz w:val="24"/>
          <w:szCs w:val="24"/>
          <w:lang w:val="en-US" w:eastAsia="en-GB"/>
          <w14:ligatures w14:val="none"/>
        </w:rPr>
        <w:t>respondents’</w:t>
      </w:r>
      <w:proofErr w:type="gramEnd"/>
      <w:r w:rsidRPr="00594BFA">
        <w:rPr>
          <w:rFonts w:ascii="Times New Roman" w:eastAsia="Times New Roman" w:hAnsi="Times New Roman" w:cs="Times New Roman"/>
          <w:kern w:val="0"/>
          <w:sz w:val="24"/>
          <w:szCs w:val="24"/>
          <w:lang w:val="en-US" w:eastAsia="en-GB"/>
          <w14:ligatures w14:val="none"/>
        </w:rPr>
        <w:t xml:space="preserve"> planned future monthly housing costs, collected in the first section of the survey. </w:t>
      </w:r>
      <w:r w:rsidR="00341F59" w:rsidRPr="00594BFA">
        <w:rPr>
          <w:rFonts w:ascii="Times New Roman" w:eastAsia="Times New Roman" w:hAnsi="Times New Roman" w:cs="Times New Roman"/>
          <w:kern w:val="0"/>
          <w:sz w:val="24"/>
          <w:szCs w:val="24"/>
          <w:lang w:val="en-US" w:eastAsia="en-GB"/>
          <w14:ligatures w14:val="none"/>
        </w:rPr>
        <w:t xml:space="preserve">The experiment was adaptive: for example, a respondent with planned monthly costs of 10,000 SEK saw the 10% increase displayed as "Option #2 Cost: 10% more than planned costs (11,000 SEK). </w:t>
      </w:r>
      <w:r w:rsidRPr="00594BFA">
        <w:rPr>
          <w:rFonts w:ascii="Times New Roman" w:eastAsia="Times New Roman" w:hAnsi="Times New Roman" w:cs="Times New Roman"/>
          <w:kern w:val="0"/>
          <w:sz w:val="24"/>
          <w:szCs w:val="24"/>
          <w:lang w:val="en-US" w:eastAsia="en-GB"/>
          <w14:ligatures w14:val="none"/>
        </w:rPr>
        <w:t>Table 1 presents all attributes and levels.</w:t>
      </w:r>
      <w:r w:rsidR="00A830A9" w:rsidRPr="00594BFA">
        <w:rPr>
          <w:rFonts w:ascii="Times New Roman" w:eastAsia="Times New Roman" w:hAnsi="Times New Roman" w:cs="Times New Roman"/>
          <w:kern w:val="0"/>
          <w:sz w:val="24"/>
          <w:szCs w:val="24"/>
          <w:lang w:val="en-US" w:eastAsia="en-GB"/>
          <w14:ligatures w14:val="none"/>
        </w:rPr>
        <w:t xml:space="preserve"> </w:t>
      </w:r>
    </w:p>
    <w:p w14:paraId="791BC0E1"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8C3717F"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1 ABOUT HERE]</w:t>
      </w:r>
    </w:p>
    <w:p w14:paraId="3CE5F56C"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D04F35E" w14:textId="77777777" w:rsidR="00A830A9" w:rsidRPr="00594BFA" w:rsidRDefault="00F55065" w:rsidP="00F55065">
      <w:pPr>
        <w:spacing w:after="0" w:line="480" w:lineRule="auto"/>
        <w:ind w:firstLine="1304"/>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Before beginning the experiment, respondents were provided with definitions and examples for each attribute and instructed to assume that all housing alternatives were otherwise identical. Because a full factorial design would yield an impractically large number of combinations, a D-optimal fractional factorial design was generated using the R package </w:t>
      </w:r>
      <w:proofErr w:type="spellStart"/>
      <w:r w:rsidRPr="00594BFA">
        <w:rPr>
          <w:rFonts w:ascii="Times New Roman" w:eastAsia="Times New Roman" w:hAnsi="Times New Roman" w:cs="Times New Roman"/>
          <w:kern w:val="0"/>
          <w:sz w:val="24"/>
          <w:szCs w:val="24"/>
          <w:lang w:val="en-US" w:eastAsia="en-GB"/>
          <w14:ligatures w14:val="none"/>
        </w:rPr>
        <w:t>cbcTools</w:t>
      </w:r>
      <w:proofErr w:type="spellEnd"/>
      <w:r w:rsidRPr="00594BFA">
        <w:rPr>
          <w:rFonts w:ascii="Times New Roman" w:eastAsia="Times New Roman" w:hAnsi="Times New Roman" w:cs="Times New Roman"/>
          <w:kern w:val="0"/>
          <w:sz w:val="24"/>
          <w:szCs w:val="24"/>
          <w:lang w:val="en-US" w:eastAsia="en-GB"/>
          <w14:ligatures w14:val="none"/>
        </w:rPr>
        <w:t xml:space="preserve"> (Helveston, 2025), reducing dimensionality while maintaining statistical efficiency and balanced attribute representation. The experiment included nine choice sets to minimize respondent burden while maintaining statistical power (DeShazo &amp; Fermo, 2002; Mangham et al., 2009; Himmler et al., 2021). No opt-out alternative was included, as all respondents had previously indicated an intention to relocate. Figure 1 presents an example choice set.</w:t>
      </w:r>
    </w:p>
    <w:p w14:paraId="21F953C3" w14:textId="77777777" w:rsidR="00F55065" w:rsidRPr="00594BFA" w:rsidRDefault="00F55065" w:rsidP="00F55065">
      <w:pPr>
        <w:spacing w:after="0" w:line="480" w:lineRule="auto"/>
        <w:ind w:firstLine="1304"/>
        <w:rPr>
          <w:rFonts w:ascii="Times New Roman" w:eastAsia="Times New Roman" w:hAnsi="Times New Roman" w:cs="Times New Roman"/>
          <w:kern w:val="0"/>
          <w:sz w:val="24"/>
          <w:szCs w:val="24"/>
          <w:lang w:val="en-US" w:eastAsia="en-GB"/>
          <w14:ligatures w14:val="none"/>
        </w:rPr>
      </w:pPr>
    </w:p>
    <w:p w14:paraId="750F27EB" w14:textId="77777777" w:rsidR="00A830A9" w:rsidRPr="00594BFA" w:rsidRDefault="00A830A9" w:rsidP="00594BFA">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FIGURE 1 ABOUT HERE]</w:t>
      </w:r>
    </w:p>
    <w:p w14:paraId="617B5888" w14:textId="77777777" w:rsidR="00F55065" w:rsidRPr="00594BFA" w:rsidRDefault="00F55065" w:rsidP="00A830A9">
      <w:pPr>
        <w:spacing w:after="0" w:line="480" w:lineRule="auto"/>
        <w:rPr>
          <w:rFonts w:ascii="Times New Roman" w:eastAsia="Times New Roman" w:hAnsi="Times New Roman" w:cs="Times New Roman"/>
          <w:kern w:val="0"/>
          <w:sz w:val="24"/>
          <w:szCs w:val="24"/>
          <w:lang w:val="en-US" w:eastAsia="en-GB"/>
          <w14:ligatures w14:val="none"/>
        </w:rPr>
      </w:pPr>
    </w:p>
    <w:p w14:paraId="5400447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Statistical analysis</w:t>
      </w:r>
    </w:p>
    <w:p w14:paraId="294FEBD1" w14:textId="77777777" w:rsidR="00F67333" w:rsidRPr="00594BFA"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7A166F30" w14:textId="77777777" w:rsidR="00A830A9" w:rsidRPr="00594BFA" w:rsidRDefault="00234A41"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Respondents’ choices were modelled within the random utility theory framework, which assumes individuals choose the alternative that maximizes utility (</w:t>
      </w: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xml:space="preserve"> &amp; Louviere, 2008). </w:t>
      </w:r>
      <w:r w:rsidR="00A830A9" w:rsidRPr="00594BFA">
        <w:rPr>
          <w:rFonts w:ascii="Times New Roman" w:eastAsia="Times New Roman" w:hAnsi="Times New Roman" w:cs="Times New Roman"/>
          <w:kern w:val="0"/>
          <w:sz w:val="24"/>
          <w:szCs w:val="24"/>
          <w:lang w:val="en-US" w:eastAsia="en-GB"/>
          <w14:ligatures w14:val="none"/>
        </w:rPr>
        <w:t xml:space="preserve">The utility that individual </w:t>
      </w:r>
      <w:proofErr w:type="spellStart"/>
      <w:r w:rsidR="00A830A9" w:rsidRPr="00594BFA">
        <w:rPr>
          <w:rFonts w:ascii="Times New Roman" w:eastAsia="Times New Roman" w:hAnsi="Times New Roman" w:cs="Times New Roman"/>
          <w:i/>
          <w:iCs/>
          <w:kern w:val="0"/>
          <w:sz w:val="24"/>
          <w:szCs w:val="24"/>
          <w:lang w:val="en-US" w:eastAsia="en-GB"/>
          <w14:ligatures w14:val="none"/>
        </w:rPr>
        <w:t>i</w:t>
      </w:r>
      <w:proofErr w:type="spellEnd"/>
      <w:r w:rsidR="00A830A9" w:rsidRPr="00594BFA">
        <w:rPr>
          <w:rFonts w:ascii="Times New Roman" w:eastAsia="Times New Roman" w:hAnsi="Times New Roman" w:cs="Times New Roman"/>
          <w:kern w:val="0"/>
          <w:sz w:val="24"/>
          <w:szCs w:val="24"/>
          <w:lang w:val="en-US" w:eastAsia="en-GB"/>
          <w14:ligatures w14:val="none"/>
        </w:rPr>
        <w:t xml:space="preserve"> derives from alternative </w:t>
      </w:r>
      <w:r w:rsidR="00A830A9" w:rsidRPr="00594BFA">
        <w:rPr>
          <w:rFonts w:ascii="Times New Roman" w:eastAsia="Times New Roman" w:hAnsi="Times New Roman" w:cs="Times New Roman"/>
          <w:i/>
          <w:iCs/>
          <w:kern w:val="0"/>
          <w:sz w:val="24"/>
          <w:szCs w:val="24"/>
          <w:lang w:val="en-US" w:eastAsia="en-GB"/>
          <w14:ligatures w14:val="none"/>
        </w:rPr>
        <w:t>j</w:t>
      </w:r>
      <w:r w:rsidR="00A830A9" w:rsidRPr="00594BFA">
        <w:rPr>
          <w:rFonts w:ascii="Times New Roman" w:eastAsia="Times New Roman" w:hAnsi="Times New Roman" w:cs="Times New Roman"/>
          <w:kern w:val="0"/>
          <w:sz w:val="24"/>
          <w:szCs w:val="24"/>
          <w:lang w:val="en-US" w:eastAsia="en-GB"/>
          <w14:ligatures w14:val="none"/>
        </w:rPr>
        <w:t xml:space="preserve"> in choice set t is given by:</w:t>
      </w:r>
    </w:p>
    <w:p w14:paraId="49B48277"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U</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#(1)</m:t>
              </m:r>
            </m:e>
          </m:eqArr>
        </m:oMath>
      </m:oMathPara>
    </w:p>
    <w:p w14:paraId="2CFDFD27" w14:textId="77777777" w:rsidR="00A830A9" w:rsidRPr="00594BFA"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oMath>
      <w:r w:rsidRPr="00594BFA">
        <w:rPr>
          <w:rFonts w:ascii="Times New Roman" w:eastAsia="Times New Roman" w:hAnsi="Times New Roman" w:cs="Times New Roman"/>
          <w:kern w:val="0"/>
          <w:sz w:val="24"/>
          <w:szCs w:val="24"/>
          <w:lang w:val="en-US" w:eastAsia="en-GB"/>
          <w14:ligatures w14:val="none"/>
        </w:rPr>
        <w:t xml:space="preserve"> is the systematic component of utility and </w:t>
      </w:r>
      <m:oMath>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ε</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 xml:space="preserve"> </m:t>
        </m:r>
      </m:oMath>
      <w:r w:rsidRPr="00594BFA">
        <w:rPr>
          <w:rFonts w:ascii="Times New Roman" w:eastAsia="Times New Roman" w:hAnsi="Times New Roman" w:cs="Times New Roman"/>
          <w:kern w:val="0"/>
          <w:sz w:val="24"/>
          <w:szCs w:val="24"/>
          <w:lang w:val="en-US" w:eastAsia="en-GB"/>
          <w14:ligatures w14:val="none"/>
        </w:rPr>
        <w:t>is an unobserved random error term. The systematic utility is specified as:</w:t>
      </w:r>
    </w:p>
    <w:p w14:paraId="26E5868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4E67B0B4" w14:textId="77777777" w:rsidR="00A830A9" w:rsidRPr="00594BFA" w:rsidRDefault="00A830A9"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m:oMath>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X</m:t>
            </m:r>
          </m:e>
          <m:sub>
            <m:r>
              <w:rPr>
                <w:rFonts w:ascii="Cambria Math" w:eastAsia="Times New Roman" w:hAnsi="Cambria Math" w:cs="Times New Roman"/>
                <w:kern w:val="0"/>
                <w:sz w:val="24"/>
                <w:szCs w:val="24"/>
                <w:lang w:val="en-US" w:eastAsia="en-GB"/>
                <w14:ligatures w14:val="none"/>
              </w:rPr>
              <m:t>itjk</m:t>
            </m:r>
          </m:sub>
        </m:sSub>
        <m:r>
          <w:rPr>
            <w:rFonts w:ascii="Cambria Math" w:eastAsia="Times New Roman" w:hAnsi="Cambria Math" w:cs="Times New Roman"/>
            <w:kern w:val="0"/>
            <w:sz w:val="24"/>
            <w:szCs w:val="24"/>
            <w:lang w:val="en-US" w:eastAsia="en-GB"/>
            <w14:ligatures w14:val="none"/>
          </w:rPr>
          <m:t xml:space="preserve"> </m:t>
        </m:r>
      </m:oMath>
      <w:r w:rsidRPr="00594BFA">
        <w:rPr>
          <w:rFonts w:ascii="Times New Roman" w:eastAsia="Times New Roman" w:hAnsi="Times New Roman" w:cs="Times New Roman"/>
          <w:kern w:val="0"/>
          <w:sz w:val="24"/>
          <w:szCs w:val="24"/>
          <w:lang w:val="en-US" w:eastAsia="en-GB"/>
          <w14:ligatures w14:val="none"/>
        </w:rPr>
        <w:t xml:space="preserve">represents the level of attribute </w:t>
      </w:r>
      <w:r w:rsidRPr="00594BFA">
        <w:rPr>
          <w:rFonts w:ascii="Times New Roman" w:eastAsia="Times New Roman" w:hAnsi="Times New Roman" w:cs="Times New Roman"/>
          <w:i/>
          <w:iCs/>
          <w:kern w:val="0"/>
          <w:sz w:val="24"/>
          <w:szCs w:val="24"/>
          <w:lang w:val="en-US" w:eastAsia="en-GB"/>
          <w14:ligatures w14:val="none"/>
        </w:rPr>
        <w:t>k</w:t>
      </w:r>
      <w:r w:rsidRPr="00594BFA">
        <w:rPr>
          <w:rFonts w:ascii="Times New Roman" w:eastAsia="Times New Roman" w:hAnsi="Times New Roman" w:cs="Times New Roman"/>
          <w:kern w:val="0"/>
          <w:sz w:val="24"/>
          <w:szCs w:val="24"/>
          <w:lang w:val="en-US" w:eastAsia="en-GB"/>
          <w14:ligatures w14:val="none"/>
        </w:rPr>
        <w:t xml:space="preserve"> for alternative </w:t>
      </w:r>
      <w:r w:rsidRPr="00594BFA">
        <w:rPr>
          <w:rFonts w:ascii="Times New Roman" w:eastAsia="Times New Roman" w:hAnsi="Times New Roman" w:cs="Times New Roman"/>
          <w:i/>
          <w:iCs/>
          <w:kern w:val="0"/>
          <w:sz w:val="24"/>
          <w:szCs w:val="24"/>
          <w:lang w:val="en-US" w:eastAsia="en-GB"/>
          <w14:ligatures w14:val="none"/>
        </w:rPr>
        <w:t>j</w:t>
      </w:r>
      <w:r w:rsidRPr="00594BFA">
        <w:rPr>
          <w:rFonts w:ascii="Times New Roman" w:eastAsia="Times New Roman" w:hAnsi="Times New Roman" w:cs="Times New Roman"/>
          <w:kern w:val="0"/>
          <w:sz w:val="24"/>
          <w:szCs w:val="24"/>
          <w:lang w:val="en-US" w:eastAsia="en-GB"/>
          <w14:ligatures w14:val="none"/>
        </w:rPr>
        <w:t xml:space="preserve"> in task </w:t>
      </w:r>
      <w:r w:rsidRPr="00594BFA">
        <w:rPr>
          <w:rFonts w:ascii="Times New Roman" w:eastAsia="Times New Roman" w:hAnsi="Times New Roman" w:cs="Times New Roman"/>
          <w:i/>
          <w:iCs/>
          <w:kern w:val="0"/>
          <w:sz w:val="24"/>
          <w:szCs w:val="24"/>
          <w:lang w:val="en-US" w:eastAsia="en-GB"/>
          <w14:ligatures w14:val="none"/>
        </w:rPr>
        <w:t>t</w:t>
      </w:r>
      <w:r w:rsidRPr="00594BFA">
        <w:rPr>
          <w:rFonts w:ascii="Times New Roman" w:eastAsia="Times New Roman" w:hAnsi="Times New Roman" w:cs="Times New Roman"/>
          <w:kern w:val="0"/>
          <w:sz w:val="24"/>
          <w:szCs w:val="24"/>
          <w:lang w:val="en-US" w:eastAsia="en-GB"/>
          <w14:ligatures w14:val="none"/>
        </w:rPr>
        <w:t xml:space="preserve">, and </w:t>
      </w:r>
      <m:oMath>
        <m:r>
          <w:rPr>
            <w:rFonts w:ascii="Cambria Math" w:eastAsia="Times New Roman" w:hAnsi="Cambria Math" w:cs="Times New Roman"/>
            <w:kern w:val="0"/>
            <w:sz w:val="24"/>
            <w:szCs w:val="24"/>
            <w:lang w:val="en-US" w:eastAsia="en-GB"/>
            <w14:ligatures w14:val="none"/>
          </w:rPr>
          <m:t>βk</m:t>
        </m:r>
      </m:oMath>
      <w:r w:rsidRPr="00594BFA">
        <w:rPr>
          <w:rFonts w:ascii="Times New Roman" w:eastAsia="Times New Roman" w:hAnsi="Times New Roman" w:cs="Times New Roman"/>
          <w:kern w:val="0"/>
          <w:sz w:val="24"/>
          <w:szCs w:val="24"/>
          <w:lang w:val="en-US" w:eastAsia="en-GB"/>
          <w14:ligatures w14:val="none"/>
        </w:rPr>
        <w:t xml:space="preserve"> are the corresponding utility coefficients.</w:t>
      </w:r>
    </w:p>
    <w:p w14:paraId="7AF2CF4A"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Under the multinomial logit (MNL) model, preferences are assumed to be homogeneous and error terms independently and identically distributed, with choice probabilities given by:</w:t>
      </w:r>
    </w:p>
    <w:p w14:paraId="50074B49"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P</m:t>
                  </m:r>
                </m:e>
                <m:sub>
                  <m:r>
                    <w:rPr>
                      <w:rFonts w:ascii="Cambria Math" w:eastAsia="Times New Roman" w:hAnsi="Cambria Math" w:cs="Times New Roman"/>
                      <w:kern w:val="0"/>
                      <w:sz w:val="24"/>
                      <w:szCs w:val="24"/>
                      <w:lang w:val="en-US" w:eastAsia="en-GB"/>
                      <w14:ligatures w14:val="none"/>
                    </w:rPr>
                    <m:t>itj</m:t>
                  </m:r>
                </m:sub>
              </m:sSub>
              <m:r>
                <w:rPr>
                  <w:rFonts w:ascii="Cambria Math" w:eastAsia="Times New Roman" w:hAnsi="Cambria Math" w:cs="Times New Roman"/>
                  <w:kern w:val="0"/>
                  <w:sz w:val="24"/>
                  <w:szCs w:val="24"/>
                  <w:lang w:val="en-US" w:eastAsia="en-GB"/>
                  <w14:ligatures w14:val="none"/>
                </w:rPr>
                <m:t>=</m:t>
              </m:r>
              <m:func>
                <m:funcPr>
                  <m:ctrlPr>
                    <w:rPr>
                      <w:rFonts w:ascii="Cambria Math" w:eastAsia="Times New Roman" w:hAnsi="Cambria Math" w:cs="Times New Roman"/>
                      <w:i/>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Pr</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y</m:t>
                          </m:r>
                        </m:e>
                        <m:sub>
                          <m:r>
                            <w:rPr>
                              <w:rFonts w:ascii="Cambria Math" w:eastAsia="Times New Roman" w:hAnsi="Cambria Math" w:cs="Times New Roman"/>
                              <w:kern w:val="0"/>
                              <w:sz w:val="24"/>
                              <w:szCs w:val="24"/>
                              <w:lang w:val="en-US" w:eastAsia="en-GB"/>
                              <w14:ligatures w14:val="none"/>
                            </w:rPr>
                            <m:t>it</m:t>
                          </m:r>
                        </m:sub>
                      </m:sSub>
                      <m:r>
                        <w:rPr>
                          <w:rFonts w:ascii="Cambria Math" w:eastAsia="Times New Roman" w:hAnsi="Cambria Math" w:cs="Times New Roman"/>
                          <w:kern w:val="0"/>
                          <w:sz w:val="24"/>
                          <w:szCs w:val="24"/>
                          <w:lang w:val="en-US" w:eastAsia="en-GB"/>
                          <w14:ligatures w14:val="none"/>
                        </w:rPr>
                        <m:t>=j</m:t>
                      </m:r>
                    </m:e>
                  </m:d>
                </m:e>
              </m:func>
              <m:r>
                <w:rPr>
                  <w:rFonts w:ascii="Cambria Math" w:eastAsia="Times New Roman" w:hAnsi="Cambria Math" w:cs="Times New Roman"/>
                  <w:kern w:val="0"/>
                  <w:sz w:val="24"/>
                  <w:szCs w:val="24"/>
                  <w:lang w:val="en-US" w:eastAsia="en-GB"/>
                  <w14:ligatures w14:val="none"/>
                </w:rPr>
                <m:t xml:space="preserve">= </m:t>
              </m:r>
              <m:f>
                <m:fPr>
                  <m:ctrlPr>
                    <w:rPr>
                      <w:rFonts w:ascii="Cambria Math" w:eastAsia="Times New Roman" w:hAnsi="Cambria Math" w:cs="Times New Roman"/>
                      <w:i/>
                      <w:kern w:val="0"/>
                      <w:sz w:val="24"/>
                      <w:szCs w:val="24"/>
                      <w:lang w:val="en-US" w:eastAsia="en-GB"/>
                      <w14:ligatures w14:val="none"/>
                    </w:rPr>
                  </m:ctrlPr>
                </m:fPr>
                <m:num>
                  <m:func>
                    <m:funcPr>
                      <m:ctrlPr>
                        <w:rPr>
                          <w:rFonts w:ascii="Cambria Math" w:eastAsia="Times New Roman" w:hAnsi="Cambria Math" w:cs="Times New Roman"/>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exp</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e>
                      </m:d>
                    </m:e>
                  </m:func>
                </m:num>
                <m:den>
                  <m:sSub>
                    <m:sSubPr>
                      <m:ctrlPr>
                        <w:rPr>
                          <w:rFonts w:ascii="Cambria Math" w:eastAsia="Times New Roman" w:hAnsi="Cambria Math" w:cs="Times New Roman"/>
                          <w:i/>
                          <w:kern w:val="0"/>
                          <w:sz w:val="24"/>
                          <w:szCs w:val="24"/>
                          <w:lang w:val="en-US" w:eastAsia="en-GB"/>
                          <w14:ligatures w14:val="none"/>
                        </w:rPr>
                      </m:ctrlPr>
                    </m:sSubPr>
                    <m:e>
                      <m:r>
                        <m:rPr>
                          <m:sty m:val="p"/>
                        </m:rPr>
                        <w:rPr>
                          <w:rFonts w:ascii="Cambria Math" w:eastAsia="Times New Roman" w:hAnsi="Cambria Math" w:cs="Times New Roman"/>
                          <w:kern w:val="0"/>
                          <w:sz w:val="24"/>
                          <w:szCs w:val="24"/>
                          <w:lang w:val="en-US" w:eastAsia="en-GB"/>
                          <w14:ligatures w14:val="none"/>
                        </w:rPr>
                        <m:t>Σ</m:t>
                      </m:r>
                    </m:e>
                    <m:sub>
                      <m:r>
                        <w:rPr>
                          <w:rFonts w:ascii="Cambria Math" w:eastAsia="Times New Roman" w:hAnsi="Cambria Math" w:cs="Times New Roman"/>
                          <w:kern w:val="0"/>
                          <w:sz w:val="24"/>
                          <w:szCs w:val="24"/>
                          <w:lang w:val="en-US" w:eastAsia="en-GB"/>
                          <w14:ligatures w14:val="none"/>
                        </w:rPr>
                        <m:t>j</m:t>
                      </m:r>
                    </m:sub>
                  </m:sSub>
                  <m:func>
                    <m:funcPr>
                      <m:ctrlPr>
                        <w:rPr>
                          <w:rFonts w:ascii="Cambria Math" w:eastAsia="Times New Roman" w:hAnsi="Cambria Math" w:cs="Times New Roman"/>
                          <w:kern w:val="0"/>
                          <w:sz w:val="24"/>
                          <w:szCs w:val="24"/>
                          <w:lang w:val="en-US" w:eastAsia="en-GB"/>
                          <w14:ligatures w14:val="none"/>
                        </w:rPr>
                      </m:ctrlPr>
                    </m:funcPr>
                    <m:fName>
                      <m:r>
                        <m:rPr>
                          <m:sty m:val="p"/>
                        </m:rPr>
                        <w:rPr>
                          <w:rFonts w:ascii="Cambria Math" w:eastAsia="Times New Roman" w:hAnsi="Cambria Math" w:cs="Times New Roman"/>
                          <w:kern w:val="0"/>
                          <w:sz w:val="24"/>
                          <w:szCs w:val="24"/>
                          <w:lang w:val="en-US" w:eastAsia="en-GB"/>
                          <w14:ligatures w14:val="none"/>
                        </w:rPr>
                        <m:t>exp</m:t>
                      </m:r>
                    </m:fName>
                    <m:e>
                      <m:d>
                        <m:dPr>
                          <m:ctrlPr>
                            <w:rPr>
                              <w:rFonts w:ascii="Cambria Math" w:eastAsia="Times New Roman" w:hAnsi="Cambria Math" w:cs="Times New Roman"/>
                              <w:i/>
                              <w:kern w:val="0"/>
                              <w:sz w:val="24"/>
                              <w:szCs w:val="24"/>
                              <w:lang w:val="en-US" w:eastAsia="en-GB"/>
                              <w14:ligatures w14:val="none"/>
                            </w:rPr>
                          </m:ctrlPr>
                        </m:d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V</m:t>
                              </m:r>
                            </m:e>
                            <m:sub>
                              <m:r>
                                <w:rPr>
                                  <w:rFonts w:ascii="Cambria Math" w:eastAsia="Times New Roman" w:hAnsi="Cambria Math" w:cs="Times New Roman"/>
                                  <w:kern w:val="0"/>
                                  <w:sz w:val="24"/>
                                  <w:szCs w:val="24"/>
                                  <w:lang w:val="en-US" w:eastAsia="en-GB"/>
                                  <w14:ligatures w14:val="none"/>
                                </w:rPr>
                                <m:t>itj</m:t>
                              </m:r>
                            </m:sub>
                          </m:sSub>
                        </m:e>
                      </m:d>
                    </m:e>
                  </m:func>
                </m:den>
              </m:f>
              <m:r>
                <w:rPr>
                  <w:rFonts w:ascii="Cambria Math" w:eastAsia="Times New Roman" w:hAnsi="Cambria Math" w:cs="Times New Roman"/>
                  <w:kern w:val="0"/>
                  <w:sz w:val="24"/>
                  <w:szCs w:val="24"/>
                  <w:lang w:val="en-US" w:eastAsia="en-GB"/>
                  <w14:ligatures w14:val="none"/>
                </w:rPr>
                <m:t>#(3)</m:t>
              </m:r>
            </m:e>
          </m:eqArr>
        </m:oMath>
      </m:oMathPara>
    </w:p>
    <w:p w14:paraId="42DFFDAB" w14:textId="77777777" w:rsidR="00234A41" w:rsidRPr="00594BFA" w:rsidRDefault="00234A41"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To account for unobserved preference heterogeneity, mixed logit models were estimated in which non-monetary attributes were specified as random parameters with correlated normal distributions, while the cost coefficient was fixed (McFadden &amp; Train, 2000). Models were estimated using maximum simulated likelihood with 1000 Sobol draws in the R package </w:t>
      </w:r>
      <w:proofErr w:type="spellStart"/>
      <w:r w:rsidRPr="00594BFA">
        <w:rPr>
          <w:rFonts w:ascii="Times New Roman" w:eastAsia="Times New Roman" w:hAnsi="Times New Roman" w:cs="Times New Roman"/>
          <w:kern w:val="0"/>
          <w:sz w:val="24"/>
          <w:szCs w:val="24"/>
          <w:lang w:val="en-US" w:eastAsia="en-GB"/>
          <w14:ligatures w14:val="none"/>
        </w:rPr>
        <w:t>logitr</w:t>
      </w:r>
      <w:proofErr w:type="spellEnd"/>
      <w:r w:rsidRPr="00594BFA">
        <w:rPr>
          <w:rFonts w:ascii="Times New Roman" w:eastAsia="Times New Roman" w:hAnsi="Times New Roman" w:cs="Times New Roman"/>
          <w:kern w:val="0"/>
          <w:sz w:val="24"/>
          <w:szCs w:val="24"/>
          <w:lang w:val="en-US" w:eastAsia="en-GB"/>
          <w14:ligatures w14:val="none"/>
        </w:rPr>
        <w:t xml:space="preserve"> (Helveston, 2023), using multiple starting values to ensure convergence to the global maximum (Train, 2003). Consistent with recent housing studies, mixed logit models allow utility coefficients to vary across individuals rather than assuming homogeneous preferences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Aitken et al., 2024; Lee et al., 2025).</w:t>
      </w:r>
    </w:p>
    <w:p w14:paraId="2613744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w:t>
      </w:r>
      <w:r w:rsidR="00234A41" w:rsidRPr="00594BFA">
        <w:rPr>
          <w:rFonts w:ascii="Times New Roman" w:eastAsia="Times New Roman" w:hAnsi="Times New Roman" w:cs="Times New Roman"/>
          <w:kern w:val="0"/>
          <w:sz w:val="24"/>
          <w:szCs w:val="24"/>
          <w:lang w:val="en-US" w:eastAsia="en-GB"/>
          <w14:ligatures w14:val="none"/>
        </w:rPr>
        <w:t xml:space="preserve"> cost coefficient was utilized</w:t>
      </w:r>
      <w:r w:rsidRPr="00594BFA">
        <w:rPr>
          <w:rFonts w:ascii="Times New Roman" w:eastAsia="Times New Roman" w:hAnsi="Times New Roman" w:cs="Times New Roman"/>
          <w:kern w:val="0"/>
          <w:sz w:val="24"/>
          <w:szCs w:val="24"/>
          <w:lang w:val="en-US" w:eastAsia="en-GB"/>
          <w14:ligatures w14:val="none"/>
        </w:rPr>
        <w:t xml:space="preserve"> to compute monetary trade-offs for non-cost attributes. First, the mean marginal rate of substitution (MRS) was estimated for each attribute, where the MRS for attribute</w:t>
      </w:r>
      <w:r w:rsidRPr="00594BFA">
        <w:rPr>
          <w:rFonts w:ascii="Times New Roman" w:eastAsia="Times New Roman" w:hAnsi="Times New Roman" w:cs="Times New Roman"/>
          <w:i/>
          <w:iCs/>
          <w:kern w:val="0"/>
          <w:sz w:val="24"/>
          <w:szCs w:val="24"/>
          <w:lang w:val="en-US" w:eastAsia="en-GB"/>
          <w14:ligatures w14:val="none"/>
        </w:rPr>
        <w:t xml:space="preserve"> k</w:t>
      </w:r>
      <w:r w:rsidRPr="00594BFA">
        <w:rPr>
          <w:rFonts w:ascii="Times New Roman" w:eastAsia="Times New Roman" w:hAnsi="Times New Roman" w:cs="Times New Roman"/>
          <w:kern w:val="0"/>
          <w:sz w:val="24"/>
          <w:szCs w:val="24"/>
          <w:lang w:val="en-US" w:eastAsia="en-GB"/>
          <w14:ligatures w14:val="none"/>
        </w:rPr>
        <w:t xml:space="preserve"> was calculated as:</w:t>
      </w:r>
    </w:p>
    <w:p w14:paraId="53604B2A"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k</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den>
              </m:f>
              <m:r>
                <w:rPr>
                  <w:rFonts w:ascii="Cambria Math" w:eastAsia="Times New Roman" w:hAnsi="Cambria Math" w:cs="Times New Roman"/>
                  <w:kern w:val="0"/>
                  <w:sz w:val="24"/>
                  <w:szCs w:val="24"/>
                  <w:lang w:val="en-US" w:eastAsia="en-GB"/>
                  <w14:ligatures w14:val="none"/>
                </w:rPr>
                <m:t>#(5)</m:t>
              </m:r>
            </m:e>
          </m:eqArr>
        </m:oMath>
      </m:oMathPara>
    </w:p>
    <w:p w14:paraId="30306AC4" w14:textId="77777777" w:rsidR="00A830A9" w:rsidRPr="00594BFA" w:rsidRDefault="003620F2" w:rsidP="00234A41">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w</w:t>
      </w:r>
      <w:r w:rsidR="00A830A9" w:rsidRPr="00594BFA">
        <w:rPr>
          <w:rFonts w:ascii="Times New Roman" w:eastAsia="Times New Roman" w:hAnsi="Times New Roman" w:cs="Times New Roman"/>
          <w:kern w:val="0"/>
          <w:sz w:val="24"/>
          <w:szCs w:val="24"/>
          <w:lang w:val="en-US" w:eastAsia="en-GB"/>
          <w14:ligatures w14:val="none"/>
        </w:rPr>
        <w:t xml:space="preserve">here </w:t>
      </w:r>
      <m:oMath>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oMath>
      <w:r w:rsidR="00A830A9" w:rsidRPr="00594BFA">
        <w:rPr>
          <w:rFonts w:ascii="Times New Roman" w:eastAsia="Times New Roman" w:hAnsi="Times New Roman" w:cs="Times New Roman"/>
          <w:kern w:val="0"/>
          <w:sz w:val="24"/>
          <w:szCs w:val="24"/>
          <w:lang w:val="en-US" w:eastAsia="en-GB"/>
          <w14:ligatures w14:val="none"/>
        </w:rPr>
        <w:t xml:space="preserve"> </w:t>
      </w:r>
      <w:r w:rsidR="00A830A9" w:rsidRPr="00594BFA">
        <w:rPr>
          <w:rFonts w:ascii="Times New Roman" w:eastAsia="Times New Roman" w:hAnsi="Times New Roman" w:cs="Times New Roman"/>
          <w:i/>
          <w:iCs/>
          <w:kern w:val="0"/>
          <w:sz w:val="24"/>
          <w:szCs w:val="24"/>
          <w:lang w:val="en-US" w:eastAsia="en-GB"/>
          <w14:ligatures w14:val="none"/>
        </w:rPr>
        <w:t>cost</w:t>
      </w:r>
      <w:r w:rsidR="00A830A9" w:rsidRPr="00594BFA">
        <w:rPr>
          <w:rFonts w:ascii="Times New Roman" w:eastAsia="Times New Roman" w:hAnsi="Times New Roman" w:cs="Times New Roman"/>
          <w:kern w:val="0"/>
          <w:sz w:val="24"/>
          <w:szCs w:val="24"/>
          <w:lang w:val="en-US" w:eastAsia="en-GB"/>
          <w14:ligatures w14:val="none"/>
        </w:rPr>
        <w:t xml:space="preserve"> is the estimated coefficient on the cost attribute.  To account for interaction terms with socio-demographic variables, the MRS for attribute </w:t>
      </w:r>
      <w:r w:rsidR="00A830A9" w:rsidRPr="00594BFA">
        <w:rPr>
          <w:rFonts w:ascii="Times New Roman" w:eastAsia="Times New Roman" w:hAnsi="Times New Roman" w:cs="Times New Roman"/>
          <w:i/>
          <w:iCs/>
          <w:kern w:val="0"/>
          <w:sz w:val="24"/>
          <w:szCs w:val="24"/>
          <w:lang w:val="en-US" w:eastAsia="en-GB"/>
          <w14:ligatures w14:val="none"/>
        </w:rPr>
        <w:t>k</w:t>
      </w:r>
      <w:r w:rsidR="00A830A9" w:rsidRPr="00594BFA">
        <w:rPr>
          <w:rFonts w:ascii="Times New Roman" w:eastAsia="Times New Roman" w:hAnsi="Times New Roman" w:cs="Times New Roman"/>
          <w:kern w:val="0"/>
          <w:sz w:val="24"/>
          <w:szCs w:val="24"/>
          <w:lang w:val="en-US" w:eastAsia="en-GB"/>
          <w14:ligatures w14:val="none"/>
        </w:rPr>
        <w:t xml:space="preserve"> and individual characteristic </w:t>
      </w:r>
      <w:r w:rsidR="00A830A9" w:rsidRPr="00594BFA">
        <w:rPr>
          <w:rFonts w:ascii="Times New Roman" w:eastAsia="Times New Roman" w:hAnsi="Times New Roman" w:cs="Times New Roman"/>
          <w:i/>
          <w:iCs/>
          <w:kern w:val="0"/>
          <w:sz w:val="24"/>
          <w:szCs w:val="24"/>
          <w:lang w:val="en-US" w:eastAsia="en-GB"/>
          <w14:ligatures w14:val="none"/>
        </w:rPr>
        <w:t>z</w:t>
      </w:r>
      <w:r w:rsidR="00A830A9" w:rsidRPr="00594BFA">
        <w:rPr>
          <w:rFonts w:ascii="Times New Roman" w:eastAsia="Times New Roman" w:hAnsi="Times New Roman" w:cs="Times New Roman"/>
          <w:kern w:val="0"/>
          <w:sz w:val="24"/>
          <w:szCs w:val="24"/>
          <w:lang w:val="en-US" w:eastAsia="en-GB"/>
          <w14:ligatures w14:val="none"/>
        </w:rPr>
        <w:t xml:space="preserve"> was calculated as:</w:t>
      </w:r>
    </w:p>
    <w:p w14:paraId="4C7CB93E" w14:textId="77777777" w:rsidR="00A830A9" w:rsidRPr="00594BFA" w:rsidRDefault="00000000"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i/>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MRS</m:t>
                  </m:r>
                </m:e>
                <m:sub>
                  <m:r>
                    <w:rPr>
                      <w:rFonts w:ascii="Cambria Math" w:eastAsia="Times New Roman" w:hAnsi="Cambria Math" w:cs="Times New Roman"/>
                      <w:kern w:val="0"/>
                      <w:sz w:val="24"/>
                      <w:szCs w:val="24"/>
                      <w:lang w:val="en-US" w:eastAsia="en-GB"/>
                      <w14:ligatures w14:val="none"/>
                    </w:rPr>
                    <m:t>kz</m:t>
                  </m:r>
                </m:sub>
              </m:sSub>
              <m:r>
                <w:rPr>
                  <w:rFonts w:ascii="Cambria Math" w:eastAsia="Times New Roman" w:hAnsi="Cambria Math" w:cs="Times New Roman"/>
                  <w:kern w:val="0"/>
                  <w:sz w:val="24"/>
                  <w:szCs w:val="24"/>
                  <w:lang w:val="en-US" w:eastAsia="en-GB"/>
                  <w14:ligatures w14:val="none"/>
                </w:rPr>
                <m:t xml:space="preserve">= - </m:t>
              </m:r>
              <m:f>
                <m:fPr>
                  <m:ctrlPr>
                    <w:rPr>
                      <w:rFonts w:ascii="Cambria Math" w:eastAsia="Times New Roman" w:hAnsi="Cambria Math" w:cs="Times New Roman"/>
                      <w:i/>
                      <w:kern w:val="0"/>
                      <w:sz w:val="24"/>
                      <w:szCs w:val="24"/>
                      <w:lang w:val="en-US" w:eastAsia="en-GB"/>
                      <w14:ligatures w14:val="none"/>
                    </w:rPr>
                  </m:ctrlPr>
                </m:fPr>
                <m:num>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 </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k,z </m:t>
                      </m:r>
                    </m:sub>
                  </m:sSub>
                </m:num>
                <m:den>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cost</m:t>
                      </m:r>
                    </m:sub>
                  </m:sSub>
                  <m: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i/>
                          <w:kern w:val="0"/>
                          <w:sz w:val="24"/>
                          <w:szCs w:val="24"/>
                          <w:lang w:val="en-US" w:eastAsia="en-GB"/>
                          <w14:ligatures w14:val="none"/>
                        </w:rPr>
                      </m:ctrlPr>
                    </m:sSubPr>
                    <m:e>
                      <m:acc>
                        <m:accPr>
                          <m:ctrlPr>
                            <w:rPr>
                              <w:rFonts w:ascii="Cambria Math" w:eastAsia="Times New Roman" w:hAnsi="Cambria Math" w:cs="Times New Roman"/>
                              <w:kern w:val="0"/>
                              <w:sz w:val="24"/>
                              <w:szCs w:val="24"/>
                              <w:lang w:val="en-US" w:eastAsia="en-GB"/>
                              <w14:ligatures w14:val="none"/>
                            </w:rPr>
                          </m:ctrlPr>
                        </m:accPr>
                        <m:e>
                          <m:r>
                            <w:rPr>
                              <w:rFonts w:ascii="Cambria Math" w:eastAsia="Times New Roman" w:hAnsi="Cambria Math" w:cs="Times New Roman"/>
                              <w:kern w:val="0"/>
                              <w:sz w:val="24"/>
                              <w:szCs w:val="24"/>
                              <w:lang w:val="en-US" w:eastAsia="en-GB"/>
                              <w14:ligatures w14:val="none"/>
                            </w:rPr>
                            <m:t>β</m:t>
                          </m:r>
                          <m:ctrlPr>
                            <w:rPr>
                              <w:rFonts w:ascii="Cambria Math" w:eastAsia="Times New Roman" w:hAnsi="Cambria Math" w:cs="Times New Roman"/>
                              <w:i/>
                              <w:kern w:val="0"/>
                              <w:sz w:val="24"/>
                              <w:szCs w:val="24"/>
                              <w:lang w:val="en-US" w:eastAsia="en-GB"/>
                              <w14:ligatures w14:val="none"/>
                            </w:rPr>
                          </m:ctrlPr>
                        </m:e>
                      </m:acc>
                    </m:e>
                    <m:sub>
                      <m:r>
                        <w:rPr>
                          <w:rFonts w:ascii="Cambria Math" w:eastAsia="Times New Roman" w:hAnsi="Cambria Math" w:cs="Times New Roman"/>
                          <w:kern w:val="0"/>
                          <w:sz w:val="24"/>
                          <w:szCs w:val="24"/>
                          <w:lang w:val="en-US" w:eastAsia="en-GB"/>
                          <w14:ligatures w14:val="none"/>
                        </w:rPr>
                        <m:t xml:space="preserve">cost,z </m:t>
                      </m:r>
                    </m:sub>
                  </m:sSub>
                </m:den>
              </m:f>
              <m:r>
                <w:rPr>
                  <w:rFonts w:ascii="Cambria Math" w:eastAsia="Times New Roman" w:hAnsi="Cambria Math" w:cs="Times New Roman"/>
                  <w:kern w:val="0"/>
                  <w:sz w:val="24"/>
                  <w:szCs w:val="24"/>
                  <w:lang w:val="en-US" w:eastAsia="en-GB"/>
                  <w14:ligatures w14:val="none"/>
                </w:rPr>
                <m:t>#(6)</m:t>
              </m:r>
            </m:e>
          </m:eqArr>
        </m:oMath>
      </m:oMathPara>
    </w:p>
    <w:p w14:paraId="67DB69C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Willingness-to-pay values were estimated following the approach of Caplan et al. (2021). As the cost attribute was specified as a percentage change from the respondent’s expected housing cost in 10 % intervals, marginal rates of substitution (MRS) were converted </w:t>
      </w:r>
      <w:r w:rsidRPr="00594BFA">
        <w:rPr>
          <w:rFonts w:ascii="Times New Roman" w:eastAsia="Times New Roman" w:hAnsi="Times New Roman" w:cs="Times New Roman"/>
          <w:kern w:val="0"/>
          <w:sz w:val="24"/>
          <w:szCs w:val="24"/>
          <w:lang w:val="en-US" w:eastAsia="en-GB"/>
          <w14:ligatures w14:val="none"/>
        </w:rPr>
        <w:lastRenderedPageBreak/>
        <w:t xml:space="preserve">into marginal </w:t>
      </w:r>
      <w:r w:rsidR="00B6514C" w:rsidRPr="00594BFA">
        <w:rPr>
          <w:rFonts w:ascii="Times New Roman" w:eastAsia="Times New Roman" w:hAnsi="Times New Roman" w:cs="Times New Roman"/>
          <w:kern w:val="0"/>
          <w:sz w:val="24"/>
          <w:szCs w:val="24"/>
          <w:lang w:val="en-US" w:eastAsia="en-GB"/>
          <w14:ligatures w14:val="none"/>
        </w:rPr>
        <w:t>willingness-to-pay</w:t>
      </w:r>
      <w:r w:rsidRPr="00594BFA">
        <w:rPr>
          <w:rFonts w:ascii="Times New Roman" w:eastAsia="Times New Roman" w:hAnsi="Times New Roman" w:cs="Times New Roman"/>
          <w:kern w:val="0"/>
          <w:sz w:val="24"/>
          <w:szCs w:val="24"/>
          <w:lang w:val="en-US" w:eastAsia="en-GB"/>
          <w14:ligatures w14:val="none"/>
        </w:rPr>
        <w:t xml:space="preserve"> (MWTP) in monetary terms by scaling with 10 % of the mean reported monthly housing cost:</w:t>
      </w:r>
    </w:p>
    <w:p w14:paraId="67759A22" w14:textId="77777777" w:rsidR="00A830A9" w:rsidRPr="00594BFA" w:rsidRDefault="00000000" w:rsidP="00A830A9">
      <w:pPr>
        <w:spacing w:after="0" w:line="480" w:lineRule="auto"/>
        <w:rPr>
          <w:rFonts w:ascii="Times New Roman" w:eastAsia="Times New Roman" w:hAnsi="Times New Roman" w:cs="Times New Roman"/>
          <w:kern w:val="0"/>
          <w:sz w:val="24"/>
          <w:szCs w:val="24"/>
          <w:lang w:val="en-US" w:eastAsia="en-GB"/>
          <w14:ligatures w14:val="none"/>
        </w:rPr>
      </w:pPr>
      <m:oMathPara>
        <m:oMath>
          <m:eqArr>
            <m:eqArrPr>
              <m:maxDist m:val="1"/>
              <m:ctrlPr>
                <w:rPr>
                  <w:rFonts w:ascii="Cambria Math" w:eastAsia="Times New Roman" w:hAnsi="Cambria Math" w:cs="Times New Roman"/>
                  <w:i/>
                  <w:kern w:val="0"/>
                  <w:sz w:val="24"/>
                  <w:szCs w:val="24"/>
                  <w:lang w:val="en-US" w:eastAsia="en-GB"/>
                  <w14:ligatures w14:val="none"/>
                </w:rPr>
              </m:ctrlPr>
            </m:eqArrPr>
            <m:e>
              <m:sSub>
                <m:sSubPr>
                  <m:ctrlPr>
                    <w:rPr>
                      <w:rFonts w:ascii="Cambria Math" w:eastAsia="Times New Roman" w:hAnsi="Cambria Math" w:cs="Times New Roman"/>
                      <w:kern w:val="0"/>
                      <w:sz w:val="24"/>
                      <w:szCs w:val="24"/>
                      <w:lang w:val="en-US" w:eastAsia="en-GB"/>
                      <w14:ligatures w14:val="none"/>
                    </w:rPr>
                  </m:ctrlPr>
                </m:sSubPr>
                <m:e>
                  <m:r>
                    <w:rPr>
                      <w:rFonts w:ascii="Cambria Math" w:eastAsia="Times New Roman" w:hAnsi="Cambria Math" w:cs="Times New Roman"/>
                      <w:kern w:val="0"/>
                      <w:sz w:val="24"/>
                      <w:szCs w:val="24"/>
                      <w:lang w:val="en-US" w:eastAsia="en-GB"/>
                      <w14:ligatures w14:val="none"/>
                    </w:rPr>
                    <m:t>MWTP</m:t>
                  </m:r>
                </m:e>
                <m:sub>
                  <m:r>
                    <w:rPr>
                      <w:rFonts w:ascii="Cambria Math" w:eastAsia="Times New Roman" w:hAnsi="Cambria Math" w:cs="Times New Roman"/>
                      <w:kern w:val="0"/>
                      <w:sz w:val="24"/>
                      <w:szCs w:val="24"/>
                      <w:lang w:val="en-US" w:eastAsia="en-GB"/>
                      <w14:ligatures w14:val="none"/>
                    </w:rPr>
                    <m:t>k</m:t>
                  </m:r>
                </m:sub>
              </m:sSub>
              <m:r>
                <w:rPr>
                  <w:rFonts w:ascii="Cambria Math" w:eastAsia="Times New Roman" w:hAnsi="Cambria Math" w:cs="Times New Roman"/>
                  <w:kern w:val="0"/>
                  <w:sz w:val="24"/>
                  <w:szCs w:val="24"/>
                  <w:vertAlign w:val="subscript"/>
                  <w:lang w:val="en-US" w:eastAsia="en-GB"/>
                  <w14:ligatures w14:val="none"/>
                </w:rPr>
                <m:t xml:space="preserve"> </m:t>
              </m:r>
              <m:r>
                <m:rPr>
                  <m:sty m:val="p"/>
                </m:rPr>
                <w:rPr>
                  <w:rFonts w:ascii="Cambria Math" w:eastAsia="Times New Roman" w:hAnsi="Cambria Math" w:cs="Times New Roman"/>
                  <w:kern w:val="0"/>
                  <w:sz w:val="24"/>
                  <w:szCs w:val="24"/>
                  <w:lang w:val="en-US" w:eastAsia="en-GB"/>
                  <w14:ligatures w14:val="none"/>
                </w:rPr>
                <m:t xml:space="preserve">= </m:t>
              </m:r>
              <m:sSub>
                <m:sSubPr>
                  <m:ctrlPr>
                    <w:rPr>
                      <w:rFonts w:ascii="Cambria Math" w:eastAsia="Times New Roman" w:hAnsi="Cambria Math" w:cs="Times New Roman"/>
                      <w:kern w:val="0"/>
                      <w:sz w:val="24"/>
                      <w:szCs w:val="24"/>
                      <w:lang w:val="en-US" w:eastAsia="en-GB"/>
                      <w14:ligatures w14:val="none"/>
                    </w:rPr>
                  </m:ctrlPr>
                </m:sSubPr>
                <m:e>
                  <m:r>
                    <m:rPr>
                      <m:sty m:val="p"/>
                    </m:rPr>
                    <w:rPr>
                      <w:rFonts w:ascii="Cambria Math" w:eastAsia="Times New Roman" w:hAnsi="Cambria Math" w:cs="Times New Roman"/>
                      <w:kern w:val="0"/>
                      <w:sz w:val="24"/>
                      <w:szCs w:val="24"/>
                      <w:lang w:val="en-US" w:eastAsia="en-GB"/>
                      <w14:ligatures w14:val="none"/>
                    </w:rPr>
                    <m:t>MRS</m:t>
                  </m:r>
                  <m:r>
                    <w:rPr>
                      <w:rFonts w:ascii="Cambria Math" w:eastAsia="Times New Roman" w:hAnsi="Cambria Math" w:cs="Times New Roman"/>
                      <w:kern w:val="0"/>
                      <w:sz w:val="24"/>
                      <w:szCs w:val="24"/>
                      <w:vertAlign w:val="subscript"/>
                      <w:lang w:val="en-US" w:eastAsia="en-GB"/>
                      <w14:ligatures w14:val="none"/>
                    </w:rPr>
                    <m:t xml:space="preserve"> </m:t>
                  </m:r>
                </m:e>
                <m:sub>
                  <m:r>
                    <w:rPr>
                      <w:rFonts w:ascii="Cambria Math" w:eastAsia="Times New Roman" w:hAnsi="Cambria Math" w:cs="Times New Roman"/>
                      <w:kern w:val="0"/>
                      <w:sz w:val="24"/>
                      <w:szCs w:val="24"/>
                      <w:lang w:val="en-US" w:eastAsia="en-GB"/>
                      <w14:ligatures w14:val="none"/>
                    </w:rPr>
                    <m:t>k</m:t>
                  </m:r>
                </m:sub>
              </m:sSub>
              <m:r>
                <m:rPr>
                  <m:sty m:val="p"/>
                </m:rPr>
                <w:rPr>
                  <w:rFonts w:ascii="Cambria Math" w:eastAsia="Times New Roman" w:hAnsi="Cambria Math" w:cs="Times New Roman"/>
                  <w:kern w:val="0"/>
                  <w:sz w:val="24"/>
                  <w:szCs w:val="24"/>
                  <w:lang w:val="en-US" w:eastAsia="en-GB"/>
                  <w14:ligatures w14:val="none"/>
                </w:rPr>
                <m:t xml:space="preserve">× 0.10 × </m:t>
              </m:r>
              <m:r>
                <w:rPr>
                  <w:rFonts w:ascii="Cambria Math" w:eastAsia="Times New Roman" w:hAnsi="Cambria Math" w:cs="Times New Roman"/>
                  <w:kern w:val="0"/>
                  <w:sz w:val="24"/>
                  <w:szCs w:val="24"/>
                  <w:lang w:val="en-US" w:eastAsia="en-GB"/>
                  <w14:ligatures w14:val="none"/>
                </w:rPr>
                <m:t>Planned Cost#(7)</m:t>
              </m:r>
            </m:e>
          </m:eqArr>
        </m:oMath>
      </m:oMathPara>
    </w:p>
    <w:p w14:paraId="25A6F5F3" w14:textId="77777777" w:rsidR="00A830A9" w:rsidRPr="00594BFA" w:rsidRDefault="00A830A9" w:rsidP="003620F2">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where </w:t>
      </w:r>
      <w:r w:rsidRPr="00594BFA">
        <w:rPr>
          <w:rFonts w:ascii="Times New Roman" w:eastAsia="Times New Roman" w:hAnsi="Times New Roman" w:cs="Times New Roman"/>
          <w:i/>
          <w:iCs/>
          <w:kern w:val="0"/>
          <w:sz w:val="24"/>
          <w:szCs w:val="24"/>
          <w:lang w:val="en-US" w:eastAsia="en-GB"/>
          <w14:ligatures w14:val="none"/>
        </w:rPr>
        <w:t>Planned Cost</w:t>
      </w:r>
      <w:r w:rsidRPr="00594BFA">
        <w:rPr>
          <w:rFonts w:ascii="Times New Roman" w:eastAsia="Times New Roman" w:hAnsi="Times New Roman" w:cs="Times New Roman"/>
          <w:kern w:val="0"/>
          <w:sz w:val="24"/>
          <w:szCs w:val="24"/>
          <w:lang w:val="en-US" w:eastAsia="en-GB"/>
          <w14:ligatures w14:val="none"/>
        </w:rPr>
        <w:t xml:space="preserve"> denotes the </w:t>
      </w:r>
      <w:proofErr w:type="gramStart"/>
      <w:r w:rsidRPr="00594BFA">
        <w:rPr>
          <w:rFonts w:ascii="Times New Roman" w:eastAsia="Times New Roman" w:hAnsi="Times New Roman" w:cs="Times New Roman"/>
          <w:kern w:val="0"/>
          <w:sz w:val="24"/>
          <w:szCs w:val="24"/>
          <w:lang w:val="en-US" w:eastAsia="en-GB"/>
          <w14:ligatures w14:val="none"/>
        </w:rPr>
        <w:t>mean</w:t>
      </w:r>
      <w:proofErr w:type="gramEnd"/>
      <w:r w:rsidRPr="00594BFA">
        <w:rPr>
          <w:rFonts w:ascii="Times New Roman" w:eastAsia="Times New Roman" w:hAnsi="Times New Roman" w:cs="Times New Roman"/>
          <w:kern w:val="0"/>
          <w:sz w:val="24"/>
          <w:szCs w:val="24"/>
          <w:lang w:val="en-US" w:eastAsia="en-GB"/>
          <w14:ligatures w14:val="none"/>
        </w:rPr>
        <w:t xml:space="preserve"> of </w:t>
      </w:r>
      <w:proofErr w:type="gramStart"/>
      <w:r w:rsidRPr="00594BFA">
        <w:rPr>
          <w:rFonts w:ascii="Times New Roman" w:eastAsia="Times New Roman" w:hAnsi="Times New Roman" w:cs="Times New Roman"/>
          <w:kern w:val="0"/>
          <w:sz w:val="24"/>
          <w:szCs w:val="24"/>
          <w:lang w:val="en-US" w:eastAsia="en-GB"/>
          <w14:ligatures w14:val="none"/>
        </w:rPr>
        <w:t>respondents’</w:t>
      </w:r>
      <w:proofErr w:type="gramEnd"/>
      <w:r w:rsidRPr="00594BFA">
        <w:rPr>
          <w:rFonts w:ascii="Times New Roman" w:eastAsia="Times New Roman" w:hAnsi="Times New Roman" w:cs="Times New Roman"/>
          <w:kern w:val="0"/>
          <w:sz w:val="24"/>
          <w:szCs w:val="24"/>
          <w:lang w:val="en-US" w:eastAsia="en-GB"/>
          <w14:ligatures w14:val="none"/>
        </w:rPr>
        <w:t xml:space="preserve"> stated planned monthly housing cost, captured in the DCE questionnaire. These MWTP estimates represent the amount, in SEK per month, that respondents are willing to pay for improvements in each housing attribute, relative to their planned future housing costs.  </w:t>
      </w:r>
    </w:p>
    <w:p w14:paraId="11363ED3"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Mixed logit models were first estimated separately for homeowners and renters, with reference levels defined as the least preferred option for each attribute. </w:t>
      </w:r>
      <w:r w:rsidR="003620F2" w:rsidRPr="00594BFA">
        <w:rPr>
          <w:rFonts w:ascii="Times New Roman" w:eastAsia="Times New Roman" w:hAnsi="Times New Roman" w:cs="Times New Roman"/>
          <w:kern w:val="0"/>
          <w:sz w:val="24"/>
          <w:szCs w:val="24"/>
          <w:lang w:val="en-US" w:eastAsia="en-GB"/>
          <w14:ligatures w14:val="none"/>
        </w:rPr>
        <w:t xml:space="preserve">Interaction models were estimated for gender, age, and health status by interacting all attribute levels with the relevant subgroup indicator. Main effects represent the reference group, while interaction terms capture subgroup deviations. MWTP values and confidence intervals were derived using the delta method </w:t>
      </w:r>
      <w:r w:rsidRPr="00594BFA">
        <w:rPr>
          <w:rFonts w:ascii="Times New Roman" w:eastAsia="Times New Roman" w:hAnsi="Times New Roman" w:cs="Times New Roman"/>
          <w:kern w:val="0"/>
          <w:sz w:val="24"/>
          <w:szCs w:val="24"/>
          <w:lang w:val="en-US" w:eastAsia="en-GB"/>
          <w14:ligatures w14:val="none"/>
        </w:rPr>
        <w:t>(Wooldridge, 2010).</w:t>
      </w:r>
    </w:p>
    <w:p w14:paraId="6914EC6E" w14:textId="77777777"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To complement the mixed logit specification and identify unobserved segments of respondents with distinct preference structures, latent class logit models were estimated on the pooled sample using the gmnl package in R (Sarrias &amp; Daziano, 2017). Each model was fit using a multi-start procedure (8 or more random starting values, retaining the best converged log-likelihood) to guard against convergence to local optima. Models with two, three, and four classes were compared using log-likelihood, AIC, BIC, CAIC, and relative entropy (Supplementary Table S4); the four-class solution was selected as the preferred specification, as it improved AIC, BIC, and CAIC over the two- and three-class solutions despite the additional parameters, at a modest cost in relative entropy (class separation).</w:t>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roofErr w:type="spellStart"/>
      <w:r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p>
    <w:p w14:paraId="62BF389C" w14:textId="77777777" w:rsidR="003620F2" w:rsidRPr="00594BFA" w:rsidRDefault="003620F2"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5CEBB427" w14:textId="77777777" w:rsidR="00010272" w:rsidRPr="00594BFA" w:rsidRDefault="00010272"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Use of artificial intelligence tools</w:t>
      </w:r>
    </w:p>
    <w:p w14:paraId="596B2331" w14:textId="77777777" w:rsidR="00F67333" w:rsidRPr="00594BFA" w:rsidRDefault="00F67333" w:rsidP="00010272">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7E3205A2" w14:textId="77777777" w:rsidR="00010272" w:rsidRPr="00594BFA" w:rsidRDefault="00010272" w:rsidP="00010272">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This work used OpenAI’s ChatGPT (GPT-5.5) for language improvement. All content was reviewed and verified by the authors.</w:t>
      </w:r>
    </w:p>
    <w:p w14:paraId="600F1B33" w14:textId="77777777" w:rsidR="00010272" w:rsidRPr="00594BFA" w:rsidRDefault="00010272" w:rsidP="00010272">
      <w:pPr>
        <w:spacing w:after="0" w:line="480" w:lineRule="auto"/>
        <w:rPr>
          <w:rFonts w:ascii="Times New Roman" w:eastAsia="Times New Roman" w:hAnsi="Times New Roman" w:cs="Times New Roman"/>
          <w:kern w:val="0"/>
          <w:sz w:val="24"/>
          <w:szCs w:val="24"/>
          <w:lang w:val="en-US" w:eastAsia="en-GB"/>
          <w14:ligatures w14:val="none"/>
        </w:rPr>
      </w:pPr>
    </w:p>
    <w:p w14:paraId="3E935D67"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lastRenderedPageBreak/>
        <w:t>Results</w:t>
      </w:r>
    </w:p>
    <w:p w14:paraId="36730525" w14:textId="77777777" w:rsidR="00F67333" w:rsidRPr="00594BFA" w:rsidRDefault="00F67333"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75993647"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Sample characteristics</w:t>
      </w:r>
    </w:p>
    <w:p w14:paraId="11C439D5" w14:textId="77777777" w:rsidR="00F67333" w:rsidRPr="00594BFA" w:rsidRDefault="00F67333"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2FEB538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Of the 957 respondents, 790 were homeowners and 167 were renters. The sample was slightly majority female (55.3%), with most participants aged 65–74 years (43.5%) followed by those aged 75+ (36.5%). Most respondents were partnered (60.6%), retired (77.1%), and lived in apartments or condominium housing (63.0%). Most had attained at least three years of university education (47.6%) and lived in city or town locations (62.2%). Slightly more than half of the respondents described their health as “Very good” or better (50.04%). Households predominantly consisted of one or two members (95.2%), with 3.8% reporting three or more. The mean monthly household income was 52,000 SEK, and the average planned monthly housing cost was 10,000 SEK. Table 2 provides descriptive statistics for the study sample, disaggregated by housing tenure.</w:t>
      </w:r>
    </w:p>
    <w:p w14:paraId="71F14ABF"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0CD6B42"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2 ABOUT HERE]</w:t>
      </w:r>
    </w:p>
    <w:p w14:paraId="7398B62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449063E3"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Standard model results</w:t>
      </w:r>
    </w:p>
    <w:p w14:paraId="7254C903" w14:textId="77777777"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Table 3 presents the results from the standard mixed logit models estimated separately for renters and homeowners. A positive (negative) coefficient estimate indicates </w:t>
      </w:r>
      <w:proofErr w:type="gramStart"/>
      <w:r w:rsidRPr="00594BFA">
        <w:rPr>
          <w:rFonts w:ascii="Times New Roman" w:eastAsia="Times New Roman" w:hAnsi="Times New Roman" w:cs="Times New Roman"/>
          <w:kern w:val="0"/>
          <w:sz w:val="24"/>
          <w:szCs w:val="24"/>
          <w:lang w:val="en-US" w:eastAsia="en-GB"/>
          <w14:ligatures w14:val="none"/>
        </w:rPr>
        <w:t>and</w:t>
      </w:r>
      <w:proofErr w:type="gramEnd"/>
      <w:r w:rsidRPr="00594BFA">
        <w:rPr>
          <w:rFonts w:ascii="Times New Roman" w:eastAsia="Times New Roman" w:hAnsi="Times New Roman" w:cs="Times New Roman"/>
          <w:kern w:val="0"/>
          <w:sz w:val="24"/>
          <w:szCs w:val="24"/>
          <w:lang w:val="en-US" w:eastAsia="en-GB"/>
          <w14:ligatures w14:val="none"/>
        </w:rPr>
        <w:t xml:space="preserve"> increase (decrease) in the average respondent’s utility level.  Across both tenure groups, the estimated coefficients display the expected signs and are generally highly statistically significant. Significant standard deviations reported in columns three and five </w:t>
      </w:r>
      <w:proofErr w:type="gramStart"/>
      <w:r w:rsidRPr="00594BFA">
        <w:rPr>
          <w:rFonts w:ascii="Times New Roman" w:eastAsia="Times New Roman" w:hAnsi="Times New Roman" w:cs="Times New Roman"/>
          <w:kern w:val="0"/>
          <w:sz w:val="24"/>
          <w:szCs w:val="24"/>
          <w:lang w:val="en-US" w:eastAsia="en-GB"/>
          <w14:ligatures w14:val="none"/>
        </w:rPr>
        <w:t>provides</w:t>
      </w:r>
      <w:proofErr w:type="gramEnd"/>
      <w:r w:rsidRPr="00594BFA">
        <w:rPr>
          <w:rFonts w:ascii="Times New Roman" w:eastAsia="Times New Roman" w:hAnsi="Times New Roman" w:cs="Times New Roman"/>
          <w:kern w:val="0"/>
          <w:sz w:val="24"/>
          <w:szCs w:val="24"/>
          <w:lang w:val="en-US" w:eastAsia="en-GB"/>
          <w14:ligatures w14:val="none"/>
        </w:rPr>
        <w:t xml:space="preserve"> evidence of unobserved heterogeneity in the samples.</w:t>
      </w:r>
    </w:p>
    <w:p w14:paraId="39B07838"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4200C73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[INSERT TABLE 3 ABOUT HERE]</w:t>
      </w:r>
    </w:p>
    <w:p w14:paraId="32E6B49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57ABB0A4"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corresponding monetary MWTP estimates, derived from these coefficients, are reported alongside them in Table 3, with 95% confidence intervals. Among homeowners, MWTP values indicate substantial willingness-to-pay for improved accessibility and amenities.  For example, homeowners were willing to pay 397 SEK and 598 SEK per month to live within 500 meters, instead of 15 km, from the nearest green area and shops, respectively.  Parking amenities were highly valued.  Compared to no reserved parking, respondents were willing to pay 587 SEK for </w:t>
      </w:r>
      <w:proofErr w:type="gramStart"/>
      <w:r w:rsidRPr="00594BFA">
        <w:rPr>
          <w:rFonts w:ascii="Times New Roman" w:eastAsia="Times New Roman" w:hAnsi="Times New Roman" w:cs="Times New Roman"/>
          <w:kern w:val="0"/>
          <w:sz w:val="24"/>
          <w:szCs w:val="24"/>
          <w:lang w:val="en-US" w:eastAsia="en-GB"/>
          <w14:ligatures w14:val="none"/>
        </w:rPr>
        <w:t>a reserved</w:t>
      </w:r>
      <w:proofErr w:type="gramEnd"/>
      <w:r w:rsidRPr="00594BFA">
        <w:rPr>
          <w:rFonts w:ascii="Times New Roman" w:eastAsia="Times New Roman" w:hAnsi="Times New Roman" w:cs="Times New Roman"/>
          <w:kern w:val="0"/>
          <w:sz w:val="24"/>
          <w:szCs w:val="24"/>
          <w:lang w:val="en-US" w:eastAsia="en-GB"/>
          <w14:ligatures w14:val="none"/>
        </w:rPr>
        <w:t xml:space="preserve"> garage space and 478 SEK for reserved parking space. </w:t>
      </w:r>
    </w:p>
    <w:p w14:paraId="70A479F6"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Renters reveal similar preference patterns but with generally lower MWTP magnitudes.  Renters were willing to pay 346 SEK per month to reside within 500 m of green space and 408 SEK for proximity to shops within 500 meters. These values remain economically meaningful yet modestly below those of owners. Renters also show strong preferences for parking access, although their MWTP for a reserved garage (254 SEK) or space (249 SEK) is roughly half that of homeowners. As discussed below, this gap reflects renters' substantially greater price sensitivity rather than weaker underlying preferences for these attributes.</w:t>
      </w:r>
    </w:p>
    <w:p w14:paraId="70E7D244"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087A7D4F"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Observed heterogeneity model results</w:t>
      </w:r>
    </w:p>
    <w:p w14:paraId="359F5283" w14:textId="77777777" w:rsidR="00F67333" w:rsidRPr="00594BFA" w:rsidRDefault="00F67333" w:rsidP="00594BFA">
      <w:pPr>
        <w:spacing w:after="0" w:line="480" w:lineRule="auto"/>
        <w:rPr>
          <w:rFonts w:ascii="Times New Roman" w:eastAsia="Times New Roman" w:hAnsi="Times New Roman" w:cs="Times New Roman"/>
          <w:kern w:val="0"/>
          <w:sz w:val="24"/>
          <w:szCs w:val="24"/>
          <w:lang w:val="en-US" w:eastAsia="en-GB"/>
          <w14:ligatures w14:val="none"/>
        </w:rPr>
      </w:pPr>
    </w:p>
    <w:p w14:paraId="3C2D3A31"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Interaction models testing age, gender, and health revealed selective rather than pervasive heterogeneity in preferences (Supplementary Tables S1–S3). Among homeowners, older respondents were less cost-sensitive and placed greater value on public transport proximity (MWTP 136 SEK vs 15 SEK for a 600 m transit stop), while preferences for green space, shops, and parking were broadly stable across age groups; among renters, only proximity to shops varied significantly by age. Female homeowners placed greater value on </w:t>
      </w:r>
      <w:r w:rsidRPr="00594BFA">
        <w:rPr>
          <w:rFonts w:ascii="Times New Roman" w:eastAsia="Times New Roman" w:hAnsi="Times New Roman" w:cs="Times New Roman"/>
          <w:kern w:val="0"/>
          <w:sz w:val="24"/>
          <w:szCs w:val="24"/>
          <w:lang w:val="en-US" w:eastAsia="en-GB"/>
          <w14:ligatures w14:val="none"/>
        </w:rPr>
        <w:lastRenderedPageBreak/>
        <w:t>green space (478 vs 313 SEK) and transit proximity (288 vs 157 SEK), whereas male homeowners placed greater value on parking (624 vs 550 SEK for a garage); no gender interactions were significant among renters. Homeowners in better health placed greater value on green space proximity (416 vs 293 SEK), while those in poorer health, across both tenure groups, placed greater value on nearby public transport (164 vs 47 SEK among homeowners). Across all three dimensions, mobility-related attributes were more sensitive to subgroup circumstances than amenity preferences, which remained broadly valued throughout the sample.</w:t>
      </w:r>
    </w:p>
    <w:p w14:paraId="2E1E3208" w14:textId="77777777" w:rsidR="00832A7E" w:rsidRPr="00594BFA" w:rsidRDefault="00000000">
      <w:pPr>
        <w:rPr>
          <w:rFonts w:ascii="Times New Roman" w:hAnsi="Times New Roman" w:cs="Times New Roman"/>
          <w:lang w:val="en-US"/>
        </w:rPr>
      </w:pPr>
      <w:r w:rsidRPr="00594BFA">
        <w:rPr>
          <w:rFonts w:ascii="Times New Roman" w:hAnsi="Times New Roman" w:cs="Times New Roman"/>
          <w:b/>
          <w:i/>
          <w:lang w:val="en-US"/>
        </w:rPr>
        <w:t>Latent class results</w:t>
      </w:r>
    </w:p>
    <w:p w14:paraId="57723AA4" w14:textId="77777777"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Latent class models were estimated with two to four classes on the pooled sample using a multi-start procedure to avoid local-optimum solutions (Supplementary Table S4). Model fit improved with additional classes (BIC: LC-2 = 8,297.4; LC-3 = 7,996.5; LC-4 = 7,953.8), and the four-class solution improved on the three-class solution across AIC, BIC, and CAIC alike, despite the additional 10 parameters. Relative entropy was comparable across the three- and four-class solutions (0.697 and 0.677, respectively; both indicate acceptable class separation), so the four-class solution was retained as the preferred specification on model-fit grounds.</w:t>
      </w:r>
    </w:p>
    <w:p w14:paraId="54408855" w14:textId="77777777" w:rsidR="00832A7E" w:rsidRPr="00594BFA" w:rsidRDefault="00832A7E">
      <w:pPr>
        <w:rPr>
          <w:lang w:val="en-US"/>
        </w:rPr>
      </w:pPr>
    </w:p>
    <w:p w14:paraId="4ABB0E27" w14:textId="77777777" w:rsidR="00832A7E" w:rsidRPr="00594BFA" w:rsidRDefault="00000000">
      <w:pPr>
        <w:rPr>
          <w:rFonts w:ascii="Times New Roman" w:hAnsi="Times New Roman" w:cs="Times New Roman"/>
          <w:lang w:val="en-US"/>
        </w:rPr>
      </w:pPr>
      <w:r w:rsidRPr="00594BFA">
        <w:rPr>
          <w:rFonts w:ascii="Times New Roman" w:hAnsi="Times New Roman" w:cs="Times New Roman"/>
          <w:lang w:val="en-US"/>
        </w:rPr>
        <w:t>[INSERT TABLE 4 ABOUT HERE]</w:t>
      </w:r>
    </w:p>
    <w:p w14:paraId="6C644B1C" w14:textId="77777777" w:rsidR="00594BFA" w:rsidRPr="00594BFA" w:rsidRDefault="00594BFA">
      <w:pPr>
        <w:rPr>
          <w:rFonts w:ascii="Times New Roman" w:hAnsi="Times New Roman" w:cs="Times New Roman"/>
          <w:lang w:val="en-US"/>
        </w:rPr>
      </w:pPr>
    </w:p>
    <w:p w14:paraId="051ACFE1" w14:textId="62DF7C60" w:rsidR="00832A7E" w:rsidRPr="00594BFA" w:rsidRDefault="00000000" w:rsidP="00DF2978">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four classes captured qualitatively distinct preference structures (Table 4). Class 1 (“Shop-seekers,” 25.7% of respondents) placed the strongest weight on proximity to shops (MWTP 1,238 SEK at 500 m) and showed moderate price sensitivity, with little consistent preference for green space at greater distances. Class 2 (“Nature-seekers,” 22.1%) valued proximity to green space far more than any other class (MWTP 1,070 SEK at 500 m) but showed a small, statistically significant negative preference for a transit stop at 600 m. Class 3 (“Budget-constrained shop-seekers,” 16.6%, the smallest class) also favored shops at 500 m, but was by far the most price-sensitive segment: its price coefficient (-13.64) was roughly four to five times larger in magnitude than any other class, which compresses the monetary value (MWTP) attached to every attribute for this group even where the underlying utility coefficients resemble those of Class 1 — for these respondents, cost dominates the housing decision. Class 4 (“Car-centered,” 35.6%, the largest class) placed by far the greatest weight on parking (MWTP 1,179 SEK for a reserved garage) and was the least price-sensitive segment. Across all four classes, proximity to shops at 500 m and reserved parking were valued positively, but the relative ranking and magnitude of these valuations differed markedly by class. Based on modal class assignment, the Car-centered class was somewhat older (72.2 years vs 70.9, 70.8, and 71.2 for the other classes) and more likely to be homeowners (89.3% vs 85.2%, 79.8%, and 70.8%), while the Budget-constrained shop-seekers class was disproportionately female (67.5% vs 52.0%, 62.0%, and 47.6%) and least likely to be partnered (44.4% vs 62.0%, 60.1%, and 67.8%), though these demographic differences were modest relative to the differences in preference structure (Supplementary Table S5).</w:t>
      </w:r>
      <w:r w:rsidR="00594BFA"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594BFA"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70A598D1"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1BE47EF7"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Discussion and Implications</w:t>
      </w:r>
    </w:p>
    <w:p w14:paraId="27E79915" w14:textId="6A0FB862"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This study provides new evidence on how older adults in Sweden value housing and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attributes when considering relocation. Using a DCE embedded in the Prospective RELOC-AGE project, the analysis identifies strong preferences for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attributes and reveals meaningful heterogeneity across tenure, age, gender, and health. The findings extend prior </w:t>
      </w:r>
      <w:r w:rsidR="00DF2978" w:rsidRPr="00594BFA">
        <w:rPr>
          <w:rFonts w:ascii="Times New Roman" w:eastAsia="Times New Roman" w:hAnsi="Times New Roman" w:cs="Times New Roman"/>
          <w:kern w:val="0"/>
          <w:sz w:val="24"/>
          <w:szCs w:val="24"/>
          <w:lang w:val="en-US" w:eastAsia="en-GB"/>
          <w14:ligatures w14:val="none"/>
        </w:rPr>
        <w:t>behavioral</w:t>
      </w:r>
      <w:r w:rsidRPr="00594BFA">
        <w:rPr>
          <w:rFonts w:ascii="Times New Roman" w:eastAsia="Times New Roman" w:hAnsi="Times New Roman" w:cs="Times New Roman"/>
          <w:kern w:val="0"/>
          <w:sz w:val="24"/>
          <w:szCs w:val="24"/>
          <w:lang w:val="en-US" w:eastAsia="en-GB"/>
          <w14:ligatures w14:val="none"/>
        </w:rPr>
        <w:t xml:space="preserve"> housing research by quantifying trade-offs older adults are willing to make, rather than relying on descriptive or revealed-preference approaches that may be restricted due to data limitations.</w:t>
      </w:r>
    </w:p>
    <w:p w14:paraId="7AE87BD0"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Across both tenure groups, all non-cost attributes attracted positive coefficients, confirming that respondents systematically preferred locations with closer proximity to green areas, shops, and public transportation, as well as access to reserved parking. The negative and significant cost coefficient aligns with expectations, confirming that higher monthly housing costs reduce utility. The statistically significant standard deviation estimates for many random parameters provide strong evidence of unobserved preference heterogeneity in the sample, justifying the mixed logit specification over simpler models.</w:t>
      </w:r>
    </w:p>
    <w:p w14:paraId="43E2DBD0"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Homeowners expressed higher MWTP values than renters across almost all attributes, </w:t>
      </w:r>
      <w:r w:rsidRPr="00594BFA">
        <w:rPr>
          <w:rFonts w:ascii="Times New Roman" w:eastAsia="Times New Roman" w:hAnsi="Times New Roman" w:cs="Times New Roman"/>
          <w:kern w:val="0"/>
          <w:sz w:val="24"/>
          <w:szCs w:val="24"/>
          <w:lang w:val="en-US" w:eastAsia="en-GB"/>
          <w14:ligatures w14:val="none"/>
        </w:rPr>
        <w:lastRenderedPageBreak/>
        <w:t xml:space="preserve">but this pattern requires interpretation alongside the utility coefficients in Table 3, which show that renters assigned larger weights to green space, shop proximity, and transit than owners, indicating stronger underlying preferences for these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amenities. The lower MWTP values among renters therefore reflect their substantially greater price sensitivity, with the renter cost coefficient nearly twice as large in magnitude (9.54 vs 5.08), plausibly linked to tighter budget constraints rather than weaker preferences. Parking is the clearest illustration of this dynamic: it is the one attribute where owners show somewhat stronger underlying preferences, yet even here the MWTP gap substantially exceeds what the coefficient difference alone would suggest, again driven by differential price sensitivity. These results are consistent with the broader literature linking tenure to resource constraints and investment orientation (Caplan et al., 2021; </w:t>
      </w: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et al., 2024) and suggest that renters may value well-located housing as much as owners but face greater barriers to expressing that value in the market.</w:t>
      </w:r>
    </w:p>
    <w:p w14:paraId="7117A123" w14:textId="77777777"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Age, gender, and health shaped preferences in selective, attribute-specific ways rather than uniformly. Older homeowners were less cost-sensitive and placed greater value on public transport proximity, consistent with growing reliance on accessible transit as functional capacity changes (</w:t>
      </w:r>
      <w:proofErr w:type="spellStart"/>
      <w:r w:rsidRPr="00594BFA">
        <w:rPr>
          <w:rFonts w:ascii="Times New Roman" w:eastAsia="Times New Roman" w:hAnsi="Times New Roman" w:cs="Times New Roman"/>
          <w:kern w:val="0"/>
          <w:sz w:val="24"/>
          <w:szCs w:val="24"/>
          <w:lang w:val="en-US" w:eastAsia="en-GB"/>
          <w14:ligatures w14:val="none"/>
        </w:rPr>
        <w:t>Alsnih</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2003; Mollenkopf et al., 2004), while preferences for green space, shops, and parking remained broadly stable with age, reflecting the sustained role of green space in supporting wellbeing across the ageing spectrum (Paquet et al., 2013; Cohen-Cline et al., 2015; </w:t>
      </w:r>
      <w:proofErr w:type="spellStart"/>
      <w:r w:rsidRPr="00594BFA">
        <w:rPr>
          <w:rFonts w:ascii="Times New Roman" w:eastAsia="Times New Roman" w:hAnsi="Times New Roman" w:cs="Times New Roman"/>
          <w:kern w:val="0"/>
          <w:sz w:val="24"/>
          <w:szCs w:val="24"/>
          <w:lang w:val="en-US" w:eastAsia="en-GB"/>
          <w14:ligatures w14:val="none"/>
        </w:rPr>
        <w:t>Landby</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Godtman</w:t>
      </w:r>
      <w:proofErr w:type="spellEnd"/>
      <w:r w:rsidRPr="00594BFA">
        <w:rPr>
          <w:rFonts w:ascii="Times New Roman" w:eastAsia="Times New Roman" w:hAnsi="Times New Roman" w:cs="Times New Roman"/>
          <w:kern w:val="0"/>
          <w:sz w:val="24"/>
          <w:szCs w:val="24"/>
          <w:lang w:val="en-US" w:eastAsia="en-GB"/>
          <w14:ligatures w14:val="none"/>
        </w:rPr>
        <w:t xml:space="preserve"> Kling, 2025). Gender differences were concentrated among homeowners: women valued green space and transit access more highly, while men valued parking more highly, consistent with broader evidence on gendered mobility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(Polk, 2004; Rosenbloom, 2006; Scheiner &amp; Holz-Rau, 2017); no gender interactions were significant among renters, plausibly reflecting differences in financial resources and car ownership. Health status operated primarily through attributes linked to </w:t>
      </w:r>
      <w:r w:rsidRPr="00594BFA">
        <w:rPr>
          <w:rFonts w:ascii="Times New Roman" w:eastAsia="Times New Roman" w:hAnsi="Times New Roman" w:cs="Times New Roman"/>
          <w:kern w:val="0"/>
          <w:sz w:val="24"/>
          <w:szCs w:val="24"/>
          <w:lang w:val="en-US" w:eastAsia="en-GB"/>
          <w14:ligatures w14:val="none"/>
        </w:rPr>
        <w:lastRenderedPageBreak/>
        <w:t>mobility and environmental engagement: better health increased the value placed on green space, while poorer health increased the value placed on nearby transport, consistent with evidence linking declining health to greater reliance on accessible public transport (</w:t>
      </w:r>
      <w:proofErr w:type="spellStart"/>
      <w:r w:rsidRPr="00594BFA">
        <w:rPr>
          <w:rFonts w:ascii="Times New Roman" w:eastAsia="Times New Roman" w:hAnsi="Times New Roman" w:cs="Times New Roman"/>
          <w:kern w:val="0"/>
          <w:sz w:val="24"/>
          <w:szCs w:val="24"/>
          <w:lang w:val="en-US" w:eastAsia="en-GB"/>
          <w14:ligatures w14:val="none"/>
        </w:rPr>
        <w:t>Alsnih</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2003; Mollenkopf et al., 2004).</w:t>
      </w:r>
    </w:p>
    <w:p w14:paraId="191FAD22" w14:textId="77777777" w:rsidR="00594BFA" w:rsidRPr="00594BFA" w:rsidRDefault="00A830A9" w:rsidP="00594BFA">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Taken together, the interaction models reveal selective rather than pervasive preference heterogeneity. Observable socio-demographic characteristics explain limited variation in residential preferences, while the mixed logit random parameters capture substantial unobserved heterogeneity. The most consistent finding is that mobility-related attributes, particularly public transport access, are more sensitive to individual circumstances than amenity preferences such as green space and shops, which remain broadly valued across subgroups. This suggests that transport provision warrants more careful tailoring to subgroup needs, particularly for those in poorer health and advanced age. These results align with evidence from the United States and the Netherlands (Caplan et al., 2021; </w:t>
      </w: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&amp;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2022), while contributing new evidence from a Scandinavian context</w:t>
      </w:r>
      <w:r w:rsidR="008851D9" w:rsidRPr="00594BFA">
        <w:rPr>
          <w:rFonts w:ascii="Times New Roman" w:eastAsia="Times New Roman" w:hAnsi="Times New Roman" w:cs="Times New Roman"/>
          <w:kern w:val="0"/>
          <w:sz w:val="24"/>
          <w:szCs w:val="24"/>
          <w:lang w:val="en-US" w:eastAsia="en-GB"/>
          <w14:ligatures w14:val="none"/>
        </w:rPr>
        <w:t>.</w:t>
      </w:r>
    </w:p>
    <w:p w14:paraId="00836E29" w14:textId="118C0995" w:rsidR="00832A7E" w:rsidRPr="00594BFA" w:rsidRDefault="00000000" w:rsidP="00594BFA">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latent class results add an important complement to the interaction-based analysis above. Whereas observable characteristics such as age, gender, and health explained only modest, attribute-specific variation in preferences, the latent class models reveal four statistically well-separated segments defined primarily by unobserved taste differences: moderately price-sensitive “Shop-seekers”; a “Nature-seekers” segment relatively indifferent to close transit proximity; a small, extremely price-sensitive “Budget-constrained shop-seekers” segment for whom cost dominates the housing decision; and less price-sensitive, parking-oriented “Car-centred” respondents. These segments were only modestly associated with age, tenure, and gender (Supplementary Table S5), indicating that much of the heterogeneity in housing preferences among older adults considering relocation is not well captured by standard socio-demographic characteristics alone. This reinforces the value of combining regression-based and person-centered approaches to preference heterogeneity (Train, 2003) when designing age-inclusive housing policy. Housing and neighborhood interventions targeted solely by age, gender, or health status may therefore miss substantial variation in what older adults value, underscoring the potential benefit of a broader segmentation approach to designing diverse housing options.</w:t>
      </w:r>
      <w:proofErr w:type="spellStart"/>
      <w:r w:rsidR="00594BFA" w:rsidRPr="00594BFA">
        <w:rPr>
          <w:rFonts w:ascii="Times New Roman" w:eastAsia="Times New Roman" w:hAnsi="Times New Roman" w:cs="Times New Roman"/>
          <w:kern w:val="0"/>
          <w:sz w:val="24"/>
          <w:szCs w:val="24"/>
          <w:lang w:val="en-US" w:eastAsia="en-GB"/>
          <w14:ligatures w14:val="none"/>
        </w:rPr>
      </w:r>
      <w:proofErr w:type="spellEnd"/>
      <w:r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r w:rsidR="00DF2978" w:rsidRPr="00594BFA">
        <w:rPr>
          <w:rFonts w:ascii="Times New Roman" w:eastAsia="Times New Roman" w:hAnsi="Times New Roman" w:cs="Times New Roman"/>
          <w:kern w:val="0"/>
          <w:sz w:val="24"/>
          <w:szCs w:val="24"/>
          <w:lang w:val="en-US" w:eastAsia="en-GB"/>
          <w14:ligatures w14:val="none"/>
        </w:rPr>
      </w:r>
      <w:r w:rsidRPr="00594BFA">
        <w:rPr>
          <w:rFonts w:ascii="Times New Roman" w:eastAsia="Times New Roman" w:hAnsi="Times New Roman" w:cs="Times New Roman"/>
          <w:kern w:val="0"/>
          <w:sz w:val="24"/>
          <w:szCs w:val="24"/>
          <w:lang w:val="en-US" w:eastAsia="en-GB"/>
          <w14:ligatures w14:val="none"/>
        </w:rPr>
      </w:r>
    </w:p>
    <w:p w14:paraId="4D25DC15"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The results highlight the importance of integrating housing, transport, and land-use planning to support older adults considering relocation. Transport access plays a critical role in sustaining autonomy regardless of age, gender, or health. The income gradients implicit in MWTP differences across tenure groups highlight the risk that market mechanisms may exacerbate spatial inequality, limiting access to well-located housing for lower-income older adults, and policies that preserve affordability and tenure diversity in high-amenity locations are important to avoid reinforcing socioeconomic segregation in later life. Improving the usability of green environments through level pathways, seating, lighting, and safe crossings may further ensure that the wellbeing benefits of green space remain available across the ageing spectrum.</w:t>
      </w:r>
    </w:p>
    <w:p w14:paraId="4078EC85" w14:textId="77777777" w:rsidR="00B6514C" w:rsidRPr="00594BFA" w:rsidRDefault="00B6514C"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7A1675EA" w14:textId="77777777" w:rsidR="00A830A9" w:rsidRPr="00594BFA" w:rsidRDefault="00A830A9"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r w:rsidRPr="00594BFA">
        <w:rPr>
          <w:rFonts w:ascii="Times New Roman" w:eastAsia="Times New Roman" w:hAnsi="Times New Roman" w:cs="Arial"/>
          <w:b/>
          <w:bCs/>
          <w:i/>
          <w:iCs/>
          <w:kern w:val="0"/>
          <w:sz w:val="24"/>
          <w:szCs w:val="28"/>
          <w:lang w:val="en-US" w:eastAsia="en-GB"/>
          <w14:ligatures w14:val="none"/>
        </w:rPr>
        <w:t>Limitations</w:t>
      </w:r>
    </w:p>
    <w:p w14:paraId="4AB69CC6" w14:textId="77777777" w:rsidR="00B6514C" w:rsidRPr="00594BFA" w:rsidRDefault="00B6514C" w:rsidP="00A830A9">
      <w:pPr>
        <w:keepNext/>
        <w:spacing w:before="360" w:after="60" w:line="360" w:lineRule="auto"/>
        <w:ind w:right="567"/>
        <w:contextualSpacing/>
        <w:outlineLvl w:val="1"/>
        <w:rPr>
          <w:rFonts w:ascii="Times New Roman" w:eastAsia="Times New Roman" w:hAnsi="Times New Roman" w:cs="Arial"/>
          <w:b/>
          <w:bCs/>
          <w:i/>
          <w:iCs/>
          <w:kern w:val="0"/>
          <w:sz w:val="24"/>
          <w:szCs w:val="28"/>
          <w:lang w:val="en-US" w:eastAsia="en-GB"/>
          <w14:ligatures w14:val="none"/>
        </w:rPr>
      </w:pPr>
    </w:p>
    <w:p w14:paraId="5AA9410E" w14:textId="33ABCFF1"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Several limitations warrant consideration. The sample comprises individuals registered with an interest in relocating, skewed toward higher educational attainment and income, which limits generalizability. The attribute set focused on locational factors and did not capture dwelling-level characteristics or other attributes relevant to older adults such as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safety or social infrastructure. The exclusion of an opt-out option may introduce hypothetical bias, potentially inflating MWTP estimates, and monetary estimates are context-specific and may not </w:t>
      </w:r>
      <w:r w:rsidR="00DF2978" w:rsidRPr="00594BFA">
        <w:rPr>
          <w:rFonts w:ascii="Times New Roman" w:eastAsia="Times New Roman" w:hAnsi="Times New Roman" w:cs="Times New Roman"/>
          <w:kern w:val="0"/>
          <w:sz w:val="24"/>
          <w:szCs w:val="24"/>
          <w:lang w:val="en-US" w:eastAsia="en-GB"/>
          <w14:ligatures w14:val="none"/>
        </w:rPr>
        <w:t>generalize</w:t>
      </w:r>
      <w:r w:rsidRPr="00594BFA">
        <w:rPr>
          <w:rFonts w:ascii="Times New Roman" w:eastAsia="Times New Roman" w:hAnsi="Times New Roman" w:cs="Times New Roman"/>
          <w:kern w:val="0"/>
          <w:sz w:val="24"/>
          <w:szCs w:val="24"/>
          <w:lang w:val="en-US" w:eastAsia="en-GB"/>
          <w14:ligatures w14:val="none"/>
        </w:rPr>
        <w:t xml:space="preserve"> across different housing markets or welfare contexts.</w:t>
      </w:r>
    </w:p>
    <w:p w14:paraId="2A3189DC" w14:textId="1A289CEF"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The cross-sectional design precludes assessment of how preferences evolve over time, </w:t>
      </w:r>
      <w:r w:rsidRPr="00594BFA">
        <w:rPr>
          <w:rFonts w:ascii="Times New Roman" w:eastAsia="Times New Roman" w:hAnsi="Times New Roman" w:cs="Times New Roman"/>
          <w:kern w:val="0"/>
          <w:sz w:val="24"/>
          <w:szCs w:val="24"/>
          <w:lang w:val="en-US" w:eastAsia="en-GB"/>
          <w14:ligatures w14:val="none"/>
        </w:rPr>
        <w:lastRenderedPageBreak/>
        <w:t xml:space="preserve">and future research would benefit from longitudinal and mixed-method approaches. Additionally, MWTP estimates reflect both preference intensity and price sensitivity, and comparisons across tenure groups should be interpreted with this in mind, as differences in </w:t>
      </w:r>
      <w:r w:rsidR="00DF2978" w:rsidRPr="00594BFA">
        <w:rPr>
          <w:rFonts w:ascii="Times New Roman" w:eastAsia="Times New Roman" w:hAnsi="Times New Roman" w:cs="Times New Roman"/>
          <w:kern w:val="0"/>
          <w:sz w:val="24"/>
          <w:szCs w:val="24"/>
          <w:lang w:val="en-US" w:eastAsia="en-GB"/>
          <w14:ligatures w14:val="none"/>
        </w:rPr>
        <w:t>monetized</w:t>
      </w:r>
      <w:r w:rsidRPr="00594BFA">
        <w:rPr>
          <w:rFonts w:ascii="Times New Roman" w:eastAsia="Times New Roman" w:hAnsi="Times New Roman" w:cs="Times New Roman"/>
          <w:kern w:val="0"/>
          <w:sz w:val="24"/>
          <w:szCs w:val="24"/>
          <w:lang w:val="en-US" w:eastAsia="en-GB"/>
          <w14:ligatures w14:val="none"/>
        </w:rPr>
        <w:t xml:space="preserve"> valuations may partly capture divergent budget constraints rather than divergent preferences.</w:t>
      </w:r>
    </w:p>
    <w:p w14:paraId="4982733F" w14:textId="77777777" w:rsidR="00B6514C" w:rsidRPr="00594BFA" w:rsidRDefault="00B6514C"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p>
    <w:p w14:paraId="2C8C05D0"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Conclusion</w:t>
      </w:r>
    </w:p>
    <w:p w14:paraId="12C7D2CF" w14:textId="77777777" w:rsidR="00B6514C" w:rsidRPr="00594BFA" w:rsidRDefault="00B6514C"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p>
    <w:p w14:paraId="16EF054D" w14:textId="705B80F0" w:rsidR="00A830A9" w:rsidRPr="00594BFA" w:rsidRDefault="00A830A9" w:rsidP="00A830A9">
      <w:pPr>
        <w:widowControl w:val="0"/>
        <w:spacing w:before="240"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This study demonstrates that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attributes emerge as a central determinant of housing choice among older adults in Sweden. Proximity to shops, services, green space, and public transport consistently increases residential utility, as does access to dedicated parking, though the relative importance of these attributes varies by tenure, age, gender, and health status. Homeowners expressed higher </w:t>
      </w:r>
      <w:r w:rsidR="00B6514C" w:rsidRPr="00594BFA">
        <w:rPr>
          <w:rFonts w:ascii="Times New Roman" w:eastAsia="Times New Roman" w:hAnsi="Times New Roman" w:cs="Times New Roman"/>
          <w:kern w:val="0"/>
          <w:sz w:val="24"/>
          <w:szCs w:val="24"/>
          <w:lang w:val="en-US" w:eastAsia="en-GB"/>
          <w14:ligatures w14:val="none"/>
        </w:rPr>
        <w:t>willingness-to-pay</w:t>
      </w:r>
      <w:r w:rsidRPr="00594BFA">
        <w:rPr>
          <w:rFonts w:ascii="Times New Roman" w:eastAsia="Times New Roman" w:hAnsi="Times New Roman" w:cs="Times New Roman"/>
          <w:kern w:val="0"/>
          <w:sz w:val="24"/>
          <w:szCs w:val="24"/>
          <w:lang w:val="en-US" w:eastAsia="en-GB"/>
          <w14:ligatures w14:val="none"/>
        </w:rPr>
        <w:t xml:space="preserve"> across all attributes, a pattern driven in large part by renters' substantially greater price sensitivity rather than weaker underlying preferences, as utility coefficients confirm that renters assign at least equal weight to most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amenities. That renters display economically meaningful but systematically lower valuations across all attributes points to the risk that market mechanisms may limit access to well-located housing for lower-income older adults, reinforcing spatial inequality in later life.</w:t>
      </w:r>
    </w:p>
    <w:p w14:paraId="6AAB13FE" w14:textId="01E1F761" w:rsidR="00A830A9" w:rsidRPr="00594BFA" w:rsidRDefault="00A830A9" w:rsidP="00A830A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Observable socio-demographic characteristics explain only a modest share of preference variation. Where subgroup differences do emerge, they are concentrated in mobility-related attributes, particularly public transport access, which is more sensitive to age and health status than preferences for green space or shops, which remain broadly stable across groups. This suggests that while the general case for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accessibility is robust across the older adult population, transport provision warrants particular attention as a </w:t>
      </w:r>
      <w:r w:rsidRPr="00594BFA">
        <w:rPr>
          <w:rFonts w:ascii="Times New Roman" w:eastAsia="Times New Roman" w:hAnsi="Times New Roman" w:cs="Times New Roman"/>
          <w:kern w:val="0"/>
          <w:sz w:val="24"/>
          <w:szCs w:val="24"/>
          <w:lang w:val="en-US" w:eastAsia="en-GB"/>
          <w14:ligatures w14:val="none"/>
        </w:rPr>
        <w:lastRenderedPageBreak/>
        <w:t>policy lever for supporting autonomy among those in poorer health and advanced age.</w:t>
      </w:r>
    </w:p>
    <w:p w14:paraId="402AD9E1" w14:textId="3DACA94D" w:rsidR="00A830A9" w:rsidRPr="00594BFA" w:rsidRDefault="00A830A9" w:rsidP="00072029">
      <w:pPr>
        <w:widowControl w:val="0"/>
        <w:spacing w:before="240" w:after="0" w:line="480" w:lineRule="auto"/>
        <w:ind w:firstLine="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For policymakers and planners, the findings reinforce the importance of integrating housing, transport, and land-use planning in support of older adults. Age-friendly housing strategies should prioritize </w:t>
      </w:r>
      <w:r w:rsidR="00DF2978" w:rsidRPr="00594BFA">
        <w:rPr>
          <w:rFonts w:ascii="Times New Roman" w:eastAsia="Times New Roman" w:hAnsi="Times New Roman" w:cs="Times New Roman"/>
          <w:kern w:val="0"/>
          <w:sz w:val="24"/>
          <w:szCs w:val="24"/>
          <w:lang w:val="en-US" w:eastAsia="en-GB"/>
          <w14:ligatures w14:val="none"/>
        </w:rPr>
        <w:t>neighborhood</w:t>
      </w:r>
      <w:r w:rsidRPr="00594BFA">
        <w:rPr>
          <w:rFonts w:ascii="Times New Roman" w:eastAsia="Times New Roman" w:hAnsi="Times New Roman" w:cs="Times New Roman"/>
          <w:kern w:val="0"/>
          <w:sz w:val="24"/>
          <w:szCs w:val="24"/>
          <w:lang w:val="en-US" w:eastAsia="en-GB"/>
          <w14:ligatures w14:val="none"/>
        </w:rPr>
        <w:t xml:space="preserve"> context alongside dwelling design, ensuring that accessible housing is located within reasonable distances of essential services and green spaces. Policies that preserve affordability and tenure diversity in high-amenity locations are equally important to avoid reinforcing socioeconomic segregation in later life.</w:t>
      </w:r>
      <w:r w:rsidR="00072029"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kern w:val="0"/>
          <w:sz w:val="24"/>
          <w:szCs w:val="24"/>
          <w:lang w:val="en-US" w:eastAsia="en-GB"/>
          <w14:ligatures w14:val="none"/>
        </w:rPr>
        <w:t xml:space="preserve">As the global population continues to age, </w:t>
      </w:r>
      <w:r w:rsidR="00DF2978" w:rsidRPr="00594BFA">
        <w:rPr>
          <w:rFonts w:ascii="Times New Roman" w:eastAsia="Times New Roman" w:hAnsi="Times New Roman" w:cs="Times New Roman"/>
          <w:kern w:val="0"/>
          <w:sz w:val="24"/>
          <w:szCs w:val="24"/>
          <w:lang w:val="en-US" w:eastAsia="en-GB"/>
          <w14:ligatures w14:val="none"/>
        </w:rPr>
        <w:t>recognizing</w:t>
      </w:r>
      <w:r w:rsidRPr="00594BFA">
        <w:rPr>
          <w:rFonts w:ascii="Times New Roman" w:eastAsia="Times New Roman" w:hAnsi="Times New Roman" w:cs="Times New Roman"/>
          <w:kern w:val="0"/>
          <w:sz w:val="24"/>
          <w:szCs w:val="24"/>
          <w:lang w:val="en-US" w:eastAsia="en-GB"/>
          <w14:ligatures w14:val="none"/>
        </w:rPr>
        <w:t xml:space="preserve"> and planning for the diversity of later-life residential preferences becomes increasingly important for supporting independence, wellbeing, and social inclusion.</w:t>
      </w:r>
      <w:r w:rsidRPr="00594BFA">
        <w:rPr>
          <w:rFonts w:ascii="Times New Roman" w:eastAsia="Times New Roman" w:hAnsi="Times New Roman" w:cs="Times New Roman"/>
          <w:kern w:val="0"/>
          <w:sz w:val="24"/>
          <w:szCs w:val="24"/>
          <w:lang w:val="en-US" w:eastAsia="en-GB"/>
          <w14:ligatures w14:val="none"/>
        </w:rPr>
        <w:br w:type="page"/>
      </w:r>
    </w:p>
    <w:p w14:paraId="46F56813" w14:textId="77777777" w:rsidR="00A830A9" w:rsidRPr="00594BFA" w:rsidRDefault="00A830A9" w:rsidP="00A830A9">
      <w:pPr>
        <w:spacing w:after="0" w:line="480" w:lineRule="auto"/>
        <w:ind w:firstLine="720"/>
        <w:rPr>
          <w:rFonts w:ascii="Times New Roman" w:eastAsia="Times New Roman" w:hAnsi="Times New Roman" w:cs="Times New Roman"/>
          <w:kern w:val="0"/>
          <w:sz w:val="24"/>
          <w:szCs w:val="24"/>
          <w:lang w:val="en-US" w:eastAsia="en-GB"/>
          <w14:ligatures w14:val="none"/>
        </w:rPr>
      </w:pPr>
    </w:p>
    <w:p w14:paraId="4FA68ADA" w14:textId="77777777" w:rsidR="00A830A9" w:rsidRPr="00594BFA" w:rsidRDefault="00A830A9" w:rsidP="00A830A9">
      <w:pPr>
        <w:keepNext/>
        <w:spacing w:before="360" w:after="60" w:line="360" w:lineRule="auto"/>
        <w:ind w:right="567"/>
        <w:contextualSpacing/>
        <w:outlineLvl w:val="0"/>
        <w:rPr>
          <w:rFonts w:ascii="Times New Roman" w:eastAsia="Times New Roman" w:hAnsi="Times New Roman" w:cs="Arial"/>
          <w:b/>
          <w:bCs/>
          <w:kern w:val="32"/>
          <w:sz w:val="24"/>
          <w:szCs w:val="32"/>
          <w:lang w:val="en-US" w:eastAsia="en-GB"/>
          <w14:ligatures w14:val="none"/>
        </w:rPr>
      </w:pPr>
      <w:r w:rsidRPr="00594BFA">
        <w:rPr>
          <w:rFonts w:ascii="Times New Roman" w:eastAsia="Times New Roman" w:hAnsi="Times New Roman" w:cs="Arial"/>
          <w:b/>
          <w:bCs/>
          <w:kern w:val="32"/>
          <w:sz w:val="24"/>
          <w:szCs w:val="32"/>
          <w:lang w:val="en-US" w:eastAsia="en-GB"/>
          <w14:ligatures w14:val="none"/>
        </w:rPr>
        <w:t>References</w:t>
      </w:r>
    </w:p>
    <w:p w14:paraId="4329A0E4"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Abramsson, M., &amp; Andersson, E. K. (2012). Residential Mobility Patterns of Elderly—Leaving the House for an Apartment.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27</w:t>
      </w:r>
      <w:r w:rsidRPr="00594BFA">
        <w:rPr>
          <w:rFonts w:ascii="Times New Roman" w:eastAsia="Times New Roman" w:hAnsi="Times New Roman" w:cs="Times New Roman"/>
          <w:kern w:val="0"/>
          <w:sz w:val="24"/>
          <w:szCs w:val="24"/>
          <w:lang w:val="en-US" w:eastAsia="en-GB"/>
          <w14:ligatures w14:val="none"/>
        </w:rPr>
        <w:t>(5), 582–604. https://doi.org/10.1080/02673037.2012.697553</w:t>
      </w:r>
    </w:p>
    <w:p w14:paraId="2F0E208C"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Abramsson, M., &amp; Andersson, E. K. (2015). Changing locations: Central or peripheral moves of seniors? </w:t>
      </w:r>
      <w:r w:rsidRPr="00594BFA">
        <w:rPr>
          <w:rFonts w:ascii="Times New Roman" w:eastAsia="Times New Roman" w:hAnsi="Times New Roman" w:cs="Times New Roman"/>
          <w:i/>
          <w:iCs/>
          <w:kern w:val="0"/>
          <w:sz w:val="24"/>
          <w:szCs w:val="24"/>
          <w:lang w:val="en-US" w:eastAsia="en-GB"/>
          <w14:ligatures w14:val="none"/>
        </w:rPr>
        <w:t>Journal of Housing and the Built Environment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30</w:t>
      </w:r>
      <w:r w:rsidRPr="00594BFA">
        <w:rPr>
          <w:rFonts w:ascii="Times New Roman" w:eastAsia="Times New Roman" w:hAnsi="Times New Roman" w:cs="Times New Roman"/>
          <w:kern w:val="0"/>
          <w:sz w:val="24"/>
          <w:szCs w:val="24"/>
          <w:lang w:val="en-US" w:eastAsia="en-GB"/>
          <w14:ligatures w14:val="none"/>
        </w:rPr>
        <w:t>(4), 535–551. https://doi.org/10.1007/s10901-014-9427-0</w:t>
      </w:r>
    </w:p>
    <w:p w14:paraId="4C036CE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Aitken, D., Willis, K., &amp; Gilroy, R. (2024). Do older homebuyers prefer dwellings with accessibility and adaptability features? Findings from an exploratory study.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39</w:t>
      </w:r>
      <w:r w:rsidRPr="00594BFA">
        <w:rPr>
          <w:rFonts w:ascii="Times New Roman" w:eastAsia="Times New Roman" w:hAnsi="Times New Roman" w:cs="Times New Roman"/>
          <w:kern w:val="0"/>
          <w:sz w:val="24"/>
          <w:szCs w:val="24"/>
          <w:lang w:val="en-US" w:eastAsia="en-GB"/>
          <w14:ligatures w14:val="none"/>
        </w:rPr>
        <w:t>(3), 608–630. https://doi.org/10.1080/02673037.2022.2060944</w:t>
      </w:r>
    </w:p>
    <w:p w14:paraId="3A75D62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Alsnih</w:t>
      </w:r>
      <w:proofErr w:type="spellEnd"/>
      <w:r w:rsidRPr="00594BFA">
        <w:rPr>
          <w:rFonts w:ascii="Times New Roman" w:eastAsia="Times New Roman" w:hAnsi="Times New Roman" w:cs="Times New Roman"/>
          <w:kern w:val="0"/>
          <w:sz w:val="24"/>
          <w:szCs w:val="24"/>
          <w:lang w:val="en-US" w:eastAsia="en-GB"/>
          <w14:ligatures w14:val="none"/>
        </w:rPr>
        <w:t xml:space="preserve">, R., &amp; </w:t>
      </w: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D. A. (2003). The mobility and accessibility expectations of seniors in an aging population. </w:t>
      </w:r>
      <w:r w:rsidRPr="00594BFA">
        <w:rPr>
          <w:rFonts w:ascii="Times New Roman" w:eastAsia="Times New Roman" w:hAnsi="Times New Roman" w:cs="Times New Roman"/>
          <w:i/>
          <w:iCs/>
          <w:kern w:val="0"/>
          <w:sz w:val="24"/>
          <w:szCs w:val="24"/>
          <w:lang w:val="en-US" w:eastAsia="en-GB"/>
          <w14:ligatures w14:val="none"/>
        </w:rPr>
        <w:t>Transportation Research Part A: Policy and Practice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37</w:t>
      </w:r>
      <w:r w:rsidRPr="00594BFA">
        <w:rPr>
          <w:rFonts w:ascii="Times New Roman" w:eastAsia="Times New Roman" w:hAnsi="Times New Roman" w:cs="Times New Roman"/>
          <w:kern w:val="0"/>
          <w:sz w:val="24"/>
          <w:szCs w:val="24"/>
          <w:lang w:val="en-US" w:eastAsia="en-GB"/>
          <w14:ligatures w14:val="none"/>
        </w:rPr>
        <w:t>(10), 903–916. https://doi.org/10.1016/S0965-8564(03)00073-9</w:t>
      </w:r>
    </w:p>
    <w:p w14:paraId="55A54FC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Ardeshiri</w:t>
      </w:r>
      <w:proofErr w:type="spellEnd"/>
      <w:r w:rsidRPr="00594BFA">
        <w:rPr>
          <w:rFonts w:ascii="Times New Roman" w:eastAsia="Times New Roman" w:hAnsi="Times New Roman" w:cs="Times New Roman"/>
          <w:kern w:val="0"/>
          <w:sz w:val="24"/>
          <w:szCs w:val="24"/>
          <w:lang w:val="en-US" w:eastAsia="en-GB"/>
          <w14:ligatures w14:val="none"/>
        </w:rPr>
        <w:t xml:space="preserve">, A., Washington, L., Vij, A., Leishman, C., &amp; Beer, A. (2024). Housing preferences for owner-occupied versus investment properties in Sydney, Australia.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0</w:t>
      </w:r>
      <w:r w:rsidRPr="00594BFA">
        <w:rPr>
          <w:rFonts w:ascii="Times New Roman" w:eastAsia="Times New Roman" w:hAnsi="Times New Roman" w:cs="Times New Roman"/>
          <w:kern w:val="0"/>
          <w:sz w:val="24"/>
          <w:szCs w:val="24"/>
          <w:lang w:val="en-US" w:eastAsia="en-GB"/>
          <w14:ligatures w14:val="none"/>
        </w:rPr>
        <w:t>(0), 1–23. https://doi.org/10.1080/02673037.2024.2428749</w:t>
      </w:r>
    </w:p>
    <w:p w14:paraId="41F2C60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Caplan, A. J., </w:t>
      </w:r>
      <w:proofErr w:type="spellStart"/>
      <w:r w:rsidRPr="00594BFA">
        <w:rPr>
          <w:rFonts w:ascii="Times New Roman" w:eastAsia="Times New Roman" w:hAnsi="Times New Roman" w:cs="Times New Roman"/>
          <w:kern w:val="0"/>
          <w:sz w:val="24"/>
          <w:szCs w:val="24"/>
          <w:lang w:val="en-US" w:eastAsia="en-GB"/>
          <w14:ligatures w14:val="none"/>
        </w:rPr>
        <w:t>Akhundjanov</w:t>
      </w:r>
      <w:proofErr w:type="spellEnd"/>
      <w:r w:rsidRPr="00594BFA">
        <w:rPr>
          <w:rFonts w:ascii="Times New Roman" w:eastAsia="Times New Roman" w:hAnsi="Times New Roman" w:cs="Times New Roman"/>
          <w:kern w:val="0"/>
          <w:sz w:val="24"/>
          <w:szCs w:val="24"/>
          <w:lang w:val="en-US" w:eastAsia="en-GB"/>
          <w14:ligatures w14:val="none"/>
        </w:rPr>
        <w:t xml:space="preserve">, S. B., &amp; Toll, K. (2021). Measuring heterogeneous preferences for residential amenities. </w:t>
      </w:r>
      <w:r w:rsidRPr="00594BFA">
        <w:rPr>
          <w:rFonts w:ascii="Times New Roman" w:eastAsia="Times New Roman" w:hAnsi="Times New Roman" w:cs="Times New Roman"/>
          <w:i/>
          <w:iCs/>
          <w:kern w:val="0"/>
          <w:sz w:val="24"/>
          <w:szCs w:val="24"/>
          <w:lang w:val="en-US" w:eastAsia="en-GB"/>
          <w14:ligatures w14:val="none"/>
        </w:rPr>
        <w:t>Regional Science and Urban Economics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87</w:t>
      </w:r>
      <w:r w:rsidRPr="00594BFA">
        <w:rPr>
          <w:rFonts w:ascii="Times New Roman" w:eastAsia="Times New Roman" w:hAnsi="Times New Roman" w:cs="Times New Roman"/>
          <w:kern w:val="0"/>
          <w:sz w:val="24"/>
          <w:szCs w:val="24"/>
          <w:lang w:val="en-US" w:eastAsia="en-GB"/>
          <w14:ligatures w14:val="none"/>
        </w:rPr>
        <w:t>, 103646. https://doi.org/10.1016/j.regsciurbeco.2021.103646</w:t>
      </w:r>
    </w:p>
    <w:p w14:paraId="19A31B7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Chaulagain</w:t>
      </w:r>
      <w:proofErr w:type="spellEnd"/>
      <w:r w:rsidRPr="00594BFA">
        <w:rPr>
          <w:rFonts w:ascii="Times New Roman" w:eastAsia="Times New Roman" w:hAnsi="Times New Roman" w:cs="Times New Roman"/>
          <w:kern w:val="0"/>
          <w:sz w:val="24"/>
          <w:szCs w:val="24"/>
          <w:lang w:val="en-US" w:eastAsia="en-GB"/>
          <w14:ligatures w14:val="none"/>
        </w:rPr>
        <w:t xml:space="preserve">, S. (2025). Unveiling the Relocation Journey: A Qualitative Study of Key Factors Influencing Older Adults’ Decisions to Relocate to Senior Living Communities. </w:t>
      </w:r>
      <w:r w:rsidRPr="00594BFA">
        <w:rPr>
          <w:rFonts w:ascii="Times New Roman" w:eastAsia="Times New Roman" w:hAnsi="Times New Roman" w:cs="Times New Roman"/>
          <w:i/>
          <w:iCs/>
          <w:kern w:val="0"/>
          <w:sz w:val="24"/>
          <w:szCs w:val="24"/>
          <w:lang w:val="en-US" w:eastAsia="en-GB"/>
          <w14:ligatures w14:val="none"/>
        </w:rPr>
        <w:t>Journal of Ageing and Longevity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w:t>
      </w:r>
      <w:r w:rsidRPr="00594BFA">
        <w:rPr>
          <w:rFonts w:ascii="Times New Roman" w:eastAsia="Times New Roman" w:hAnsi="Times New Roman" w:cs="Times New Roman"/>
          <w:kern w:val="0"/>
          <w:sz w:val="24"/>
          <w:szCs w:val="24"/>
          <w:lang w:val="en-US" w:eastAsia="en-GB"/>
          <w14:ligatures w14:val="none"/>
        </w:rPr>
        <w:t>(2), 13. https://doi.org/10.3390/jal5020013</w:t>
      </w:r>
    </w:p>
    <w:p w14:paraId="21614474"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Clark, W., Deurloo, M., &amp; Dieleman, F. (2006). Residential Mobility and </w:t>
      </w:r>
      <w:proofErr w:type="spellStart"/>
      <w:r w:rsidRPr="00594BFA">
        <w:rPr>
          <w:rFonts w:ascii="Times New Roman" w:eastAsia="Times New Roman" w:hAnsi="Times New Roman" w:cs="Times New Roman"/>
          <w:kern w:val="0"/>
          <w:sz w:val="24"/>
          <w:szCs w:val="24"/>
          <w:lang w:val="en-US" w:eastAsia="en-GB"/>
          <w14:ligatures w14:val="none"/>
        </w:rPr>
        <w:t>Neighbourhood</w:t>
      </w:r>
      <w:proofErr w:type="spellEnd"/>
      <w:r w:rsidRPr="00594BFA">
        <w:rPr>
          <w:rFonts w:ascii="Times New Roman" w:eastAsia="Times New Roman" w:hAnsi="Times New Roman" w:cs="Times New Roman"/>
          <w:kern w:val="0"/>
          <w:sz w:val="24"/>
          <w:szCs w:val="24"/>
          <w:lang w:val="en-US" w:eastAsia="en-GB"/>
          <w14:ligatures w14:val="none"/>
        </w:rPr>
        <w:t xml:space="preserve"> Outcomes.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21</w:t>
      </w:r>
      <w:r w:rsidRPr="00594BFA">
        <w:rPr>
          <w:rFonts w:ascii="Times New Roman" w:eastAsia="Times New Roman" w:hAnsi="Times New Roman" w:cs="Times New Roman"/>
          <w:kern w:val="0"/>
          <w:sz w:val="24"/>
          <w:szCs w:val="24"/>
          <w:lang w:val="en-US" w:eastAsia="en-GB"/>
          <w14:ligatures w14:val="none"/>
        </w:rPr>
        <w:t>(3), 323–342. https://doi.org/10.1080/02673030600585946</w:t>
      </w:r>
    </w:p>
    <w:p w14:paraId="2B8BCDAA"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Cohen-Cline, H., </w:t>
      </w:r>
      <w:proofErr w:type="spellStart"/>
      <w:r w:rsidRPr="00594BFA">
        <w:rPr>
          <w:rFonts w:ascii="Times New Roman" w:eastAsia="Times New Roman" w:hAnsi="Times New Roman" w:cs="Times New Roman"/>
          <w:kern w:val="0"/>
          <w:sz w:val="24"/>
          <w:szCs w:val="24"/>
          <w:lang w:val="en-US" w:eastAsia="en-GB"/>
          <w14:ligatures w14:val="none"/>
        </w:rPr>
        <w:t>Turkheimer</w:t>
      </w:r>
      <w:proofErr w:type="spellEnd"/>
      <w:r w:rsidRPr="00594BFA">
        <w:rPr>
          <w:rFonts w:ascii="Times New Roman" w:eastAsia="Times New Roman" w:hAnsi="Times New Roman" w:cs="Times New Roman"/>
          <w:kern w:val="0"/>
          <w:sz w:val="24"/>
          <w:szCs w:val="24"/>
          <w:lang w:val="en-US" w:eastAsia="en-GB"/>
          <w14:ligatures w14:val="none"/>
        </w:rPr>
        <w:t xml:space="preserve">, E., &amp; Duncan, G. E. (2015). Access to green space, physical activity and mental health: A twin study. </w:t>
      </w:r>
      <w:r w:rsidRPr="00594BFA">
        <w:rPr>
          <w:rFonts w:ascii="Times New Roman" w:eastAsia="Times New Roman" w:hAnsi="Times New Roman" w:cs="Times New Roman"/>
          <w:i/>
          <w:iCs/>
          <w:kern w:val="0"/>
          <w:sz w:val="24"/>
          <w:szCs w:val="24"/>
          <w:lang w:val="en-US" w:eastAsia="en-GB"/>
          <w14:ligatures w14:val="none"/>
        </w:rPr>
        <w:t>Journal of Epidemiology and Community Health</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69</w:t>
      </w:r>
      <w:r w:rsidRPr="00594BFA">
        <w:rPr>
          <w:rFonts w:ascii="Times New Roman" w:eastAsia="Times New Roman" w:hAnsi="Times New Roman" w:cs="Times New Roman"/>
          <w:kern w:val="0"/>
          <w:sz w:val="24"/>
          <w:szCs w:val="24"/>
          <w:lang w:val="en-US" w:eastAsia="en-GB"/>
          <w14:ligatures w14:val="none"/>
        </w:rPr>
        <w:t>(6), 523–529. https://doi.org/10.1136/jech-2014-204667</w:t>
      </w:r>
    </w:p>
    <w:p w14:paraId="2D5DBD1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Damhuis</w:t>
      </w:r>
      <w:proofErr w:type="spellEnd"/>
      <w:r w:rsidRPr="00594BFA">
        <w:rPr>
          <w:rFonts w:ascii="Times New Roman" w:eastAsia="Times New Roman" w:hAnsi="Times New Roman" w:cs="Times New Roman"/>
          <w:kern w:val="0"/>
          <w:sz w:val="24"/>
          <w:szCs w:val="24"/>
          <w:lang w:val="en-US" w:eastAsia="en-GB"/>
          <w14:ligatures w14:val="none"/>
        </w:rPr>
        <w:t xml:space="preserve">, R., &amp; Van Gent, W. (2024). The period effects of crisis and recovery on life course and residential mobility of owner-occupants.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39</w:t>
      </w:r>
      <w:r w:rsidRPr="00594BFA">
        <w:rPr>
          <w:rFonts w:ascii="Times New Roman" w:eastAsia="Times New Roman" w:hAnsi="Times New Roman" w:cs="Times New Roman"/>
          <w:kern w:val="0"/>
          <w:sz w:val="24"/>
          <w:szCs w:val="24"/>
          <w:lang w:val="en-US" w:eastAsia="en-GB"/>
          <w14:ligatures w14:val="none"/>
        </w:rPr>
        <w:t>(4), 1066–1086. https://doi.org/10.1080/02673037.2022.2101626</w:t>
      </w:r>
    </w:p>
    <w:p w14:paraId="002BD60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De Jong, P., </w:t>
      </w:r>
      <w:proofErr w:type="spellStart"/>
      <w:r w:rsidRPr="00594BFA">
        <w:rPr>
          <w:rFonts w:ascii="Times New Roman" w:eastAsia="Times New Roman" w:hAnsi="Times New Roman" w:cs="Times New Roman"/>
          <w:kern w:val="0"/>
          <w:sz w:val="24"/>
          <w:szCs w:val="24"/>
          <w:lang w:val="en-US" w:eastAsia="en-GB"/>
          <w14:ligatures w14:val="none"/>
        </w:rPr>
        <w:t>Rouwendal</w:t>
      </w:r>
      <w:proofErr w:type="spellEnd"/>
      <w:r w:rsidRPr="00594BFA">
        <w:rPr>
          <w:rFonts w:ascii="Times New Roman" w:eastAsia="Times New Roman" w:hAnsi="Times New Roman" w:cs="Times New Roman"/>
          <w:kern w:val="0"/>
          <w:sz w:val="24"/>
          <w:szCs w:val="24"/>
          <w:lang w:val="en-US" w:eastAsia="en-GB"/>
          <w14:ligatures w14:val="none"/>
        </w:rPr>
        <w:t xml:space="preserve">, J., &amp; Brouwer, A. (2022). </w:t>
      </w:r>
      <w:proofErr w:type="gramStart"/>
      <w:r w:rsidRPr="00594BFA">
        <w:rPr>
          <w:rFonts w:ascii="Times New Roman" w:eastAsia="Times New Roman" w:hAnsi="Times New Roman" w:cs="Times New Roman"/>
          <w:kern w:val="0"/>
          <w:sz w:val="24"/>
          <w:szCs w:val="24"/>
          <w:lang w:val="en-US" w:eastAsia="en-GB"/>
          <w14:ligatures w14:val="none"/>
        </w:rPr>
        <w:t>Staying put</w:t>
      </w:r>
      <w:proofErr w:type="gramEnd"/>
      <w:r w:rsidRPr="00594BFA">
        <w:rPr>
          <w:rFonts w:ascii="Times New Roman" w:eastAsia="Times New Roman" w:hAnsi="Times New Roman" w:cs="Times New Roman"/>
          <w:kern w:val="0"/>
          <w:sz w:val="24"/>
          <w:szCs w:val="24"/>
          <w:lang w:val="en-US" w:eastAsia="en-GB"/>
          <w14:ligatures w14:val="none"/>
        </w:rPr>
        <w:t xml:space="preserve"> out of choice or constraint? The residential choice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of Dutch older adults. </w:t>
      </w:r>
      <w:r w:rsidRPr="00594BFA">
        <w:rPr>
          <w:rFonts w:ascii="Times New Roman" w:eastAsia="Times New Roman" w:hAnsi="Times New Roman" w:cs="Times New Roman"/>
          <w:i/>
          <w:iCs/>
          <w:kern w:val="0"/>
          <w:sz w:val="24"/>
          <w:szCs w:val="24"/>
          <w:lang w:val="en-US" w:eastAsia="en-GB"/>
          <w14:ligatures w14:val="none"/>
        </w:rPr>
        <w:t>Population, Space and Place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28</w:t>
      </w:r>
      <w:r w:rsidRPr="00594BFA">
        <w:rPr>
          <w:rFonts w:ascii="Times New Roman" w:eastAsia="Times New Roman" w:hAnsi="Times New Roman" w:cs="Times New Roman"/>
          <w:kern w:val="0"/>
          <w:sz w:val="24"/>
          <w:szCs w:val="24"/>
          <w:lang w:val="en-US" w:eastAsia="en-GB"/>
          <w14:ligatures w14:val="none"/>
        </w:rPr>
        <w:t>(4), e2553. https://doi.org/10.1002/psp.2553</w:t>
      </w:r>
    </w:p>
    <w:p w14:paraId="2CBE86A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DeShazo, J. R., &amp; Fermo, G. (2002). Designing Choice Sets for Stated Preference Methods: The Effects of Complexity on Choice Consistency. </w:t>
      </w:r>
      <w:r w:rsidRPr="00594BFA">
        <w:rPr>
          <w:rFonts w:ascii="Times New Roman" w:eastAsia="Times New Roman" w:hAnsi="Times New Roman" w:cs="Times New Roman"/>
          <w:i/>
          <w:iCs/>
          <w:kern w:val="0"/>
          <w:sz w:val="24"/>
          <w:szCs w:val="24"/>
          <w:lang w:val="en-US" w:eastAsia="en-GB"/>
          <w14:ligatures w14:val="none"/>
        </w:rPr>
        <w:t>Journal of Environmental Economics and Management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44</w:t>
      </w:r>
      <w:r w:rsidRPr="00594BFA">
        <w:rPr>
          <w:rFonts w:ascii="Times New Roman" w:eastAsia="Times New Roman" w:hAnsi="Times New Roman" w:cs="Times New Roman"/>
          <w:kern w:val="0"/>
          <w:sz w:val="24"/>
          <w:szCs w:val="24"/>
          <w:lang w:val="en-US" w:eastAsia="en-GB"/>
          <w14:ligatures w14:val="none"/>
        </w:rPr>
        <w:t>(1), 123–143. https://doi.org/10.1006/jeem.2001.1199</w:t>
      </w:r>
    </w:p>
    <w:p w14:paraId="243FE89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Eriksson, E., </w:t>
      </w:r>
      <w:proofErr w:type="spellStart"/>
      <w:r w:rsidRPr="00594BFA">
        <w:rPr>
          <w:rFonts w:ascii="Times New Roman" w:eastAsia="Times New Roman" w:hAnsi="Times New Roman" w:cs="Times New Roman"/>
          <w:kern w:val="0"/>
          <w:sz w:val="24"/>
          <w:szCs w:val="24"/>
          <w:lang w:val="en-US" w:eastAsia="en-GB"/>
          <w14:ligatures w14:val="none"/>
        </w:rPr>
        <w:t>Wazinski</w:t>
      </w:r>
      <w:proofErr w:type="spellEnd"/>
      <w:r w:rsidRPr="00594BFA">
        <w:rPr>
          <w:rFonts w:ascii="Times New Roman" w:eastAsia="Times New Roman" w:hAnsi="Times New Roman" w:cs="Times New Roman"/>
          <w:kern w:val="0"/>
          <w:sz w:val="24"/>
          <w:szCs w:val="24"/>
          <w:lang w:val="en-US" w:eastAsia="en-GB"/>
          <w14:ligatures w14:val="none"/>
        </w:rPr>
        <w:t xml:space="preserve">, K., Wanka, A., Kylén, M., Oswald, F., Slaug, B., Iwarsson, S., &amp; Schmidt, S. M. (2022). Perceived Housing in Relation to Retirement and Relocation: A Qualitative Interview Study among Older Adults. </w:t>
      </w:r>
      <w:r w:rsidRPr="00594BFA">
        <w:rPr>
          <w:rFonts w:ascii="Times New Roman" w:eastAsia="Times New Roman" w:hAnsi="Times New Roman" w:cs="Times New Roman"/>
          <w:i/>
          <w:iCs/>
          <w:kern w:val="0"/>
          <w:sz w:val="24"/>
          <w:szCs w:val="24"/>
          <w:lang w:val="en-US" w:eastAsia="en-GB"/>
          <w14:ligatures w14:val="none"/>
        </w:rPr>
        <w:t>International Journal of Environmental Research and Public Health</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19</w:t>
      </w:r>
      <w:r w:rsidRPr="00594BFA">
        <w:rPr>
          <w:rFonts w:ascii="Times New Roman" w:eastAsia="Times New Roman" w:hAnsi="Times New Roman" w:cs="Times New Roman"/>
          <w:kern w:val="0"/>
          <w:sz w:val="24"/>
          <w:szCs w:val="24"/>
          <w:lang w:val="en-US" w:eastAsia="en-GB"/>
          <w14:ligatures w14:val="none"/>
        </w:rPr>
        <w:t>(20), 13314. https://doi.org/10.3390/ijerph192013314</w:t>
      </w:r>
    </w:p>
    <w:p w14:paraId="42CBCF9D"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Ewen, H. H., Hahn, S. J., Erickson, M. A., &amp; Krout, J. A. (2014). Aging in Place or Relocation? Plans </w:t>
      </w:r>
      <w:proofErr w:type="gramStart"/>
      <w:r w:rsidRPr="00594BFA">
        <w:rPr>
          <w:rFonts w:ascii="Times New Roman" w:eastAsia="Times New Roman" w:hAnsi="Times New Roman" w:cs="Times New Roman"/>
          <w:kern w:val="0"/>
          <w:sz w:val="24"/>
          <w:szCs w:val="24"/>
          <w:lang w:val="en-US" w:eastAsia="en-GB"/>
          <w14:ligatures w14:val="none"/>
        </w:rPr>
        <w:t>of</w:t>
      </w:r>
      <w:proofErr w:type="gramEnd"/>
      <w:r w:rsidRPr="00594BFA">
        <w:rPr>
          <w:rFonts w:ascii="Times New Roman" w:eastAsia="Times New Roman" w:hAnsi="Times New Roman" w:cs="Times New Roman"/>
          <w:kern w:val="0"/>
          <w:sz w:val="24"/>
          <w:szCs w:val="24"/>
          <w:lang w:val="en-US" w:eastAsia="en-GB"/>
          <w14:ligatures w14:val="none"/>
        </w:rPr>
        <w:t xml:space="preserve"> Community-Dwelling Older Adults. </w:t>
      </w:r>
      <w:r w:rsidRPr="00594BFA">
        <w:rPr>
          <w:rFonts w:ascii="Times New Roman" w:eastAsia="Times New Roman" w:hAnsi="Times New Roman" w:cs="Times New Roman"/>
          <w:i/>
          <w:iCs/>
          <w:kern w:val="0"/>
          <w:sz w:val="24"/>
          <w:szCs w:val="24"/>
          <w:lang w:val="en-US" w:eastAsia="en-GB"/>
          <w14:ligatures w14:val="none"/>
        </w:rPr>
        <w:t>Journal of Housing for the Elderly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28</w:t>
      </w:r>
      <w:r w:rsidRPr="00594BFA">
        <w:rPr>
          <w:rFonts w:ascii="Times New Roman" w:eastAsia="Times New Roman" w:hAnsi="Times New Roman" w:cs="Times New Roman"/>
          <w:kern w:val="0"/>
          <w:sz w:val="24"/>
          <w:szCs w:val="24"/>
          <w:lang w:val="en-US" w:eastAsia="en-GB"/>
          <w14:ligatures w14:val="none"/>
        </w:rPr>
        <w:t xml:space="preserve">(3), 288–309. </w:t>
      </w:r>
      <w:proofErr w:type="spellStart"/>
      <w:r w:rsidRPr="00594BFA">
        <w:rPr>
          <w:rFonts w:ascii="Times New Roman" w:eastAsia="Times New Roman" w:hAnsi="Times New Roman" w:cs="Times New Roman"/>
          <w:kern w:val="0"/>
          <w:sz w:val="24"/>
          <w:szCs w:val="24"/>
          <w:lang w:val="en-US" w:eastAsia="en-GB"/>
          <w14:ligatures w14:val="none"/>
        </w:rPr>
        <w:t>sih</w:t>
      </w:r>
      <w:proofErr w:type="spellEnd"/>
      <w:r w:rsidRPr="00594BFA">
        <w:rPr>
          <w:rFonts w:ascii="Times New Roman" w:eastAsia="Times New Roman" w:hAnsi="Times New Roman" w:cs="Times New Roman"/>
          <w:kern w:val="0"/>
          <w:sz w:val="24"/>
          <w:szCs w:val="24"/>
          <w:lang w:val="en-US" w:eastAsia="en-GB"/>
          <w14:ligatures w14:val="none"/>
        </w:rPr>
        <w:t xml:space="preserve"> (97901642). https://doi.org/10.1080/02763893.2014.930366</w:t>
      </w:r>
    </w:p>
    <w:p w14:paraId="1FE88830"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Grimmer, K., Foot, J., </w:t>
      </w:r>
      <w:proofErr w:type="spellStart"/>
      <w:r w:rsidRPr="00594BFA">
        <w:rPr>
          <w:rFonts w:ascii="Times New Roman" w:eastAsia="Times New Roman" w:hAnsi="Times New Roman" w:cs="Times New Roman"/>
          <w:kern w:val="0"/>
          <w:sz w:val="24"/>
          <w:szCs w:val="24"/>
          <w:lang w:val="en-US" w:eastAsia="en-GB"/>
          <w14:ligatures w14:val="none"/>
        </w:rPr>
        <w:t>Pastakia</w:t>
      </w:r>
      <w:proofErr w:type="spellEnd"/>
      <w:r w:rsidRPr="00594BFA">
        <w:rPr>
          <w:rFonts w:ascii="Times New Roman" w:eastAsia="Times New Roman" w:hAnsi="Times New Roman" w:cs="Times New Roman"/>
          <w:kern w:val="0"/>
          <w:sz w:val="24"/>
          <w:szCs w:val="24"/>
          <w:lang w:val="en-US" w:eastAsia="en-GB"/>
          <w14:ligatures w14:val="none"/>
        </w:rPr>
        <w:t xml:space="preserve">, K., &amp; Kay, D. (2015). Consumer views about aging-in-place. </w:t>
      </w:r>
      <w:r w:rsidRPr="00594BFA">
        <w:rPr>
          <w:rFonts w:ascii="Times New Roman" w:eastAsia="Times New Roman" w:hAnsi="Times New Roman" w:cs="Times New Roman"/>
          <w:i/>
          <w:iCs/>
          <w:kern w:val="0"/>
          <w:sz w:val="24"/>
          <w:szCs w:val="24"/>
          <w:lang w:val="en-US" w:eastAsia="en-GB"/>
          <w14:ligatures w14:val="none"/>
        </w:rPr>
        <w:t>Clinical Interventions in Aging</w:t>
      </w:r>
      <w:r w:rsidRPr="00594BFA">
        <w:rPr>
          <w:rFonts w:ascii="Times New Roman" w:eastAsia="Times New Roman" w:hAnsi="Times New Roman" w:cs="Times New Roman"/>
          <w:kern w:val="0"/>
          <w:sz w:val="24"/>
          <w:szCs w:val="24"/>
          <w:lang w:val="en-US" w:eastAsia="en-GB"/>
          <w14:ligatures w14:val="none"/>
        </w:rPr>
        <w:t>, 1803. https://doi.org/10.2147/CIA.S90672</w:t>
      </w:r>
    </w:p>
    <w:p w14:paraId="36BD5E3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Helveston, J. P. (2023). </w:t>
      </w:r>
      <w:proofErr w:type="spellStart"/>
      <w:r w:rsidRPr="00594BFA">
        <w:rPr>
          <w:rFonts w:ascii="Times New Roman" w:eastAsia="Times New Roman" w:hAnsi="Times New Roman" w:cs="Times New Roman"/>
          <w:b/>
          <w:bCs/>
          <w:kern w:val="0"/>
          <w:sz w:val="24"/>
          <w:szCs w:val="24"/>
          <w:lang w:val="en-US" w:eastAsia="en-GB"/>
          <w14:ligatures w14:val="none"/>
        </w:rPr>
        <w:t>logitr</w:t>
      </w:r>
      <w:proofErr w:type="spellEnd"/>
      <w:r w:rsidRPr="00594BFA">
        <w:rPr>
          <w:rFonts w:ascii="Times New Roman" w:eastAsia="Times New Roman" w:hAnsi="Times New Roman" w:cs="Times New Roman"/>
          <w:kern w:val="0"/>
          <w:sz w:val="24"/>
          <w:szCs w:val="24"/>
          <w:lang w:val="en-US" w:eastAsia="en-GB"/>
          <w14:ligatures w14:val="none"/>
        </w:rPr>
        <w:t xml:space="preserve">: Fast Estimation of Multinomial and Mixed Logit Models with Preference Space and Willingness-to-Pay Space Utility Parameterizations. </w:t>
      </w:r>
      <w:r w:rsidRPr="00594BFA">
        <w:rPr>
          <w:rFonts w:ascii="Times New Roman" w:eastAsia="Times New Roman" w:hAnsi="Times New Roman" w:cs="Times New Roman"/>
          <w:i/>
          <w:iCs/>
          <w:kern w:val="0"/>
          <w:sz w:val="24"/>
          <w:szCs w:val="24"/>
          <w:lang w:val="en-US" w:eastAsia="en-GB"/>
          <w14:ligatures w14:val="none"/>
        </w:rPr>
        <w:t>Journal of Statistical Software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105</w:t>
      </w:r>
      <w:r w:rsidRPr="00594BFA">
        <w:rPr>
          <w:rFonts w:ascii="Times New Roman" w:eastAsia="Times New Roman" w:hAnsi="Times New Roman" w:cs="Times New Roman"/>
          <w:kern w:val="0"/>
          <w:sz w:val="24"/>
          <w:szCs w:val="24"/>
          <w:lang w:val="en-US" w:eastAsia="en-GB"/>
          <w14:ligatures w14:val="none"/>
        </w:rPr>
        <w:t>(10). https://doi.org/10.18637/jss.v105.i10</w:t>
      </w:r>
    </w:p>
    <w:p w14:paraId="19D480C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Helveston, J. P. (2025). </w:t>
      </w:r>
      <w:proofErr w:type="spellStart"/>
      <w:r w:rsidRPr="00594BFA">
        <w:rPr>
          <w:rFonts w:ascii="Times New Roman" w:eastAsia="Times New Roman" w:hAnsi="Times New Roman" w:cs="Times New Roman"/>
          <w:i/>
          <w:iCs/>
          <w:kern w:val="0"/>
          <w:sz w:val="24"/>
          <w:szCs w:val="24"/>
          <w:lang w:val="en-US" w:eastAsia="en-GB"/>
          <w14:ligatures w14:val="none"/>
        </w:rPr>
        <w:t>cbcTools</w:t>
      </w:r>
      <w:proofErr w:type="spellEnd"/>
      <w:r w:rsidRPr="00594BFA">
        <w:rPr>
          <w:rFonts w:ascii="Times New Roman" w:eastAsia="Times New Roman" w:hAnsi="Times New Roman" w:cs="Times New Roman"/>
          <w:i/>
          <w:iCs/>
          <w:kern w:val="0"/>
          <w:sz w:val="24"/>
          <w:szCs w:val="24"/>
          <w:lang w:val="en-US" w:eastAsia="en-GB"/>
          <w14:ligatures w14:val="none"/>
        </w:rPr>
        <w:t>: Design and Analyze Choice-Based Conjoint Experiments. R package</w:t>
      </w:r>
      <w:r w:rsidRPr="00594BFA">
        <w:rPr>
          <w:rFonts w:ascii="Times New Roman" w:eastAsia="Times New Roman" w:hAnsi="Times New Roman" w:cs="Times New Roman"/>
          <w:kern w:val="0"/>
          <w:sz w:val="24"/>
          <w:szCs w:val="24"/>
          <w:lang w:val="en-US" w:eastAsia="en-GB"/>
          <w14:ligatures w14:val="none"/>
        </w:rPr>
        <w:t xml:space="preserve"> [Computer software]. https://jhelvy.github.io/cbcTools/</w:t>
      </w:r>
    </w:p>
    <w:p w14:paraId="085E3F5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Hensher</w:t>
      </w:r>
      <w:proofErr w:type="spellEnd"/>
      <w:r w:rsidRPr="00594BFA">
        <w:rPr>
          <w:rFonts w:ascii="Times New Roman" w:eastAsia="Times New Roman" w:hAnsi="Times New Roman" w:cs="Times New Roman"/>
          <w:kern w:val="0"/>
          <w:sz w:val="24"/>
          <w:szCs w:val="24"/>
          <w:lang w:val="en-US" w:eastAsia="en-GB"/>
          <w14:ligatures w14:val="none"/>
        </w:rPr>
        <w:t xml:space="preserve">, D. A., Rose, J. M., &amp; Greene, W. H. (2015). </w:t>
      </w:r>
      <w:r w:rsidRPr="00594BFA">
        <w:rPr>
          <w:rFonts w:ascii="Times New Roman" w:eastAsia="Times New Roman" w:hAnsi="Times New Roman" w:cs="Times New Roman"/>
          <w:i/>
          <w:iCs/>
          <w:kern w:val="0"/>
          <w:sz w:val="24"/>
          <w:szCs w:val="24"/>
          <w:lang w:val="en-US" w:eastAsia="en-GB"/>
          <w14:ligatures w14:val="none"/>
        </w:rPr>
        <w:t>Applied Choice Analysis</w:t>
      </w:r>
      <w:r w:rsidRPr="00594BFA">
        <w:rPr>
          <w:rFonts w:ascii="Times New Roman" w:eastAsia="Times New Roman" w:hAnsi="Times New Roman" w:cs="Times New Roman"/>
          <w:kern w:val="0"/>
          <w:sz w:val="24"/>
          <w:szCs w:val="24"/>
          <w:lang w:val="en-US" w:eastAsia="en-GB"/>
          <w14:ligatures w14:val="none"/>
        </w:rPr>
        <w:t xml:space="preserve"> (2nd ed.). Cambridge University Press. https://doi.org/10.1017/CBO9781316136232</w:t>
      </w:r>
    </w:p>
    <w:p w14:paraId="22B0EB0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Himmler, S., </w:t>
      </w:r>
      <w:proofErr w:type="spellStart"/>
      <w:r w:rsidRPr="00594BFA">
        <w:rPr>
          <w:rFonts w:ascii="Times New Roman" w:eastAsia="Times New Roman" w:hAnsi="Times New Roman" w:cs="Times New Roman"/>
          <w:kern w:val="0"/>
          <w:sz w:val="24"/>
          <w:szCs w:val="24"/>
          <w:lang w:val="en-US" w:eastAsia="en-GB"/>
          <w14:ligatures w14:val="none"/>
        </w:rPr>
        <w:t>Soekhai</w:t>
      </w:r>
      <w:proofErr w:type="spellEnd"/>
      <w:r w:rsidRPr="00594BFA">
        <w:rPr>
          <w:rFonts w:ascii="Times New Roman" w:eastAsia="Times New Roman" w:hAnsi="Times New Roman" w:cs="Times New Roman"/>
          <w:kern w:val="0"/>
          <w:sz w:val="24"/>
          <w:szCs w:val="24"/>
          <w:lang w:val="en-US" w:eastAsia="en-GB"/>
          <w14:ligatures w14:val="none"/>
        </w:rPr>
        <w:t xml:space="preserve">, V., van </w:t>
      </w:r>
      <w:proofErr w:type="spellStart"/>
      <w:r w:rsidRPr="00594BFA">
        <w:rPr>
          <w:rFonts w:ascii="Times New Roman" w:eastAsia="Times New Roman" w:hAnsi="Times New Roman" w:cs="Times New Roman"/>
          <w:kern w:val="0"/>
          <w:sz w:val="24"/>
          <w:szCs w:val="24"/>
          <w:lang w:val="en-US" w:eastAsia="en-GB"/>
          <w14:ligatures w14:val="none"/>
        </w:rPr>
        <w:t>Exel</w:t>
      </w:r>
      <w:proofErr w:type="spellEnd"/>
      <w:r w:rsidRPr="00594BFA">
        <w:rPr>
          <w:rFonts w:ascii="Times New Roman" w:eastAsia="Times New Roman" w:hAnsi="Times New Roman" w:cs="Times New Roman"/>
          <w:kern w:val="0"/>
          <w:sz w:val="24"/>
          <w:szCs w:val="24"/>
          <w:lang w:val="en-US" w:eastAsia="en-GB"/>
          <w14:ligatures w14:val="none"/>
        </w:rPr>
        <w:t xml:space="preserve">, J., &amp; Brouwer, W. (2021). What works better for preference elicitation among older people? Cognitive burden of discrete choice experiment and case 2 best-worst scaling in an online setting. </w:t>
      </w:r>
      <w:r w:rsidRPr="00594BFA">
        <w:rPr>
          <w:rFonts w:ascii="Times New Roman" w:eastAsia="Times New Roman" w:hAnsi="Times New Roman" w:cs="Times New Roman"/>
          <w:i/>
          <w:iCs/>
          <w:kern w:val="0"/>
          <w:sz w:val="24"/>
          <w:szCs w:val="24"/>
          <w:lang w:val="en-US" w:eastAsia="en-GB"/>
          <w14:ligatures w14:val="none"/>
        </w:rPr>
        <w:t>Journal of Choice Modelling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38</w:t>
      </w:r>
      <w:r w:rsidRPr="00594BFA">
        <w:rPr>
          <w:rFonts w:ascii="Times New Roman" w:eastAsia="Times New Roman" w:hAnsi="Times New Roman" w:cs="Times New Roman"/>
          <w:kern w:val="0"/>
          <w:sz w:val="24"/>
          <w:szCs w:val="24"/>
          <w:lang w:val="en-US" w:eastAsia="en-GB"/>
          <w14:ligatures w14:val="none"/>
        </w:rPr>
        <w:t>, 100265. https://doi.org/10.1016/j.jocm.2020.100265</w:t>
      </w:r>
    </w:p>
    <w:p w14:paraId="783495F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Lancsar</w:t>
      </w:r>
      <w:proofErr w:type="spellEnd"/>
      <w:r w:rsidRPr="00594BFA">
        <w:rPr>
          <w:rFonts w:ascii="Times New Roman" w:eastAsia="Times New Roman" w:hAnsi="Times New Roman" w:cs="Times New Roman"/>
          <w:kern w:val="0"/>
          <w:sz w:val="24"/>
          <w:szCs w:val="24"/>
          <w:lang w:val="en-US" w:eastAsia="en-GB"/>
          <w14:ligatures w14:val="none"/>
        </w:rPr>
        <w:t>, E., &amp; Louviere, J. (2008). Conducting Discrete Choice Experiments to Inform Healthcare Decision Making: A User?</w:t>
      </w:r>
      <w:proofErr w:type="gramStart"/>
      <w:r w:rsidRPr="00594BFA">
        <w:rPr>
          <w:rFonts w:ascii="Times New Roman" w:eastAsia="Times New Roman" w:hAnsi="Times New Roman" w:cs="Times New Roman"/>
          <w:kern w:val="0"/>
          <w:sz w:val="24"/>
          <w:szCs w:val="24"/>
          <w:lang w:val="en-US" w:eastAsia="en-GB"/>
          <w14:ligatures w14:val="none"/>
        </w:rPr>
        <w:t>?s</w:t>
      </w:r>
      <w:proofErr w:type="gramEnd"/>
      <w:r w:rsidRPr="00594BFA">
        <w:rPr>
          <w:rFonts w:ascii="Times New Roman" w:eastAsia="Times New Roman" w:hAnsi="Times New Roman" w:cs="Times New Roman"/>
          <w:kern w:val="0"/>
          <w:sz w:val="24"/>
          <w:szCs w:val="24"/>
          <w:lang w:val="en-US" w:eastAsia="en-GB"/>
          <w14:ligatures w14:val="none"/>
        </w:rPr>
        <w:t xml:space="preserve"> Guide. </w:t>
      </w:r>
      <w:proofErr w:type="spellStart"/>
      <w:r w:rsidRPr="00594BFA">
        <w:rPr>
          <w:rFonts w:ascii="Times New Roman" w:eastAsia="Times New Roman" w:hAnsi="Times New Roman" w:cs="Times New Roman"/>
          <w:i/>
          <w:iCs/>
          <w:kern w:val="0"/>
          <w:sz w:val="24"/>
          <w:szCs w:val="24"/>
          <w:lang w:val="en-US" w:eastAsia="en-GB"/>
          <w14:ligatures w14:val="none"/>
        </w:rPr>
        <w:t>PharmacoEconomics</w:t>
      </w:r>
      <w:proofErr w:type="spellEnd"/>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26</w:t>
      </w:r>
      <w:r w:rsidRPr="00594BFA">
        <w:rPr>
          <w:rFonts w:ascii="Times New Roman" w:eastAsia="Times New Roman" w:hAnsi="Times New Roman" w:cs="Times New Roman"/>
          <w:kern w:val="0"/>
          <w:sz w:val="24"/>
          <w:szCs w:val="24"/>
          <w:lang w:val="en-US" w:eastAsia="en-GB"/>
          <w14:ligatures w14:val="none"/>
        </w:rPr>
        <w:t>(8), 661–677. https://doi.org/10.2165/00019053-200826080-00004</w:t>
      </w:r>
    </w:p>
    <w:p w14:paraId="146A610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Landby</w:t>
      </w:r>
      <w:proofErr w:type="spellEnd"/>
      <w:r w:rsidRPr="00594BFA">
        <w:rPr>
          <w:rFonts w:ascii="Times New Roman" w:eastAsia="Times New Roman" w:hAnsi="Times New Roman" w:cs="Times New Roman"/>
          <w:kern w:val="0"/>
          <w:sz w:val="24"/>
          <w:szCs w:val="24"/>
          <w:lang w:val="en-US" w:eastAsia="en-GB"/>
          <w14:ligatures w14:val="none"/>
        </w:rPr>
        <w:t xml:space="preserve">, E., &amp; </w:t>
      </w:r>
      <w:proofErr w:type="spellStart"/>
      <w:r w:rsidRPr="00594BFA">
        <w:rPr>
          <w:rFonts w:ascii="Times New Roman" w:eastAsia="Times New Roman" w:hAnsi="Times New Roman" w:cs="Times New Roman"/>
          <w:kern w:val="0"/>
          <w:sz w:val="24"/>
          <w:szCs w:val="24"/>
          <w:lang w:val="en-US" w:eastAsia="en-GB"/>
          <w14:ligatures w14:val="none"/>
        </w:rPr>
        <w:t>Godtman</w:t>
      </w:r>
      <w:proofErr w:type="spellEnd"/>
      <w:r w:rsidRPr="00594BFA">
        <w:rPr>
          <w:rFonts w:ascii="Times New Roman" w:eastAsia="Times New Roman" w:hAnsi="Times New Roman" w:cs="Times New Roman"/>
          <w:kern w:val="0"/>
          <w:sz w:val="24"/>
          <w:szCs w:val="24"/>
          <w:lang w:val="en-US" w:eastAsia="en-GB"/>
          <w14:ligatures w14:val="none"/>
        </w:rPr>
        <w:t xml:space="preserve"> Kling, K. (2025). Living close to nature: How older adults in Sweden navigate relocation in later life. </w:t>
      </w:r>
      <w:proofErr w:type="spellStart"/>
      <w:r w:rsidRPr="00594BFA">
        <w:rPr>
          <w:rFonts w:ascii="Times New Roman" w:eastAsia="Times New Roman" w:hAnsi="Times New Roman" w:cs="Times New Roman"/>
          <w:i/>
          <w:iCs/>
          <w:kern w:val="0"/>
          <w:sz w:val="24"/>
          <w:szCs w:val="24"/>
          <w:lang w:val="en-US" w:eastAsia="en-GB"/>
          <w14:ligatures w14:val="none"/>
        </w:rPr>
        <w:t>Fennia</w:t>
      </w:r>
      <w:proofErr w:type="spellEnd"/>
      <w:r w:rsidRPr="00594BFA">
        <w:rPr>
          <w:rFonts w:ascii="Times New Roman" w:eastAsia="Times New Roman" w:hAnsi="Times New Roman" w:cs="Times New Roman"/>
          <w:i/>
          <w:iCs/>
          <w:kern w:val="0"/>
          <w:sz w:val="24"/>
          <w:szCs w:val="24"/>
          <w:lang w:val="en-US" w:eastAsia="en-GB"/>
          <w14:ligatures w14:val="none"/>
        </w:rPr>
        <w:t xml:space="preserve"> - International Journal of Geography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203</w:t>
      </w:r>
      <w:r w:rsidRPr="00594BFA">
        <w:rPr>
          <w:rFonts w:ascii="Times New Roman" w:eastAsia="Times New Roman" w:hAnsi="Times New Roman" w:cs="Times New Roman"/>
          <w:kern w:val="0"/>
          <w:sz w:val="24"/>
          <w:szCs w:val="24"/>
          <w:lang w:val="en-US" w:eastAsia="en-GB"/>
          <w14:ligatures w14:val="none"/>
        </w:rPr>
        <w:t>(2), 164–181. https://doi.org/10.11143/fennia.145630</w:t>
      </w:r>
    </w:p>
    <w:p w14:paraId="50190EDA"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Lee, P.-H., Han, Q., de Vries, B., &amp; Juan, Y.-K. (2025). Heterogeneities in willingness to pay for circular affordable housing: Insight from young users.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40</w:t>
      </w:r>
      <w:r w:rsidRPr="00594BFA">
        <w:rPr>
          <w:rFonts w:ascii="Times New Roman" w:eastAsia="Times New Roman" w:hAnsi="Times New Roman" w:cs="Times New Roman"/>
          <w:kern w:val="0"/>
          <w:sz w:val="24"/>
          <w:szCs w:val="24"/>
          <w:lang w:val="en-US" w:eastAsia="en-GB"/>
          <w14:ligatures w14:val="none"/>
        </w:rPr>
        <w:t>(11), 2450–2480. https://doi.org/10.1080/02673037.2024.2404063</w:t>
      </w:r>
    </w:p>
    <w:p w14:paraId="6C5B9BB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Lofqvist, C., Granbom, M., Himmelsbach, I., Iwarsson, S., Oswald, F., &amp; Haak, M. (2013). Voices on Relocation and Aging in Place in Very Old Age—A Complex and Ambivalent Matter. </w:t>
      </w:r>
      <w:r w:rsidRPr="00594BFA">
        <w:rPr>
          <w:rFonts w:ascii="Times New Roman" w:eastAsia="Times New Roman" w:hAnsi="Times New Roman" w:cs="Times New Roman"/>
          <w:i/>
          <w:iCs/>
          <w:kern w:val="0"/>
          <w:sz w:val="24"/>
          <w:szCs w:val="24"/>
          <w:lang w:val="en-US" w:eastAsia="en-GB"/>
          <w14:ligatures w14:val="none"/>
        </w:rPr>
        <w:t>The Gerontologist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53</w:t>
      </w:r>
      <w:r w:rsidRPr="00594BFA">
        <w:rPr>
          <w:rFonts w:ascii="Times New Roman" w:eastAsia="Times New Roman" w:hAnsi="Times New Roman" w:cs="Times New Roman"/>
          <w:kern w:val="0"/>
          <w:sz w:val="24"/>
          <w:szCs w:val="24"/>
          <w:lang w:val="en-US" w:eastAsia="en-GB"/>
          <w14:ligatures w14:val="none"/>
        </w:rPr>
        <w:t>(6), 919–927. https://doi.org/10.1093/geront/gnt034</w:t>
      </w:r>
    </w:p>
    <w:p w14:paraId="117158C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Lu, P., &amp; Kong, D. (2024). Community-Based Residential Relocation in Middle and Older Age: A United States–China Comparison Study on Its Predictors and Associated Mortality Risk. </w:t>
      </w:r>
      <w:r w:rsidRPr="00594BFA">
        <w:rPr>
          <w:rFonts w:ascii="Times New Roman" w:eastAsia="Times New Roman" w:hAnsi="Times New Roman" w:cs="Times New Roman"/>
          <w:i/>
          <w:iCs/>
          <w:kern w:val="0"/>
          <w:sz w:val="24"/>
          <w:szCs w:val="24"/>
          <w:lang w:val="en-US" w:eastAsia="en-GB"/>
          <w14:ligatures w14:val="none"/>
        </w:rPr>
        <w:t>Journal of Aging and Health</w:t>
      </w:r>
      <w:r w:rsidRPr="00594BFA">
        <w:rPr>
          <w:rFonts w:ascii="Times New Roman" w:eastAsia="Times New Roman" w:hAnsi="Times New Roman" w:cs="Times New Roman"/>
          <w:kern w:val="0"/>
          <w:sz w:val="24"/>
          <w:szCs w:val="24"/>
          <w:lang w:val="en-US" w:eastAsia="en-GB"/>
          <w14:ligatures w14:val="none"/>
        </w:rPr>
        <w:t xml:space="preserve">, 08982643241276270. </w:t>
      </w:r>
      <w:hyperlink r:id="rId6" w:history="1">
        <w:r w:rsidR="006F4ACA" w:rsidRPr="00594BFA">
          <w:rPr>
            <w:rStyle w:val="Hyperlink"/>
            <w:rFonts w:ascii="Times New Roman" w:eastAsia="Times New Roman" w:hAnsi="Times New Roman" w:cs="Times New Roman"/>
            <w:kern w:val="0"/>
            <w:sz w:val="24"/>
            <w:szCs w:val="24"/>
            <w:lang w:val="en-US" w:eastAsia="en-GB"/>
            <w14:ligatures w14:val="none"/>
          </w:rPr>
          <w:t>https://doi.org/10.1177/08982643241276270</w:t>
        </w:r>
      </w:hyperlink>
    </w:p>
    <w:p w14:paraId="4467A508" w14:textId="77777777" w:rsidR="006F4ACA" w:rsidRPr="00594BFA" w:rsidRDefault="006F4ACA"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Lucas, K., Mattioli, G., </w:t>
      </w:r>
      <w:proofErr w:type="spellStart"/>
      <w:r w:rsidRPr="00594BFA">
        <w:rPr>
          <w:rFonts w:ascii="Times New Roman" w:eastAsia="Times New Roman" w:hAnsi="Times New Roman" w:cs="Times New Roman"/>
          <w:kern w:val="0"/>
          <w:sz w:val="24"/>
          <w:szCs w:val="24"/>
          <w:lang w:val="en-US" w:eastAsia="en-GB"/>
          <w14:ligatures w14:val="none"/>
        </w:rPr>
        <w:t>Verlinghieri</w:t>
      </w:r>
      <w:proofErr w:type="spellEnd"/>
      <w:r w:rsidRPr="00594BFA">
        <w:rPr>
          <w:rFonts w:ascii="Times New Roman" w:eastAsia="Times New Roman" w:hAnsi="Times New Roman" w:cs="Times New Roman"/>
          <w:kern w:val="0"/>
          <w:sz w:val="24"/>
          <w:szCs w:val="24"/>
          <w:lang w:val="en-US" w:eastAsia="en-GB"/>
          <w14:ligatures w14:val="none"/>
        </w:rPr>
        <w:t>, E., &amp; Guzman, A. (2016). Transport poverty and its adverse social consequences. Proceedings of the Institution of Civil Engineers: Transport, 169(6), 353–365. https://doi.org/10.1680/jtran.15.00073</w:t>
      </w:r>
    </w:p>
    <w:p w14:paraId="5732FC78"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Maas, J. (2006). Green space, urbanity, and health: How strong is the relation? </w:t>
      </w:r>
      <w:r w:rsidRPr="00594BFA">
        <w:rPr>
          <w:rFonts w:ascii="Times New Roman" w:eastAsia="Times New Roman" w:hAnsi="Times New Roman" w:cs="Times New Roman"/>
          <w:i/>
          <w:iCs/>
          <w:kern w:val="0"/>
          <w:sz w:val="24"/>
          <w:szCs w:val="24"/>
          <w:lang w:val="en-US" w:eastAsia="en-GB"/>
          <w14:ligatures w14:val="none"/>
        </w:rPr>
        <w:t>Journal of Epidemiology &amp; Community Health</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60</w:t>
      </w:r>
      <w:r w:rsidRPr="00594BFA">
        <w:rPr>
          <w:rFonts w:ascii="Times New Roman" w:eastAsia="Times New Roman" w:hAnsi="Times New Roman" w:cs="Times New Roman"/>
          <w:kern w:val="0"/>
          <w:sz w:val="24"/>
          <w:szCs w:val="24"/>
          <w:lang w:val="en-US" w:eastAsia="en-GB"/>
          <w14:ligatures w14:val="none"/>
        </w:rPr>
        <w:t>(7), 587–592. https://doi.org/10.1136/jech.2005.043125</w:t>
      </w:r>
    </w:p>
    <w:p w14:paraId="5A0C7C41"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Mangham, L. J., Hanson, K., &amp; McPake, B. (2009). How to do (or not to do) … Designing a discrete choice experiment for application in a low-income country. </w:t>
      </w:r>
      <w:r w:rsidRPr="00594BFA">
        <w:rPr>
          <w:rFonts w:ascii="Times New Roman" w:eastAsia="Times New Roman" w:hAnsi="Times New Roman" w:cs="Times New Roman"/>
          <w:i/>
          <w:iCs/>
          <w:kern w:val="0"/>
          <w:sz w:val="24"/>
          <w:szCs w:val="24"/>
          <w:lang w:val="en-US" w:eastAsia="en-GB"/>
          <w14:ligatures w14:val="none"/>
        </w:rPr>
        <w:t>Health Policy and Planning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24</w:t>
      </w:r>
      <w:r w:rsidRPr="00594BFA">
        <w:rPr>
          <w:rFonts w:ascii="Times New Roman" w:eastAsia="Times New Roman" w:hAnsi="Times New Roman" w:cs="Times New Roman"/>
          <w:kern w:val="0"/>
          <w:sz w:val="24"/>
          <w:szCs w:val="24"/>
          <w:lang w:val="en-US" w:eastAsia="en-GB"/>
          <w14:ligatures w14:val="none"/>
        </w:rPr>
        <w:t>(2), 151–158. https://doi.org/10.1093/heapol/czn047</w:t>
      </w:r>
    </w:p>
    <w:p w14:paraId="2C07C2B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McFadden, D. (1974). The measurement of urban travel demand. </w:t>
      </w:r>
      <w:r w:rsidRPr="00594BFA">
        <w:rPr>
          <w:rFonts w:ascii="Times New Roman" w:eastAsia="Times New Roman" w:hAnsi="Times New Roman" w:cs="Times New Roman"/>
          <w:i/>
          <w:iCs/>
          <w:kern w:val="0"/>
          <w:sz w:val="24"/>
          <w:szCs w:val="24"/>
          <w:lang w:val="en-US" w:eastAsia="en-GB"/>
          <w14:ligatures w14:val="none"/>
        </w:rPr>
        <w:t>Journal of Public Economics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w:t>
      </w:r>
      <w:r w:rsidRPr="00594BFA">
        <w:rPr>
          <w:rFonts w:ascii="Times New Roman" w:eastAsia="Times New Roman" w:hAnsi="Times New Roman" w:cs="Times New Roman"/>
          <w:kern w:val="0"/>
          <w:sz w:val="24"/>
          <w:szCs w:val="24"/>
          <w:lang w:val="en-US" w:eastAsia="en-GB"/>
          <w14:ligatures w14:val="none"/>
        </w:rPr>
        <w:t>(4), 303–328. https://doi.org/10.1016/0047-2727(74)90003-6</w:t>
      </w:r>
    </w:p>
    <w:p w14:paraId="40C514E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McFadden, D., &amp; Train, K. (2000). Mixed MNL models for discrete response. </w:t>
      </w:r>
      <w:r w:rsidRPr="00594BFA">
        <w:rPr>
          <w:rFonts w:ascii="Times New Roman" w:eastAsia="Times New Roman" w:hAnsi="Times New Roman" w:cs="Times New Roman"/>
          <w:i/>
          <w:iCs/>
          <w:kern w:val="0"/>
          <w:sz w:val="24"/>
          <w:szCs w:val="24"/>
          <w:lang w:val="en-US" w:eastAsia="en-GB"/>
          <w14:ligatures w14:val="none"/>
        </w:rPr>
        <w:t>Journal of Applied Econometrics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15</w:t>
      </w:r>
      <w:r w:rsidRPr="00594BFA">
        <w:rPr>
          <w:rFonts w:ascii="Times New Roman" w:eastAsia="Times New Roman" w:hAnsi="Times New Roman" w:cs="Times New Roman"/>
          <w:kern w:val="0"/>
          <w:sz w:val="24"/>
          <w:szCs w:val="24"/>
          <w:lang w:val="en-US" w:eastAsia="en-GB"/>
          <w14:ligatures w14:val="none"/>
        </w:rPr>
        <w:t>(5), 447–470. https://doi.org/10.1002/1099-1255(200009/10)15:5&lt;</w:t>
      </w:r>
      <w:proofErr w:type="gramStart"/>
      <w:r w:rsidRPr="00594BFA">
        <w:rPr>
          <w:rFonts w:ascii="Times New Roman" w:eastAsia="Times New Roman" w:hAnsi="Times New Roman" w:cs="Times New Roman"/>
          <w:kern w:val="0"/>
          <w:sz w:val="24"/>
          <w:szCs w:val="24"/>
          <w:lang w:val="en-US" w:eastAsia="en-GB"/>
          <w14:ligatures w14:val="none"/>
        </w:rPr>
        <w:t>447::</w:t>
      </w:r>
      <w:proofErr w:type="gramEnd"/>
      <w:r w:rsidRPr="00594BFA">
        <w:rPr>
          <w:rFonts w:ascii="Times New Roman" w:eastAsia="Times New Roman" w:hAnsi="Times New Roman" w:cs="Times New Roman"/>
          <w:kern w:val="0"/>
          <w:sz w:val="24"/>
          <w:szCs w:val="24"/>
          <w:lang w:val="en-US" w:eastAsia="en-GB"/>
          <w14:ligatures w14:val="none"/>
        </w:rPr>
        <w:t>AID-JAE570&gt;3.0.CO;2-1</w:t>
      </w:r>
    </w:p>
    <w:p w14:paraId="63BF035B"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Mollenkopf, H., </w:t>
      </w:r>
      <w:proofErr w:type="spellStart"/>
      <w:r w:rsidRPr="00594BFA">
        <w:rPr>
          <w:rFonts w:ascii="Times New Roman" w:eastAsia="Times New Roman" w:hAnsi="Times New Roman" w:cs="Times New Roman"/>
          <w:kern w:val="0"/>
          <w:sz w:val="24"/>
          <w:szCs w:val="24"/>
          <w:lang w:val="en-US" w:eastAsia="en-GB"/>
          <w14:ligatures w14:val="none"/>
        </w:rPr>
        <w:t>Marcellini</w:t>
      </w:r>
      <w:proofErr w:type="spellEnd"/>
      <w:r w:rsidRPr="00594BFA">
        <w:rPr>
          <w:rFonts w:ascii="Times New Roman" w:eastAsia="Times New Roman" w:hAnsi="Times New Roman" w:cs="Times New Roman"/>
          <w:kern w:val="0"/>
          <w:sz w:val="24"/>
          <w:szCs w:val="24"/>
          <w:lang w:val="en-US" w:eastAsia="en-GB"/>
          <w14:ligatures w14:val="none"/>
        </w:rPr>
        <w:t xml:space="preserve">, F., </w:t>
      </w:r>
      <w:proofErr w:type="spellStart"/>
      <w:r w:rsidRPr="00594BFA">
        <w:rPr>
          <w:rFonts w:ascii="Times New Roman" w:eastAsia="Times New Roman" w:hAnsi="Times New Roman" w:cs="Times New Roman"/>
          <w:kern w:val="0"/>
          <w:sz w:val="24"/>
          <w:szCs w:val="24"/>
          <w:lang w:val="en-US" w:eastAsia="en-GB"/>
          <w14:ligatures w14:val="none"/>
        </w:rPr>
        <w:t>Ruoppila</w:t>
      </w:r>
      <w:proofErr w:type="spellEnd"/>
      <w:r w:rsidRPr="00594BFA">
        <w:rPr>
          <w:rFonts w:ascii="Times New Roman" w:eastAsia="Times New Roman" w:hAnsi="Times New Roman" w:cs="Times New Roman"/>
          <w:kern w:val="0"/>
          <w:sz w:val="24"/>
          <w:szCs w:val="24"/>
          <w:lang w:val="en-US" w:eastAsia="en-GB"/>
          <w14:ligatures w14:val="none"/>
        </w:rPr>
        <w:t xml:space="preserve">, I., </w:t>
      </w:r>
      <w:proofErr w:type="spellStart"/>
      <w:r w:rsidRPr="00594BFA">
        <w:rPr>
          <w:rFonts w:ascii="Times New Roman" w:eastAsia="Times New Roman" w:hAnsi="Times New Roman" w:cs="Times New Roman"/>
          <w:kern w:val="0"/>
          <w:sz w:val="24"/>
          <w:szCs w:val="24"/>
          <w:lang w:val="en-US" w:eastAsia="en-GB"/>
          <w14:ligatures w14:val="none"/>
        </w:rPr>
        <w:t>Sz�man</w:t>
      </w:r>
      <w:proofErr w:type="spellEnd"/>
      <w:r w:rsidRPr="00594BFA">
        <w:rPr>
          <w:rFonts w:ascii="Times New Roman" w:eastAsia="Times New Roman" w:hAnsi="Times New Roman" w:cs="Times New Roman"/>
          <w:kern w:val="0"/>
          <w:sz w:val="24"/>
          <w:szCs w:val="24"/>
          <w:lang w:val="en-US" w:eastAsia="en-GB"/>
          <w14:ligatures w14:val="none"/>
        </w:rPr>
        <w:t xml:space="preserve">, Z., </w:t>
      </w:r>
      <w:proofErr w:type="spellStart"/>
      <w:r w:rsidRPr="00594BFA">
        <w:rPr>
          <w:rFonts w:ascii="Times New Roman" w:eastAsia="Times New Roman" w:hAnsi="Times New Roman" w:cs="Times New Roman"/>
          <w:kern w:val="0"/>
          <w:sz w:val="24"/>
          <w:szCs w:val="24"/>
          <w:lang w:val="en-US" w:eastAsia="en-GB"/>
          <w14:ligatures w14:val="none"/>
        </w:rPr>
        <w:t>Tacken</w:t>
      </w:r>
      <w:proofErr w:type="spellEnd"/>
      <w:r w:rsidRPr="00594BFA">
        <w:rPr>
          <w:rFonts w:ascii="Times New Roman" w:eastAsia="Times New Roman" w:hAnsi="Times New Roman" w:cs="Times New Roman"/>
          <w:kern w:val="0"/>
          <w:sz w:val="24"/>
          <w:szCs w:val="24"/>
          <w:lang w:val="en-US" w:eastAsia="en-GB"/>
          <w14:ligatures w14:val="none"/>
        </w:rPr>
        <w:t xml:space="preserve">, M., &amp; Wahl, H.-W. (2004). Social and </w:t>
      </w:r>
      <w:proofErr w:type="spellStart"/>
      <w:r w:rsidRPr="00594BFA">
        <w:rPr>
          <w:rFonts w:ascii="Times New Roman" w:eastAsia="Times New Roman" w:hAnsi="Times New Roman" w:cs="Times New Roman"/>
          <w:kern w:val="0"/>
          <w:sz w:val="24"/>
          <w:szCs w:val="24"/>
          <w:lang w:val="en-US" w:eastAsia="en-GB"/>
          <w14:ligatures w14:val="none"/>
        </w:rPr>
        <w:t>behavioural</w:t>
      </w:r>
      <w:proofErr w:type="spellEnd"/>
      <w:r w:rsidRPr="00594BFA">
        <w:rPr>
          <w:rFonts w:ascii="Times New Roman" w:eastAsia="Times New Roman" w:hAnsi="Times New Roman" w:cs="Times New Roman"/>
          <w:kern w:val="0"/>
          <w:sz w:val="24"/>
          <w:szCs w:val="24"/>
          <w:lang w:val="en-US" w:eastAsia="en-GB"/>
          <w14:ligatures w14:val="none"/>
        </w:rPr>
        <w:t xml:space="preserve"> science perspectives on out-of-home mobility in later life: Findings from the European project MOBILATE. </w:t>
      </w:r>
      <w:r w:rsidRPr="00594BFA">
        <w:rPr>
          <w:rFonts w:ascii="Times New Roman" w:eastAsia="Times New Roman" w:hAnsi="Times New Roman" w:cs="Times New Roman"/>
          <w:i/>
          <w:iCs/>
          <w:kern w:val="0"/>
          <w:sz w:val="24"/>
          <w:szCs w:val="24"/>
          <w:lang w:val="en-US" w:eastAsia="en-GB"/>
          <w14:ligatures w14:val="none"/>
        </w:rPr>
        <w:t>European Journal of Ageing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w:t>
      </w:r>
      <w:r w:rsidRPr="00594BFA">
        <w:rPr>
          <w:rFonts w:ascii="Times New Roman" w:eastAsia="Times New Roman" w:hAnsi="Times New Roman" w:cs="Times New Roman"/>
          <w:kern w:val="0"/>
          <w:sz w:val="24"/>
          <w:szCs w:val="24"/>
          <w:lang w:val="en-US" w:eastAsia="en-GB"/>
          <w14:ligatures w14:val="none"/>
        </w:rPr>
        <w:t>(1), 45–53. https://doi.org/10.1007/s10433-004-0004-3</w:t>
      </w:r>
    </w:p>
    <w:p w14:paraId="31F0B16C"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Nielsen, T. S., &amp; Hansen, K. B. (2007). Do green areas affect health? Results from a Danish survey on the use of green areas and health indicators. </w:t>
      </w:r>
      <w:r w:rsidRPr="00594BFA">
        <w:rPr>
          <w:rFonts w:ascii="Times New Roman" w:eastAsia="Times New Roman" w:hAnsi="Times New Roman" w:cs="Times New Roman"/>
          <w:i/>
          <w:iCs/>
          <w:kern w:val="0"/>
          <w:sz w:val="24"/>
          <w:szCs w:val="24"/>
          <w:lang w:val="en-US" w:eastAsia="en-GB"/>
          <w14:ligatures w14:val="none"/>
        </w:rPr>
        <w:t>Health &amp; Place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13</w:t>
      </w:r>
      <w:r w:rsidRPr="00594BFA">
        <w:rPr>
          <w:rFonts w:ascii="Times New Roman" w:eastAsia="Times New Roman" w:hAnsi="Times New Roman" w:cs="Times New Roman"/>
          <w:kern w:val="0"/>
          <w:sz w:val="24"/>
          <w:szCs w:val="24"/>
          <w:lang w:val="en-US" w:eastAsia="en-GB"/>
          <w14:ligatures w14:val="none"/>
        </w:rPr>
        <w:t>(4), 839–850. https://doi.org/10.1016/j.healthplace.2007.02.001</w:t>
      </w:r>
    </w:p>
    <w:p w14:paraId="79D33D4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lastRenderedPageBreak/>
        <w:t>Ossokina</w:t>
      </w:r>
      <w:proofErr w:type="spellEnd"/>
      <w:r w:rsidRPr="00594BFA">
        <w:rPr>
          <w:rFonts w:ascii="Times New Roman" w:eastAsia="Times New Roman" w:hAnsi="Times New Roman" w:cs="Times New Roman"/>
          <w:kern w:val="0"/>
          <w:sz w:val="24"/>
          <w:szCs w:val="24"/>
          <w:lang w:val="en-US" w:eastAsia="en-GB"/>
          <w14:ligatures w14:val="none"/>
        </w:rPr>
        <w:t xml:space="preserve">, I. V., &amp; </w:t>
      </w:r>
      <w:proofErr w:type="spellStart"/>
      <w:r w:rsidRPr="00594BFA">
        <w:rPr>
          <w:rFonts w:ascii="Times New Roman" w:eastAsia="Times New Roman" w:hAnsi="Times New Roman" w:cs="Times New Roman"/>
          <w:kern w:val="0"/>
          <w:sz w:val="24"/>
          <w:szCs w:val="24"/>
          <w:lang w:val="en-US" w:eastAsia="en-GB"/>
          <w14:ligatures w14:val="none"/>
        </w:rPr>
        <w:t>Arentze</w:t>
      </w:r>
      <w:proofErr w:type="spellEnd"/>
      <w:r w:rsidRPr="00594BFA">
        <w:rPr>
          <w:rFonts w:ascii="Times New Roman" w:eastAsia="Times New Roman" w:hAnsi="Times New Roman" w:cs="Times New Roman"/>
          <w:kern w:val="0"/>
          <w:sz w:val="24"/>
          <w:szCs w:val="24"/>
          <w:lang w:val="en-US" w:eastAsia="en-GB"/>
          <w14:ligatures w14:val="none"/>
        </w:rPr>
        <w:t xml:space="preserve">, T. A. (2022). Reference-dependent housing choice </w:t>
      </w:r>
      <w:proofErr w:type="spellStart"/>
      <w:r w:rsidRPr="00594BFA">
        <w:rPr>
          <w:rFonts w:ascii="Times New Roman" w:eastAsia="Times New Roman" w:hAnsi="Times New Roman" w:cs="Times New Roman"/>
          <w:kern w:val="0"/>
          <w:sz w:val="24"/>
          <w:szCs w:val="24"/>
          <w:lang w:val="en-US" w:eastAsia="en-GB"/>
          <w14:ligatures w14:val="none"/>
        </w:rPr>
        <w:t>behaviour</w:t>
      </w:r>
      <w:proofErr w:type="spellEnd"/>
      <w:r w:rsidRPr="00594BFA">
        <w:rPr>
          <w:rFonts w:ascii="Times New Roman" w:eastAsia="Times New Roman" w:hAnsi="Times New Roman" w:cs="Times New Roman"/>
          <w:kern w:val="0"/>
          <w:sz w:val="24"/>
          <w:szCs w:val="24"/>
          <w:lang w:val="en-US" w:eastAsia="en-GB"/>
          <w14:ligatures w14:val="none"/>
        </w:rPr>
        <w:t xml:space="preserve">: Why are older people reluctant to move? </w:t>
      </w:r>
      <w:r w:rsidRPr="00594BFA">
        <w:rPr>
          <w:rFonts w:ascii="Times New Roman" w:eastAsia="Times New Roman" w:hAnsi="Times New Roman" w:cs="Times New Roman"/>
          <w:i/>
          <w:iCs/>
          <w:kern w:val="0"/>
          <w:sz w:val="24"/>
          <w:szCs w:val="24"/>
          <w:lang w:val="en-US" w:eastAsia="en-GB"/>
          <w14:ligatures w14:val="none"/>
        </w:rPr>
        <w:t>Housing Studies</w:t>
      </w:r>
      <w:r w:rsidRPr="00594BFA">
        <w:rPr>
          <w:rFonts w:ascii="Times New Roman" w:eastAsia="Times New Roman" w:hAnsi="Times New Roman" w:cs="Times New Roman"/>
          <w:kern w:val="0"/>
          <w:sz w:val="24"/>
          <w:szCs w:val="24"/>
          <w:lang w:val="en-US" w:eastAsia="en-GB"/>
          <w14:ligatures w14:val="none"/>
        </w:rPr>
        <w:t>, 1–19. https://doi.org/10.1080/02673037.2022.2151984</w:t>
      </w:r>
    </w:p>
    <w:p w14:paraId="37E2736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proofErr w:type="spellStart"/>
      <w:r w:rsidRPr="00594BFA">
        <w:rPr>
          <w:rFonts w:ascii="Times New Roman" w:eastAsia="Times New Roman" w:hAnsi="Times New Roman" w:cs="Times New Roman"/>
          <w:kern w:val="0"/>
          <w:sz w:val="24"/>
          <w:szCs w:val="24"/>
          <w:lang w:val="en-US" w:eastAsia="en-GB"/>
          <w14:ligatures w14:val="none"/>
        </w:rPr>
        <w:t>Ossokina</w:t>
      </w:r>
      <w:proofErr w:type="spellEnd"/>
      <w:r w:rsidRPr="00594BFA">
        <w:rPr>
          <w:rFonts w:ascii="Times New Roman" w:eastAsia="Times New Roman" w:hAnsi="Times New Roman" w:cs="Times New Roman"/>
          <w:kern w:val="0"/>
          <w:sz w:val="24"/>
          <w:szCs w:val="24"/>
          <w:lang w:val="en-US" w:eastAsia="en-GB"/>
          <w14:ligatures w14:val="none"/>
        </w:rPr>
        <w:t xml:space="preserve">, I. V., Arentze, T. A., Van Gameren, D., &amp; Van Den Heuvel, D. (2020). Best living concepts for elderly homeowners: Combining a stated choice experiment with architectural design. </w:t>
      </w:r>
      <w:r w:rsidRPr="00594BFA">
        <w:rPr>
          <w:rFonts w:ascii="Times New Roman" w:eastAsia="Times New Roman" w:hAnsi="Times New Roman" w:cs="Times New Roman"/>
          <w:i/>
          <w:iCs/>
          <w:kern w:val="0"/>
          <w:sz w:val="24"/>
          <w:szCs w:val="24"/>
          <w:lang w:val="en-US" w:eastAsia="en-GB"/>
          <w14:ligatures w14:val="none"/>
        </w:rPr>
        <w:t>Journal of Housing and the Built Environment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35</w:t>
      </w:r>
      <w:r w:rsidRPr="00594BFA">
        <w:rPr>
          <w:rFonts w:ascii="Times New Roman" w:eastAsia="Times New Roman" w:hAnsi="Times New Roman" w:cs="Times New Roman"/>
          <w:kern w:val="0"/>
          <w:sz w:val="24"/>
          <w:szCs w:val="24"/>
          <w:lang w:val="en-US" w:eastAsia="en-GB"/>
          <w14:ligatures w14:val="none"/>
        </w:rPr>
        <w:t>(3), 847–865. https://doi.org/10.1007/s10901-019-09716-5</w:t>
      </w:r>
    </w:p>
    <w:p w14:paraId="05713F10"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Paquet, C., </w:t>
      </w:r>
      <w:proofErr w:type="spellStart"/>
      <w:r w:rsidRPr="00594BFA">
        <w:rPr>
          <w:rFonts w:ascii="Times New Roman" w:eastAsia="Times New Roman" w:hAnsi="Times New Roman" w:cs="Times New Roman"/>
          <w:kern w:val="0"/>
          <w:sz w:val="24"/>
          <w:szCs w:val="24"/>
          <w:lang w:val="en-US" w:eastAsia="en-GB"/>
          <w14:ligatures w14:val="none"/>
        </w:rPr>
        <w:t>Orschulok</w:t>
      </w:r>
      <w:proofErr w:type="spellEnd"/>
      <w:r w:rsidRPr="00594BFA">
        <w:rPr>
          <w:rFonts w:ascii="Times New Roman" w:eastAsia="Times New Roman" w:hAnsi="Times New Roman" w:cs="Times New Roman"/>
          <w:kern w:val="0"/>
          <w:sz w:val="24"/>
          <w:szCs w:val="24"/>
          <w:lang w:val="en-US" w:eastAsia="en-GB"/>
          <w14:ligatures w14:val="none"/>
        </w:rPr>
        <w:t xml:space="preserve">, T. P., Coffee, N. T., Howard, N. J., Hugo, G., Taylor, A. W., Adams, R. J., &amp; Daniel, M. (2013). Are accessibility and characteristics of public open spaces associated with </w:t>
      </w:r>
      <w:proofErr w:type="gramStart"/>
      <w:r w:rsidRPr="00594BFA">
        <w:rPr>
          <w:rFonts w:ascii="Times New Roman" w:eastAsia="Times New Roman" w:hAnsi="Times New Roman" w:cs="Times New Roman"/>
          <w:kern w:val="0"/>
          <w:sz w:val="24"/>
          <w:szCs w:val="24"/>
          <w:lang w:val="en-US" w:eastAsia="en-GB"/>
          <w14:ligatures w14:val="none"/>
        </w:rPr>
        <w:t>a better</w:t>
      </w:r>
      <w:proofErr w:type="gramEnd"/>
      <w:r w:rsidRPr="00594BFA">
        <w:rPr>
          <w:rFonts w:ascii="Times New Roman" w:eastAsia="Times New Roman" w:hAnsi="Times New Roman" w:cs="Times New Roman"/>
          <w:kern w:val="0"/>
          <w:sz w:val="24"/>
          <w:szCs w:val="24"/>
          <w:lang w:val="en-US" w:eastAsia="en-GB"/>
          <w14:ligatures w14:val="none"/>
        </w:rPr>
        <w:t xml:space="preserve"> cardiometabolic health? </w:t>
      </w:r>
      <w:r w:rsidRPr="00594BFA">
        <w:rPr>
          <w:rFonts w:ascii="Times New Roman" w:eastAsia="Times New Roman" w:hAnsi="Times New Roman" w:cs="Times New Roman"/>
          <w:i/>
          <w:iCs/>
          <w:kern w:val="0"/>
          <w:sz w:val="24"/>
          <w:szCs w:val="24"/>
          <w:lang w:val="en-US" w:eastAsia="en-GB"/>
          <w14:ligatures w14:val="none"/>
        </w:rPr>
        <w:t>Landscape and Urban Planning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118</w:t>
      </w:r>
      <w:r w:rsidRPr="00594BFA">
        <w:rPr>
          <w:rFonts w:ascii="Times New Roman" w:eastAsia="Times New Roman" w:hAnsi="Times New Roman" w:cs="Times New Roman"/>
          <w:kern w:val="0"/>
          <w:sz w:val="24"/>
          <w:szCs w:val="24"/>
          <w:lang w:val="en-US" w:eastAsia="en-GB"/>
          <w14:ligatures w14:val="none"/>
        </w:rPr>
        <w:t>, 70–78. https://doi.org/10.1016/j.landurbplan.2012.11.011</w:t>
      </w:r>
    </w:p>
    <w:p w14:paraId="648CEEB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Polk, M. (2004). The influence of gender on daily car use and on willingness to reduce car use in Sweden. </w:t>
      </w:r>
      <w:r w:rsidRPr="00594BFA">
        <w:rPr>
          <w:rFonts w:ascii="Times New Roman" w:eastAsia="Times New Roman" w:hAnsi="Times New Roman" w:cs="Times New Roman"/>
          <w:i/>
          <w:iCs/>
          <w:kern w:val="0"/>
          <w:sz w:val="24"/>
          <w:szCs w:val="24"/>
          <w:lang w:val="en-US" w:eastAsia="en-GB"/>
          <w14:ligatures w14:val="none"/>
        </w:rPr>
        <w:t>Journal of Transport Geography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12</w:t>
      </w:r>
      <w:r w:rsidRPr="00594BFA">
        <w:rPr>
          <w:rFonts w:ascii="Times New Roman" w:eastAsia="Times New Roman" w:hAnsi="Times New Roman" w:cs="Times New Roman"/>
          <w:kern w:val="0"/>
          <w:sz w:val="24"/>
          <w:szCs w:val="24"/>
          <w:lang w:val="en-US" w:eastAsia="en-GB"/>
          <w14:ligatures w14:val="none"/>
        </w:rPr>
        <w:t>(3), 185–195. https://doi.org/10.1016/j.jtrangeo.2004.04.002</w:t>
      </w:r>
    </w:p>
    <w:p w14:paraId="0DAF2BF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Ricciardi, A. M., Xia, J., &amp; Currie, G. (2015). Exploring public transport equity between separate disadvantaged cohorts: A case study in Perth, Australia. </w:t>
      </w:r>
      <w:r w:rsidRPr="00594BFA">
        <w:rPr>
          <w:rFonts w:ascii="Times New Roman" w:eastAsia="Times New Roman" w:hAnsi="Times New Roman" w:cs="Times New Roman"/>
          <w:i/>
          <w:iCs/>
          <w:kern w:val="0"/>
          <w:sz w:val="24"/>
          <w:szCs w:val="24"/>
          <w:lang w:val="en-US" w:eastAsia="en-GB"/>
          <w14:ligatures w14:val="none"/>
        </w:rPr>
        <w:t>Journal of Transport Geography</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43</w:t>
      </w:r>
      <w:r w:rsidRPr="00594BFA">
        <w:rPr>
          <w:rFonts w:ascii="Times New Roman" w:eastAsia="Times New Roman" w:hAnsi="Times New Roman" w:cs="Times New Roman"/>
          <w:kern w:val="0"/>
          <w:sz w:val="24"/>
          <w:szCs w:val="24"/>
          <w:lang w:val="en-US" w:eastAsia="en-GB"/>
          <w14:ligatures w14:val="none"/>
        </w:rPr>
        <w:t>, 111–122. https://doi.org/10.1016/j.jtrangeo.2015.01.011</w:t>
      </w:r>
    </w:p>
    <w:p w14:paraId="143666C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Robison, J. T., &amp; Moen, P. (2000). A Life-Course Perspective on Housing Expectations and Shifts in Late Midlife. </w:t>
      </w:r>
      <w:r w:rsidRPr="00594BFA">
        <w:rPr>
          <w:rFonts w:ascii="Times New Roman" w:eastAsia="Times New Roman" w:hAnsi="Times New Roman" w:cs="Times New Roman"/>
          <w:i/>
          <w:iCs/>
          <w:kern w:val="0"/>
          <w:sz w:val="24"/>
          <w:szCs w:val="24"/>
          <w:lang w:val="en-US" w:eastAsia="en-GB"/>
          <w14:ligatures w14:val="none"/>
        </w:rPr>
        <w:t>Research on Aging</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22</w:t>
      </w:r>
      <w:r w:rsidRPr="00594BFA">
        <w:rPr>
          <w:rFonts w:ascii="Times New Roman" w:eastAsia="Times New Roman" w:hAnsi="Times New Roman" w:cs="Times New Roman"/>
          <w:kern w:val="0"/>
          <w:sz w:val="24"/>
          <w:szCs w:val="24"/>
          <w:lang w:val="en-US" w:eastAsia="en-GB"/>
          <w14:ligatures w14:val="none"/>
        </w:rPr>
        <w:t>(5), 499–532. https://doi.org/10.1177/0164027500225003</w:t>
      </w:r>
    </w:p>
    <w:p w14:paraId="06114459"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Rosenbloom, S. (2006). Is the Driving Experience of Older Women </w:t>
      </w:r>
      <w:proofErr w:type="gramStart"/>
      <w:r w:rsidRPr="00594BFA">
        <w:rPr>
          <w:rFonts w:ascii="Times New Roman" w:eastAsia="Times New Roman" w:hAnsi="Times New Roman" w:cs="Times New Roman"/>
          <w:kern w:val="0"/>
          <w:sz w:val="24"/>
          <w:szCs w:val="24"/>
          <w:lang w:val="en-US" w:eastAsia="en-GB"/>
          <w14:ligatures w14:val="none"/>
        </w:rPr>
        <w:t>Changing?:</w:t>
      </w:r>
      <w:proofErr w:type="gramEnd"/>
      <w:r w:rsidRPr="00594BFA">
        <w:rPr>
          <w:rFonts w:ascii="Times New Roman" w:eastAsia="Times New Roman" w:hAnsi="Times New Roman" w:cs="Times New Roman"/>
          <w:kern w:val="0"/>
          <w:sz w:val="24"/>
          <w:szCs w:val="24"/>
          <w:lang w:val="en-US" w:eastAsia="en-GB"/>
          <w14:ligatures w14:val="none"/>
        </w:rPr>
        <w:t xml:space="preserve"> Safety and Mobility Consequences over Time. </w:t>
      </w:r>
      <w:r w:rsidRPr="00594BFA">
        <w:rPr>
          <w:rFonts w:ascii="Times New Roman" w:eastAsia="Times New Roman" w:hAnsi="Times New Roman" w:cs="Times New Roman"/>
          <w:i/>
          <w:iCs/>
          <w:kern w:val="0"/>
          <w:sz w:val="24"/>
          <w:szCs w:val="24"/>
          <w:lang w:val="en-US" w:eastAsia="en-GB"/>
          <w14:ligatures w14:val="none"/>
        </w:rPr>
        <w:t>Transportation Research Record: Journal of the Transportation Research Board</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1956</w:t>
      </w:r>
      <w:r w:rsidRPr="00594BFA">
        <w:rPr>
          <w:rFonts w:ascii="Times New Roman" w:eastAsia="Times New Roman" w:hAnsi="Times New Roman" w:cs="Times New Roman"/>
          <w:kern w:val="0"/>
          <w:sz w:val="24"/>
          <w:szCs w:val="24"/>
          <w:lang w:val="en-US" w:eastAsia="en-GB"/>
          <w14:ligatures w14:val="none"/>
        </w:rPr>
        <w:t>(1), 127–132. https://doi.org/10.1177/0361198106195600116</w:t>
      </w:r>
    </w:p>
    <w:p w14:paraId="5F77C752"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Roy, N., Dubé, R., Després, C., Freitas, A., &amp; Légaré, F. (2018). Choosing between staying at home or moving: A systematic review of factors influencing housing decisions among frail older adults. </w:t>
      </w:r>
      <w:r w:rsidRPr="00594BFA">
        <w:rPr>
          <w:rFonts w:ascii="Times New Roman" w:eastAsia="Times New Roman" w:hAnsi="Times New Roman" w:cs="Times New Roman"/>
          <w:i/>
          <w:iCs/>
          <w:kern w:val="0"/>
          <w:sz w:val="24"/>
          <w:szCs w:val="24"/>
          <w:lang w:val="en-US" w:eastAsia="en-GB"/>
          <w14:ligatures w14:val="none"/>
        </w:rPr>
        <w:t>PLOS ONE</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13</w:t>
      </w:r>
      <w:r w:rsidRPr="00594BFA">
        <w:rPr>
          <w:rFonts w:ascii="Times New Roman" w:eastAsia="Times New Roman" w:hAnsi="Times New Roman" w:cs="Times New Roman"/>
          <w:kern w:val="0"/>
          <w:sz w:val="24"/>
          <w:szCs w:val="24"/>
          <w:lang w:val="en-US" w:eastAsia="en-GB"/>
          <w14:ligatures w14:val="none"/>
        </w:rPr>
        <w:t>(1), e0189266. https://doi.org/10.1371/journal.pone.0189266</w:t>
      </w:r>
    </w:p>
    <w:p w14:paraId="11268F73" w14:textId="77777777" w:rsidR="00832A7E" w:rsidRPr="00594BFA" w:rsidRDefault="00000000">
      <w:pPr>
        <w:rPr>
          <w:lang w:val="en-US"/>
        </w:rPr>
      </w:pPr>
      <w:proofErr w:type="spellStart"/>
      <w:r w:rsidRPr="00594BFA">
        <w:rPr>
          <w:lang w:val="en-US"/>
        </w:rPr>
        <w:t>Sarrias</w:t>
      </w:r>
      <w:proofErr w:type="spellEnd"/>
      <w:r w:rsidRPr="00594BFA">
        <w:rPr>
          <w:lang w:val="en-US"/>
        </w:rPr>
        <w:t xml:space="preserve">, M., &amp; </w:t>
      </w:r>
      <w:proofErr w:type="spellStart"/>
      <w:r w:rsidRPr="00594BFA">
        <w:rPr>
          <w:lang w:val="en-US"/>
        </w:rPr>
        <w:t>Daziano</w:t>
      </w:r>
      <w:proofErr w:type="spellEnd"/>
      <w:r w:rsidRPr="00594BFA">
        <w:rPr>
          <w:lang w:val="en-US"/>
        </w:rPr>
        <w:t xml:space="preserve">, R. (2017). Multinomial Logit Models with Continuous and Discrete Individual Heterogeneity in R: The </w:t>
      </w:r>
      <w:proofErr w:type="spellStart"/>
      <w:r w:rsidRPr="00594BFA">
        <w:rPr>
          <w:lang w:val="en-US"/>
        </w:rPr>
        <w:t>gmnl</w:t>
      </w:r>
      <w:proofErr w:type="spellEnd"/>
      <w:r w:rsidRPr="00594BFA">
        <w:rPr>
          <w:lang w:val="en-US"/>
        </w:rPr>
        <w:t xml:space="preserve"> Package. Journal of Statistical Software, 79(2), 1–46. https://doi.org/10.18637/jss.v079.i02</w:t>
      </w:r>
    </w:p>
    <w:p w14:paraId="0F59EF85"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Scheiner, J., &amp; Holz-Rau, C. (2017). Women’s complex daily lives: A gendered look at trip chaining and activity pattern entropy in Germany. </w:t>
      </w:r>
      <w:r w:rsidRPr="00594BFA">
        <w:rPr>
          <w:rFonts w:ascii="Times New Roman" w:eastAsia="Times New Roman" w:hAnsi="Times New Roman" w:cs="Times New Roman"/>
          <w:i/>
          <w:iCs/>
          <w:kern w:val="0"/>
          <w:sz w:val="24"/>
          <w:szCs w:val="24"/>
          <w:lang w:val="en-US" w:eastAsia="en-GB"/>
          <w14:ligatures w14:val="none"/>
        </w:rPr>
        <w:t>Transportation</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44</w:t>
      </w:r>
      <w:r w:rsidRPr="00594BFA">
        <w:rPr>
          <w:rFonts w:ascii="Times New Roman" w:eastAsia="Times New Roman" w:hAnsi="Times New Roman" w:cs="Times New Roman"/>
          <w:kern w:val="0"/>
          <w:sz w:val="24"/>
          <w:szCs w:val="24"/>
          <w:lang w:val="en-US" w:eastAsia="en-GB"/>
          <w14:ligatures w14:val="none"/>
        </w:rPr>
        <w:t>(1), 117–138. https://doi.org/10.1007/s11116-015-9627-9</w:t>
      </w:r>
    </w:p>
    <w:p w14:paraId="08467266"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Schulz, M., Gross, C., &amp; Teti, A. (2025). </w:t>
      </w:r>
      <w:r w:rsidRPr="00594BFA">
        <w:rPr>
          <w:rFonts w:ascii="Times New Roman" w:eastAsia="Times New Roman" w:hAnsi="Times New Roman" w:cs="Times New Roman"/>
          <w:i/>
          <w:iCs/>
          <w:kern w:val="0"/>
          <w:sz w:val="24"/>
          <w:szCs w:val="24"/>
          <w:lang w:val="en-US" w:eastAsia="en-GB"/>
          <w14:ligatures w14:val="none"/>
        </w:rPr>
        <w:t>Owning, Renting and Environmental Proactivity: The Role of Housing Tenure in Hypothetical Housing Decisions</w:t>
      </w:r>
      <w:r w:rsidRPr="00594BFA">
        <w:rPr>
          <w:rFonts w:ascii="Times New Roman" w:eastAsia="Times New Roman" w:hAnsi="Times New Roman" w:cs="Times New Roman"/>
          <w:kern w:val="0"/>
          <w:sz w:val="24"/>
          <w:szCs w:val="24"/>
          <w:lang w:val="en-US" w:eastAsia="en-GB"/>
          <w14:ligatures w14:val="none"/>
        </w:rPr>
        <w:t>.</w:t>
      </w:r>
    </w:p>
    <w:p w14:paraId="119F658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Sturm, R., &amp; Cohen, D. (2014). </w:t>
      </w:r>
      <w:r w:rsidRPr="00594BFA">
        <w:rPr>
          <w:rFonts w:ascii="Times New Roman" w:eastAsia="Times New Roman" w:hAnsi="Times New Roman" w:cs="Times New Roman"/>
          <w:i/>
          <w:iCs/>
          <w:kern w:val="0"/>
          <w:sz w:val="24"/>
          <w:szCs w:val="24"/>
          <w:lang w:val="en-US" w:eastAsia="en-GB"/>
          <w14:ligatures w14:val="none"/>
        </w:rPr>
        <w:t>Proximity to Urban Parks and Mental Health</w:t>
      </w:r>
      <w:r w:rsidRPr="00594BFA">
        <w:rPr>
          <w:rFonts w:ascii="Times New Roman" w:eastAsia="Times New Roman" w:hAnsi="Times New Roman" w:cs="Times New Roman"/>
          <w:kern w:val="0"/>
          <w:sz w:val="24"/>
          <w:szCs w:val="24"/>
          <w:lang w:val="en-US" w:eastAsia="en-GB"/>
          <w14:ligatures w14:val="none"/>
        </w:rPr>
        <w:t>.</w:t>
      </w:r>
    </w:p>
    <w:p w14:paraId="2B07E2C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Train, K. (Ed.). (2003). </w:t>
      </w:r>
      <w:r w:rsidRPr="00594BFA">
        <w:rPr>
          <w:rFonts w:ascii="Times New Roman" w:eastAsia="Times New Roman" w:hAnsi="Times New Roman" w:cs="Times New Roman"/>
          <w:i/>
          <w:iCs/>
          <w:kern w:val="0"/>
          <w:sz w:val="24"/>
          <w:szCs w:val="24"/>
          <w:lang w:val="en-US" w:eastAsia="en-GB"/>
          <w14:ligatures w14:val="none"/>
        </w:rPr>
        <w:t>Discrete choice methods with simulation</w:t>
      </w:r>
      <w:r w:rsidRPr="00594BFA">
        <w:rPr>
          <w:rFonts w:ascii="Times New Roman" w:eastAsia="Times New Roman" w:hAnsi="Times New Roman" w:cs="Times New Roman"/>
          <w:kern w:val="0"/>
          <w:sz w:val="24"/>
          <w:szCs w:val="24"/>
          <w:lang w:val="en-US" w:eastAsia="en-GB"/>
          <w14:ligatures w14:val="none"/>
        </w:rPr>
        <w:t>. Cambridge University Press.</w:t>
      </w:r>
    </w:p>
    <w:p w14:paraId="6893151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United Nations Department of Economic and Social Affairs. (2023). </w:t>
      </w:r>
      <w:r w:rsidRPr="00594BFA">
        <w:rPr>
          <w:rFonts w:ascii="Times New Roman" w:eastAsia="Times New Roman" w:hAnsi="Times New Roman" w:cs="Times New Roman"/>
          <w:i/>
          <w:iCs/>
          <w:kern w:val="0"/>
          <w:sz w:val="24"/>
          <w:szCs w:val="24"/>
          <w:lang w:val="en-US" w:eastAsia="en-GB"/>
          <w14:ligatures w14:val="none"/>
        </w:rPr>
        <w:t>World Social Report 2023: Leaving No One Behind in an Ageing World</w:t>
      </w:r>
      <w:r w:rsidRPr="00594BFA">
        <w:rPr>
          <w:rFonts w:ascii="Times New Roman" w:eastAsia="Times New Roman" w:hAnsi="Times New Roman" w:cs="Times New Roman"/>
          <w:kern w:val="0"/>
          <w:sz w:val="24"/>
          <w:szCs w:val="24"/>
          <w:lang w:val="en-US" w:eastAsia="en-GB"/>
          <w14:ligatures w14:val="none"/>
        </w:rPr>
        <w:t xml:space="preserve">. United Nations. </w:t>
      </w:r>
      <w:hyperlink r:id="rId7" w:history="1">
        <w:r w:rsidR="00760DD8" w:rsidRPr="00594BFA">
          <w:rPr>
            <w:rStyle w:val="Hyperlink"/>
            <w:rFonts w:ascii="Times New Roman" w:eastAsia="Times New Roman" w:hAnsi="Times New Roman" w:cs="Times New Roman"/>
            <w:kern w:val="0"/>
            <w:sz w:val="24"/>
            <w:szCs w:val="24"/>
            <w:lang w:val="en-US" w:eastAsia="en-GB"/>
            <w14:ligatures w14:val="none"/>
          </w:rPr>
          <w:t>https://doi.org/10.18356/9789210019682</w:t>
        </w:r>
      </w:hyperlink>
    </w:p>
    <w:p w14:paraId="6D9C699E" w14:textId="77777777" w:rsidR="00760DD8" w:rsidRPr="00594BFA" w:rsidRDefault="00760DD8"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U.S. National Library of Medicine. (2021). ClinicalTrials.gov. https://clinicaltrials.gov/study/NCT04765696</w:t>
      </w:r>
    </w:p>
    <w:p w14:paraId="248CCBEF"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Wiles, J. L., </w:t>
      </w:r>
      <w:proofErr w:type="spellStart"/>
      <w:r w:rsidRPr="00594BFA">
        <w:rPr>
          <w:rFonts w:ascii="Times New Roman" w:eastAsia="Times New Roman" w:hAnsi="Times New Roman" w:cs="Times New Roman"/>
          <w:kern w:val="0"/>
          <w:sz w:val="24"/>
          <w:szCs w:val="24"/>
          <w:lang w:val="en-US" w:eastAsia="en-GB"/>
          <w14:ligatures w14:val="none"/>
        </w:rPr>
        <w:t>Leibing</w:t>
      </w:r>
      <w:proofErr w:type="spellEnd"/>
      <w:r w:rsidRPr="00594BFA">
        <w:rPr>
          <w:rFonts w:ascii="Times New Roman" w:eastAsia="Times New Roman" w:hAnsi="Times New Roman" w:cs="Times New Roman"/>
          <w:kern w:val="0"/>
          <w:sz w:val="24"/>
          <w:szCs w:val="24"/>
          <w:lang w:val="en-US" w:eastAsia="en-GB"/>
          <w14:ligatures w14:val="none"/>
        </w:rPr>
        <w:t xml:space="preserve">, A., Guberman, N., Reeve, J., &amp; Allen, R. E. S. (2012). The Meaning of 'Aging in Place' to Older People. </w:t>
      </w:r>
      <w:r w:rsidRPr="00594BFA">
        <w:rPr>
          <w:rFonts w:ascii="Times New Roman" w:eastAsia="Times New Roman" w:hAnsi="Times New Roman" w:cs="Times New Roman"/>
          <w:i/>
          <w:iCs/>
          <w:kern w:val="0"/>
          <w:sz w:val="24"/>
          <w:szCs w:val="24"/>
          <w:lang w:val="en-US" w:eastAsia="en-GB"/>
          <w14:ligatures w14:val="none"/>
        </w:rPr>
        <w:t>The Gerontologist</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52</w:t>
      </w:r>
      <w:r w:rsidRPr="00594BFA">
        <w:rPr>
          <w:rFonts w:ascii="Times New Roman" w:eastAsia="Times New Roman" w:hAnsi="Times New Roman" w:cs="Times New Roman"/>
          <w:kern w:val="0"/>
          <w:sz w:val="24"/>
          <w:szCs w:val="24"/>
          <w:lang w:val="en-US" w:eastAsia="en-GB"/>
          <w14:ligatures w14:val="none"/>
        </w:rPr>
        <w:t>(3), 357–366. https://doi.org/10.1093/geront/gnr098</w:t>
      </w:r>
    </w:p>
    <w:p w14:paraId="48785B47"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 xml:space="preserve">Wooldridge, J. M. (2010). </w:t>
      </w:r>
      <w:r w:rsidRPr="00594BFA">
        <w:rPr>
          <w:rFonts w:ascii="Times New Roman" w:eastAsia="Times New Roman" w:hAnsi="Times New Roman" w:cs="Times New Roman"/>
          <w:i/>
          <w:iCs/>
          <w:kern w:val="0"/>
          <w:sz w:val="24"/>
          <w:szCs w:val="24"/>
          <w:lang w:val="en-US" w:eastAsia="en-GB"/>
          <w14:ligatures w14:val="none"/>
        </w:rPr>
        <w:t>Econometric Analysis of Cross Section and Panel Data, second edition</w:t>
      </w:r>
      <w:r w:rsidRPr="00594BFA">
        <w:rPr>
          <w:rFonts w:ascii="Times New Roman" w:eastAsia="Times New Roman" w:hAnsi="Times New Roman" w:cs="Times New Roman"/>
          <w:kern w:val="0"/>
          <w:sz w:val="24"/>
          <w:szCs w:val="24"/>
          <w:lang w:val="en-US" w:eastAsia="en-GB"/>
          <w14:ligatures w14:val="none"/>
        </w:rPr>
        <w:t>. MIT Press.</w:t>
      </w:r>
    </w:p>
    <w:p w14:paraId="4C528943" w14:textId="77777777" w:rsidR="00A830A9" w:rsidRPr="00594BFA" w:rsidRDefault="00A830A9" w:rsidP="00A830A9">
      <w:pPr>
        <w:spacing w:after="0" w:line="480" w:lineRule="auto"/>
        <w:ind w:left="720" w:hanging="720"/>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 xml:space="preserve">Zingmark, M., Björk, J., Granbom, M., Gefenaite, G., Nordeström, F., Schmidt, S. M., Rantanen, T., Slaug, B., &amp; Iwarsson, S. (2021). Exploring Associations of Housing, Relocation, and Active and Healthy Aging in Sweden: Protocol for a Prospective Longitudinal Mixed Methods Study. </w:t>
      </w:r>
      <w:r w:rsidRPr="00594BFA">
        <w:rPr>
          <w:rFonts w:ascii="Times New Roman" w:eastAsia="Times New Roman" w:hAnsi="Times New Roman" w:cs="Times New Roman"/>
          <w:i/>
          <w:iCs/>
          <w:kern w:val="0"/>
          <w:sz w:val="24"/>
          <w:szCs w:val="24"/>
          <w:lang w:val="en-US" w:eastAsia="en-GB"/>
          <w14:ligatures w14:val="none"/>
        </w:rPr>
        <w:t>JMIR Research Protocols</w:t>
      </w:r>
      <w:r w:rsidRPr="00594BFA">
        <w:rPr>
          <w:rFonts w:ascii="Times New Roman" w:eastAsia="Times New Roman" w:hAnsi="Times New Roman" w:cs="Times New Roman"/>
          <w:kern w:val="0"/>
          <w:sz w:val="24"/>
          <w:szCs w:val="24"/>
          <w:lang w:val="en-US" w:eastAsia="en-GB"/>
          <w14:ligatures w14:val="none"/>
        </w:rPr>
        <w:t xml:space="preserve">, </w:t>
      </w:r>
      <w:r w:rsidRPr="00594BFA">
        <w:rPr>
          <w:rFonts w:ascii="Times New Roman" w:eastAsia="Times New Roman" w:hAnsi="Times New Roman" w:cs="Times New Roman"/>
          <w:i/>
          <w:iCs/>
          <w:kern w:val="0"/>
          <w:sz w:val="24"/>
          <w:szCs w:val="24"/>
          <w:lang w:val="en-US" w:eastAsia="en-GB"/>
          <w14:ligatures w14:val="none"/>
        </w:rPr>
        <w:t>10</w:t>
      </w:r>
      <w:r w:rsidRPr="00594BFA">
        <w:rPr>
          <w:rFonts w:ascii="Times New Roman" w:eastAsia="Times New Roman" w:hAnsi="Times New Roman" w:cs="Times New Roman"/>
          <w:kern w:val="0"/>
          <w:sz w:val="24"/>
          <w:szCs w:val="24"/>
          <w:lang w:val="en-US" w:eastAsia="en-GB"/>
          <w14:ligatures w14:val="none"/>
        </w:rPr>
        <w:t>(9), e31137. https://doi.org/10.2196/31137</w:t>
      </w:r>
    </w:p>
    <w:p w14:paraId="15689A59"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68F5F4F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EC471A4"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1148715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br w:type="page"/>
      </w:r>
    </w:p>
    <w:p w14:paraId="23315C32"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37AA9D1E"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275A4F28"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Table 1. Attributes and their corresponding levels used in the experiment</w:t>
      </w:r>
    </w:p>
    <w:tbl>
      <w:tblPr>
        <w:tblStyle w:val="TableGridLight1"/>
        <w:tblpPr w:leftFromText="180" w:rightFromText="180" w:vertAnchor="text" w:horzAnchor="margin" w:tblpY="274"/>
        <w:tblW w:w="0" w:type="auto"/>
        <w:tblLook w:val="04A0" w:firstRow="1" w:lastRow="0" w:firstColumn="1" w:lastColumn="0" w:noHBand="0" w:noVBand="1"/>
      </w:tblPr>
      <w:tblGrid>
        <w:gridCol w:w="4315"/>
        <w:gridCol w:w="3426"/>
      </w:tblGrid>
      <w:tr w:rsidR="00A830A9" w:rsidRPr="00594BFA" w14:paraId="70261A01" w14:textId="77777777" w:rsidTr="00F552A0">
        <w:trPr>
          <w:trHeight w:val="432"/>
        </w:trPr>
        <w:tc>
          <w:tcPr>
            <w:tcW w:w="4315" w:type="dxa"/>
            <w:hideMark/>
          </w:tcPr>
          <w:p w14:paraId="4E9B8167" w14:textId="77777777" w:rsidR="00A830A9" w:rsidRPr="00594BFA" w:rsidRDefault="00A830A9" w:rsidP="00A830A9">
            <w:pPr>
              <w:jc w:val="center"/>
              <w:rPr>
                <w:b/>
                <w:bCs/>
                <w:lang w:val="en-US"/>
              </w:rPr>
            </w:pPr>
            <w:r w:rsidRPr="00594BFA">
              <w:rPr>
                <w:b/>
                <w:bCs/>
                <w:lang w:val="en-US"/>
              </w:rPr>
              <w:t>Attribute</w:t>
            </w:r>
          </w:p>
        </w:tc>
        <w:tc>
          <w:tcPr>
            <w:tcW w:w="0" w:type="auto"/>
            <w:hideMark/>
          </w:tcPr>
          <w:p w14:paraId="3EC03E62" w14:textId="77777777" w:rsidR="00A830A9" w:rsidRPr="00594BFA" w:rsidRDefault="00A830A9" w:rsidP="00A830A9">
            <w:pPr>
              <w:jc w:val="center"/>
              <w:rPr>
                <w:b/>
                <w:bCs/>
                <w:lang w:val="en-US"/>
              </w:rPr>
            </w:pPr>
            <w:r w:rsidRPr="00594BFA">
              <w:rPr>
                <w:b/>
                <w:bCs/>
                <w:lang w:val="en-US"/>
              </w:rPr>
              <w:t>Levels</w:t>
            </w:r>
          </w:p>
        </w:tc>
      </w:tr>
      <w:tr w:rsidR="00A830A9" w:rsidRPr="00594BFA" w14:paraId="1A29DD46" w14:textId="77777777" w:rsidTr="00F552A0">
        <w:trPr>
          <w:trHeight w:val="432"/>
        </w:trPr>
        <w:tc>
          <w:tcPr>
            <w:tcW w:w="4315" w:type="dxa"/>
            <w:hideMark/>
          </w:tcPr>
          <w:p w14:paraId="00C0817E" w14:textId="77777777" w:rsidR="00A830A9" w:rsidRPr="00594BFA" w:rsidRDefault="00A830A9" w:rsidP="00A830A9">
            <w:pPr>
              <w:jc w:val="center"/>
              <w:rPr>
                <w:lang w:val="en-US"/>
              </w:rPr>
            </w:pPr>
            <w:r w:rsidRPr="00594BFA">
              <w:rPr>
                <w:lang w:val="en-US"/>
              </w:rPr>
              <w:t>Distance to green areas</w:t>
            </w:r>
          </w:p>
        </w:tc>
        <w:tc>
          <w:tcPr>
            <w:tcW w:w="0" w:type="auto"/>
            <w:hideMark/>
          </w:tcPr>
          <w:p w14:paraId="74346C41" w14:textId="77777777" w:rsidR="00A830A9" w:rsidRPr="00594BFA" w:rsidRDefault="00A830A9" w:rsidP="00A830A9">
            <w:pPr>
              <w:jc w:val="center"/>
              <w:rPr>
                <w:lang w:val="en-US"/>
              </w:rPr>
            </w:pPr>
            <w:r w:rsidRPr="00594BFA">
              <w:rPr>
                <w:lang w:val="en-US"/>
              </w:rPr>
              <w:t>500 m; 5 km; 15 km</w:t>
            </w:r>
          </w:p>
        </w:tc>
      </w:tr>
      <w:tr w:rsidR="00A830A9" w:rsidRPr="00594BFA" w14:paraId="4535BA97" w14:textId="77777777" w:rsidTr="00F552A0">
        <w:trPr>
          <w:trHeight w:val="432"/>
        </w:trPr>
        <w:tc>
          <w:tcPr>
            <w:tcW w:w="4315" w:type="dxa"/>
            <w:hideMark/>
          </w:tcPr>
          <w:p w14:paraId="531A7569" w14:textId="77777777" w:rsidR="00A830A9" w:rsidRPr="00594BFA" w:rsidRDefault="00A830A9" w:rsidP="00A830A9">
            <w:pPr>
              <w:jc w:val="center"/>
              <w:rPr>
                <w:lang w:val="en-US"/>
              </w:rPr>
            </w:pPr>
            <w:r w:rsidRPr="00594BFA">
              <w:rPr>
                <w:lang w:val="en-US"/>
              </w:rPr>
              <w:t>Distance to shops and services</w:t>
            </w:r>
          </w:p>
        </w:tc>
        <w:tc>
          <w:tcPr>
            <w:tcW w:w="0" w:type="auto"/>
            <w:hideMark/>
          </w:tcPr>
          <w:p w14:paraId="391712B7" w14:textId="77777777" w:rsidR="00A830A9" w:rsidRPr="00594BFA" w:rsidRDefault="00A830A9" w:rsidP="00A830A9">
            <w:pPr>
              <w:jc w:val="center"/>
              <w:rPr>
                <w:lang w:val="en-US"/>
              </w:rPr>
            </w:pPr>
            <w:r w:rsidRPr="00594BFA">
              <w:rPr>
                <w:lang w:val="en-US"/>
              </w:rPr>
              <w:t>500 m; 5 km; 15 km</w:t>
            </w:r>
          </w:p>
        </w:tc>
      </w:tr>
      <w:tr w:rsidR="00A830A9" w:rsidRPr="00594BFA" w14:paraId="0A1D8267" w14:textId="77777777" w:rsidTr="00F552A0">
        <w:trPr>
          <w:trHeight w:val="432"/>
        </w:trPr>
        <w:tc>
          <w:tcPr>
            <w:tcW w:w="4315" w:type="dxa"/>
            <w:hideMark/>
          </w:tcPr>
          <w:p w14:paraId="394410F7" w14:textId="77777777" w:rsidR="00A830A9" w:rsidRPr="00594BFA" w:rsidRDefault="00A830A9" w:rsidP="00A830A9">
            <w:pPr>
              <w:jc w:val="center"/>
              <w:rPr>
                <w:lang w:val="en-US"/>
              </w:rPr>
            </w:pPr>
            <w:r w:rsidRPr="00594BFA">
              <w:rPr>
                <w:lang w:val="en-US"/>
              </w:rPr>
              <w:t>Distance to public transportation</w:t>
            </w:r>
          </w:p>
        </w:tc>
        <w:tc>
          <w:tcPr>
            <w:tcW w:w="0" w:type="auto"/>
            <w:hideMark/>
          </w:tcPr>
          <w:p w14:paraId="034BB2F8" w14:textId="77777777" w:rsidR="00A830A9" w:rsidRPr="00594BFA" w:rsidRDefault="00A830A9" w:rsidP="00A830A9">
            <w:pPr>
              <w:jc w:val="center"/>
              <w:rPr>
                <w:lang w:val="en-US"/>
              </w:rPr>
            </w:pPr>
            <w:r w:rsidRPr="00594BFA">
              <w:rPr>
                <w:lang w:val="en-US"/>
              </w:rPr>
              <w:t>300 m; 600 m; 900 m</w:t>
            </w:r>
          </w:p>
        </w:tc>
      </w:tr>
      <w:tr w:rsidR="00A830A9" w:rsidRPr="00594BFA" w14:paraId="4FE16FC8" w14:textId="77777777" w:rsidTr="00F552A0">
        <w:trPr>
          <w:trHeight w:val="432"/>
        </w:trPr>
        <w:tc>
          <w:tcPr>
            <w:tcW w:w="4315" w:type="dxa"/>
            <w:hideMark/>
          </w:tcPr>
          <w:p w14:paraId="292066A3" w14:textId="77777777" w:rsidR="00A830A9" w:rsidRPr="00594BFA" w:rsidRDefault="00A830A9" w:rsidP="00A830A9">
            <w:pPr>
              <w:jc w:val="center"/>
              <w:rPr>
                <w:lang w:val="en-US"/>
              </w:rPr>
            </w:pPr>
            <w:r w:rsidRPr="00594BFA">
              <w:rPr>
                <w:lang w:val="en-US"/>
              </w:rPr>
              <w:t>Parking availability</w:t>
            </w:r>
          </w:p>
        </w:tc>
        <w:tc>
          <w:tcPr>
            <w:tcW w:w="0" w:type="auto"/>
            <w:hideMark/>
          </w:tcPr>
          <w:p w14:paraId="5B0E550B" w14:textId="77777777" w:rsidR="00A830A9" w:rsidRPr="00594BFA" w:rsidRDefault="00A830A9" w:rsidP="00A830A9">
            <w:pPr>
              <w:jc w:val="center"/>
              <w:rPr>
                <w:lang w:val="en-US"/>
              </w:rPr>
            </w:pPr>
            <w:r w:rsidRPr="00594BFA">
              <w:rPr>
                <w:lang w:val="en-US"/>
              </w:rPr>
              <w:t>None; Reserved space; Reserved garage</w:t>
            </w:r>
          </w:p>
        </w:tc>
      </w:tr>
      <w:tr w:rsidR="00A830A9" w:rsidRPr="00594BFA" w14:paraId="5AB9052D" w14:textId="77777777" w:rsidTr="00F552A0">
        <w:trPr>
          <w:trHeight w:val="432"/>
        </w:trPr>
        <w:tc>
          <w:tcPr>
            <w:tcW w:w="4315" w:type="dxa"/>
            <w:hideMark/>
          </w:tcPr>
          <w:p w14:paraId="168A39A7" w14:textId="77777777" w:rsidR="00A830A9" w:rsidRPr="00594BFA" w:rsidRDefault="00A830A9" w:rsidP="00A830A9">
            <w:pPr>
              <w:jc w:val="center"/>
              <w:rPr>
                <w:lang w:val="en-US"/>
              </w:rPr>
            </w:pPr>
            <w:r w:rsidRPr="00594BFA">
              <w:rPr>
                <w:lang w:val="en-US"/>
              </w:rPr>
              <w:t>Monthly housing cost (vs. planned)</w:t>
            </w:r>
          </w:p>
        </w:tc>
        <w:tc>
          <w:tcPr>
            <w:tcW w:w="0" w:type="auto"/>
            <w:hideMark/>
          </w:tcPr>
          <w:p w14:paraId="4FD28805" w14:textId="77777777" w:rsidR="00A830A9" w:rsidRPr="00594BFA" w:rsidRDefault="00A830A9" w:rsidP="00A830A9">
            <w:pPr>
              <w:jc w:val="center"/>
              <w:rPr>
                <w:lang w:val="en-US"/>
              </w:rPr>
            </w:pPr>
            <w:r w:rsidRPr="00594BFA">
              <w:rPr>
                <w:lang w:val="en-US"/>
              </w:rPr>
              <w:t>−20%; −10%; 0%; +10%; +20%</w:t>
            </w:r>
          </w:p>
        </w:tc>
      </w:tr>
    </w:tbl>
    <w:p w14:paraId="070875A1" w14:textId="77777777" w:rsidR="00A830A9" w:rsidRPr="00594BFA" w:rsidRDefault="00A830A9" w:rsidP="00A830A9">
      <w:pPr>
        <w:spacing w:after="0" w:line="480" w:lineRule="auto"/>
        <w:ind w:firstLine="720"/>
        <w:rPr>
          <w:rFonts w:ascii="Times New Roman" w:eastAsia="Times New Roman" w:hAnsi="Times New Roman" w:cs="Times New Roman"/>
          <w:kern w:val="0"/>
          <w:lang w:val="en-US" w:eastAsia="en-GB"/>
          <w14:ligatures w14:val="none"/>
        </w:rPr>
      </w:pPr>
    </w:p>
    <w:p w14:paraId="6A9552A4" w14:textId="77777777" w:rsidR="00A830A9" w:rsidRPr="00594BFA" w:rsidRDefault="00A830A9" w:rsidP="00A830A9">
      <w:pPr>
        <w:spacing w:after="0" w:line="240" w:lineRule="auto"/>
        <w:rPr>
          <w:rFonts w:ascii="Times New Roman" w:eastAsia="Times New Roman" w:hAnsi="Times New Roman" w:cs="Times New Roman"/>
          <w:kern w:val="0"/>
          <w:lang w:val="en-US" w:eastAsia="en-GB"/>
          <w14:ligatures w14:val="none"/>
        </w:rPr>
      </w:pPr>
      <w:r w:rsidRPr="00594BFA">
        <w:rPr>
          <w:rFonts w:ascii="Times New Roman" w:eastAsia="Times New Roman" w:hAnsi="Times New Roman" w:cs="Times New Roman"/>
          <w:kern w:val="0"/>
          <w:lang w:val="en-US" w:eastAsia="en-GB"/>
          <w14:ligatures w14:val="none"/>
        </w:rPr>
        <w:br w:type="page"/>
      </w:r>
    </w:p>
    <w:p w14:paraId="7D903D68"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2190CB33"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t>Table 2. Sample characteristics by tenure type (N = 790 for homeowners, N = 167 for renters)</w:t>
      </w:r>
    </w:p>
    <w:tbl>
      <w:tblPr>
        <w:tblW w:w="0" w:type="auto"/>
        <w:tblCellMar>
          <w:top w:w="15" w:type="dxa"/>
          <w:left w:w="15" w:type="dxa"/>
          <w:bottom w:w="15" w:type="dxa"/>
          <w:right w:w="15" w:type="dxa"/>
        </w:tblCellMar>
        <w:tblLook w:val="04A0" w:firstRow="1" w:lastRow="0" w:firstColumn="1" w:lastColumn="0" w:noHBand="0" w:noVBand="1"/>
      </w:tblPr>
      <w:tblGrid>
        <w:gridCol w:w="3146"/>
        <w:gridCol w:w="1784"/>
        <w:gridCol w:w="1784"/>
        <w:gridCol w:w="1784"/>
      </w:tblGrid>
      <w:tr w:rsidR="00A830A9" w:rsidRPr="00594BFA" w14:paraId="2E441CCA" w14:textId="77777777" w:rsidTr="00F552A0">
        <w:trPr>
          <w:tblHeader/>
        </w:trPr>
        <w:tc>
          <w:tcPr>
            <w:tcW w:w="0" w:type="auto"/>
            <w:tcMar>
              <w:top w:w="0" w:type="dxa"/>
              <w:left w:w="0" w:type="dxa"/>
              <w:bottom w:w="0" w:type="dxa"/>
              <w:right w:w="0" w:type="dxa"/>
            </w:tcMar>
            <w:vAlign w:val="center"/>
            <w:hideMark/>
          </w:tcPr>
          <w:p w14:paraId="4AD0264A" w14:textId="77777777" w:rsidR="00A830A9" w:rsidRPr="00594BFA" w:rsidRDefault="00A830A9" w:rsidP="00A830A9">
            <w:pPr>
              <w:spacing w:after="0" w:line="240" w:lineRule="auto"/>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w:t>
            </w:r>
          </w:p>
        </w:tc>
        <w:tc>
          <w:tcPr>
            <w:tcW w:w="0" w:type="auto"/>
            <w:tcBorders>
              <w:bottom w:val="single" w:sz="4" w:space="0" w:color="auto"/>
            </w:tcBorders>
            <w:tcMar>
              <w:top w:w="0" w:type="dxa"/>
              <w:left w:w="0" w:type="dxa"/>
              <w:bottom w:w="0" w:type="dxa"/>
              <w:right w:w="0" w:type="dxa"/>
            </w:tcMar>
            <w:vAlign w:val="center"/>
            <w:hideMark/>
          </w:tcPr>
          <w:p w14:paraId="2E59B8A7"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Owner</w:t>
            </w:r>
            <w:r w:rsidRPr="00594BFA">
              <w:rPr>
                <w:rFonts w:ascii="Times New Roman" w:eastAsia="Times New Roman" w:hAnsi="Times New Roman" w:cs="Times New Roman"/>
                <w:b/>
                <w:bCs/>
                <w:kern w:val="0"/>
                <w:sz w:val="20"/>
                <w:szCs w:val="20"/>
                <w:lang w:val="en-US" w:eastAsia="en-GB"/>
                <w14:ligatures w14:val="none"/>
              </w:rPr>
              <w:br/>
              <w:t>(N=790)</w:t>
            </w:r>
          </w:p>
        </w:tc>
        <w:tc>
          <w:tcPr>
            <w:tcW w:w="0" w:type="auto"/>
            <w:tcBorders>
              <w:bottom w:val="single" w:sz="4" w:space="0" w:color="auto"/>
            </w:tcBorders>
            <w:tcMar>
              <w:top w:w="0" w:type="dxa"/>
              <w:left w:w="0" w:type="dxa"/>
              <w:bottom w:w="0" w:type="dxa"/>
              <w:right w:w="0" w:type="dxa"/>
            </w:tcMar>
            <w:vAlign w:val="center"/>
            <w:hideMark/>
          </w:tcPr>
          <w:p w14:paraId="430DBB5B"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Renter</w:t>
            </w:r>
            <w:r w:rsidRPr="00594BFA">
              <w:rPr>
                <w:rFonts w:ascii="Times New Roman" w:eastAsia="Times New Roman" w:hAnsi="Times New Roman" w:cs="Times New Roman"/>
                <w:b/>
                <w:bCs/>
                <w:kern w:val="0"/>
                <w:sz w:val="20"/>
                <w:szCs w:val="20"/>
                <w:lang w:val="en-US" w:eastAsia="en-GB"/>
                <w14:ligatures w14:val="none"/>
              </w:rPr>
              <w:br/>
              <w:t>(N=167)</w:t>
            </w:r>
          </w:p>
        </w:tc>
        <w:tc>
          <w:tcPr>
            <w:tcW w:w="0" w:type="auto"/>
            <w:tcBorders>
              <w:bottom w:val="single" w:sz="4" w:space="0" w:color="auto"/>
            </w:tcBorders>
            <w:tcMar>
              <w:top w:w="0" w:type="dxa"/>
              <w:left w:w="0" w:type="dxa"/>
              <w:bottom w:w="0" w:type="dxa"/>
              <w:right w:w="0" w:type="dxa"/>
            </w:tcMar>
            <w:vAlign w:val="center"/>
            <w:hideMark/>
          </w:tcPr>
          <w:p w14:paraId="00D95FFD" w14:textId="77777777" w:rsidR="00A830A9" w:rsidRPr="00594BFA" w:rsidRDefault="00A830A9" w:rsidP="00A830A9">
            <w:pPr>
              <w:spacing w:after="0" w:line="240" w:lineRule="auto"/>
              <w:jc w:val="center"/>
              <w:rPr>
                <w:rFonts w:ascii="Times New Roman" w:eastAsia="Times New Roman" w:hAnsi="Times New Roman" w:cs="Times New Roman"/>
                <w:b/>
                <w:bCs/>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Overall</w:t>
            </w:r>
            <w:r w:rsidRPr="00594BFA">
              <w:rPr>
                <w:rFonts w:ascii="Times New Roman" w:eastAsia="Times New Roman" w:hAnsi="Times New Roman" w:cs="Times New Roman"/>
                <w:b/>
                <w:bCs/>
                <w:kern w:val="0"/>
                <w:sz w:val="20"/>
                <w:szCs w:val="20"/>
                <w:lang w:val="en-US" w:eastAsia="en-GB"/>
                <w14:ligatures w14:val="none"/>
              </w:rPr>
              <w:br/>
              <w:t>(N=957)</w:t>
            </w:r>
          </w:p>
        </w:tc>
      </w:tr>
      <w:tr w:rsidR="00A830A9" w:rsidRPr="00594BFA" w14:paraId="0794C057" w14:textId="77777777" w:rsidTr="00F552A0">
        <w:tc>
          <w:tcPr>
            <w:tcW w:w="0" w:type="auto"/>
            <w:tcMar>
              <w:top w:w="0" w:type="dxa"/>
              <w:left w:w="0" w:type="dxa"/>
              <w:bottom w:w="0" w:type="dxa"/>
              <w:right w:w="0" w:type="dxa"/>
            </w:tcMar>
            <w:vAlign w:val="center"/>
            <w:hideMark/>
          </w:tcPr>
          <w:p w14:paraId="06114DD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Sex</w:t>
            </w:r>
          </w:p>
        </w:tc>
        <w:tc>
          <w:tcPr>
            <w:tcW w:w="0" w:type="auto"/>
            <w:tcBorders>
              <w:top w:val="single" w:sz="4" w:space="0" w:color="auto"/>
            </w:tcBorders>
            <w:tcMar>
              <w:top w:w="0" w:type="dxa"/>
              <w:left w:w="0" w:type="dxa"/>
              <w:bottom w:w="0" w:type="dxa"/>
              <w:right w:w="0" w:type="dxa"/>
            </w:tcMar>
            <w:vAlign w:val="center"/>
            <w:hideMark/>
          </w:tcPr>
          <w:p w14:paraId="60E4425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2FD267F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Borders>
              <w:top w:val="single" w:sz="4" w:space="0" w:color="auto"/>
            </w:tcBorders>
            <w:tcMar>
              <w:top w:w="0" w:type="dxa"/>
              <w:left w:w="0" w:type="dxa"/>
              <w:bottom w:w="0" w:type="dxa"/>
              <w:right w:w="0" w:type="dxa"/>
            </w:tcMar>
            <w:vAlign w:val="center"/>
            <w:hideMark/>
          </w:tcPr>
          <w:p w14:paraId="35EAB0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73E9AFED" w14:textId="77777777" w:rsidTr="00F552A0">
        <w:tc>
          <w:tcPr>
            <w:tcW w:w="0" w:type="auto"/>
            <w:tcMar>
              <w:top w:w="0" w:type="dxa"/>
              <w:left w:w="0" w:type="dxa"/>
              <w:bottom w:w="0" w:type="dxa"/>
              <w:right w:w="0" w:type="dxa"/>
            </w:tcMar>
            <w:vAlign w:val="center"/>
            <w:hideMark/>
          </w:tcPr>
          <w:p w14:paraId="70A388B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Female</w:t>
            </w:r>
          </w:p>
        </w:tc>
        <w:tc>
          <w:tcPr>
            <w:tcW w:w="0" w:type="auto"/>
            <w:tcMar>
              <w:top w:w="0" w:type="dxa"/>
              <w:left w:w="0" w:type="dxa"/>
              <w:bottom w:w="0" w:type="dxa"/>
              <w:right w:w="0" w:type="dxa"/>
            </w:tcMar>
            <w:vAlign w:val="center"/>
            <w:hideMark/>
          </w:tcPr>
          <w:p w14:paraId="4CBFEC4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419 (53.0%)</w:t>
            </w:r>
          </w:p>
        </w:tc>
        <w:tc>
          <w:tcPr>
            <w:tcW w:w="0" w:type="auto"/>
            <w:tcMar>
              <w:top w:w="0" w:type="dxa"/>
              <w:left w:w="0" w:type="dxa"/>
              <w:bottom w:w="0" w:type="dxa"/>
              <w:right w:w="0" w:type="dxa"/>
            </w:tcMar>
            <w:vAlign w:val="center"/>
            <w:hideMark/>
          </w:tcPr>
          <w:p w14:paraId="79D7607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110 (65.9%)</w:t>
            </w:r>
          </w:p>
        </w:tc>
        <w:tc>
          <w:tcPr>
            <w:tcW w:w="0" w:type="auto"/>
            <w:tcMar>
              <w:top w:w="0" w:type="dxa"/>
              <w:left w:w="0" w:type="dxa"/>
              <w:bottom w:w="0" w:type="dxa"/>
              <w:right w:w="0" w:type="dxa"/>
            </w:tcMar>
            <w:vAlign w:val="center"/>
            <w:hideMark/>
          </w:tcPr>
          <w:p w14:paraId="569D84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529 (55.3%)</w:t>
            </w:r>
          </w:p>
        </w:tc>
      </w:tr>
      <w:tr w:rsidR="00A830A9" w:rsidRPr="00594BFA" w14:paraId="249AFAF3" w14:textId="77777777" w:rsidTr="00F552A0">
        <w:tc>
          <w:tcPr>
            <w:tcW w:w="0" w:type="auto"/>
            <w:tcMar>
              <w:top w:w="0" w:type="dxa"/>
              <w:left w:w="0" w:type="dxa"/>
              <w:bottom w:w="0" w:type="dxa"/>
              <w:right w:w="0" w:type="dxa"/>
            </w:tcMar>
            <w:vAlign w:val="center"/>
            <w:hideMark/>
          </w:tcPr>
          <w:p w14:paraId="670F002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Male</w:t>
            </w:r>
          </w:p>
        </w:tc>
        <w:tc>
          <w:tcPr>
            <w:tcW w:w="0" w:type="auto"/>
            <w:tcMar>
              <w:top w:w="0" w:type="dxa"/>
              <w:left w:w="0" w:type="dxa"/>
              <w:bottom w:w="0" w:type="dxa"/>
              <w:right w:w="0" w:type="dxa"/>
            </w:tcMar>
            <w:vAlign w:val="center"/>
            <w:hideMark/>
          </w:tcPr>
          <w:p w14:paraId="45857EC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371 (47.0%)</w:t>
            </w:r>
          </w:p>
        </w:tc>
        <w:tc>
          <w:tcPr>
            <w:tcW w:w="0" w:type="auto"/>
            <w:tcMar>
              <w:top w:w="0" w:type="dxa"/>
              <w:left w:w="0" w:type="dxa"/>
              <w:bottom w:w="0" w:type="dxa"/>
              <w:right w:w="0" w:type="dxa"/>
            </w:tcMar>
            <w:vAlign w:val="center"/>
            <w:hideMark/>
          </w:tcPr>
          <w:p w14:paraId="2D5CA0D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5593DD3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428 (44.7%)</w:t>
            </w:r>
          </w:p>
        </w:tc>
      </w:tr>
      <w:tr w:rsidR="00A830A9" w:rsidRPr="00594BFA" w14:paraId="7DD049D6" w14:textId="77777777" w:rsidTr="00F552A0">
        <w:tc>
          <w:tcPr>
            <w:tcW w:w="0" w:type="auto"/>
            <w:tcMar>
              <w:top w:w="0" w:type="dxa"/>
              <w:left w:w="0" w:type="dxa"/>
              <w:bottom w:w="0" w:type="dxa"/>
              <w:right w:w="0" w:type="dxa"/>
            </w:tcMar>
            <w:vAlign w:val="center"/>
            <w:hideMark/>
          </w:tcPr>
          <w:p w14:paraId="6899FFE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Age group</w:t>
            </w:r>
          </w:p>
        </w:tc>
        <w:tc>
          <w:tcPr>
            <w:tcW w:w="0" w:type="auto"/>
            <w:tcMar>
              <w:top w:w="0" w:type="dxa"/>
              <w:left w:w="0" w:type="dxa"/>
              <w:bottom w:w="0" w:type="dxa"/>
              <w:right w:w="0" w:type="dxa"/>
            </w:tcMar>
            <w:vAlign w:val="center"/>
            <w:hideMark/>
          </w:tcPr>
          <w:p w14:paraId="76FC74D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E1BA0C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14F45E3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7E8394F5" w14:textId="77777777" w:rsidTr="00F552A0">
        <w:tc>
          <w:tcPr>
            <w:tcW w:w="0" w:type="auto"/>
            <w:tcMar>
              <w:top w:w="0" w:type="dxa"/>
              <w:left w:w="0" w:type="dxa"/>
              <w:bottom w:w="0" w:type="dxa"/>
              <w:right w:w="0" w:type="dxa"/>
            </w:tcMar>
            <w:vAlign w:val="center"/>
            <w:hideMark/>
          </w:tcPr>
          <w:p w14:paraId="3AAD845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55-64</w:t>
            </w:r>
          </w:p>
        </w:tc>
        <w:tc>
          <w:tcPr>
            <w:tcW w:w="0" w:type="auto"/>
            <w:tcMar>
              <w:top w:w="0" w:type="dxa"/>
              <w:left w:w="0" w:type="dxa"/>
              <w:bottom w:w="0" w:type="dxa"/>
              <w:right w:w="0" w:type="dxa"/>
            </w:tcMar>
            <w:vAlign w:val="center"/>
            <w:hideMark/>
          </w:tcPr>
          <w:p w14:paraId="2DBBB3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154 (19.5%)</w:t>
            </w:r>
          </w:p>
        </w:tc>
        <w:tc>
          <w:tcPr>
            <w:tcW w:w="0" w:type="auto"/>
            <w:tcMar>
              <w:top w:w="0" w:type="dxa"/>
              <w:left w:w="0" w:type="dxa"/>
              <w:bottom w:w="0" w:type="dxa"/>
              <w:right w:w="0" w:type="dxa"/>
            </w:tcMar>
            <w:vAlign w:val="center"/>
            <w:hideMark/>
          </w:tcPr>
          <w:p w14:paraId="14EB05D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38 (22.8%)</w:t>
            </w:r>
          </w:p>
        </w:tc>
        <w:tc>
          <w:tcPr>
            <w:tcW w:w="0" w:type="auto"/>
            <w:tcMar>
              <w:top w:w="0" w:type="dxa"/>
              <w:left w:w="0" w:type="dxa"/>
              <w:bottom w:w="0" w:type="dxa"/>
              <w:right w:w="0" w:type="dxa"/>
            </w:tcMar>
            <w:vAlign w:val="center"/>
            <w:hideMark/>
          </w:tcPr>
          <w:p w14:paraId="174CF5E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192 (20.1%)</w:t>
            </w:r>
          </w:p>
        </w:tc>
      </w:tr>
      <w:tr w:rsidR="00A830A9" w:rsidRPr="00594BFA" w14:paraId="5921D8F0" w14:textId="77777777" w:rsidTr="00F552A0">
        <w:tc>
          <w:tcPr>
            <w:tcW w:w="0" w:type="auto"/>
            <w:tcMar>
              <w:top w:w="0" w:type="dxa"/>
              <w:left w:w="0" w:type="dxa"/>
              <w:bottom w:w="0" w:type="dxa"/>
              <w:right w:w="0" w:type="dxa"/>
            </w:tcMar>
            <w:vAlign w:val="center"/>
            <w:hideMark/>
          </w:tcPr>
          <w:p w14:paraId="18F6719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65-74</w:t>
            </w:r>
          </w:p>
        </w:tc>
        <w:tc>
          <w:tcPr>
            <w:tcW w:w="0" w:type="auto"/>
            <w:tcMar>
              <w:top w:w="0" w:type="dxa"/>
              <w:left w:w="0" w:type="dxa"/>
              <w:bottom w:w="0" w:type="dxa"/>
              <w:right w:w="0" w:type="dxa"/>
            </w:tcMar>
            <w:vAlign w:val="center"/>
            <w:hideMark/>
          </w:tcPr>
          <w:p w14:paraId="4171828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344 (43.5%)</w:t>
            </w:r>
          </w:p>
        </w:tc>
        <w:tc>
          <w:tcPr>
            <w:tcW w:w="0" w:type="auto"/>
            <w:tcMar>
              <w:top w:w="0" w:type="dxa"/>
              <w:left w:w="0" w:type="dxa"/>
              <w:bottom w:w="0" w:type="dxa"/>
              <w:right w:w="0" w:type="dxa"/>
            </w:tcMar>
            <w:vAlign w:val="center"/>
            <w:hideMark/>
          </w:tcPr>
          <w:p w14:paraId="3AAA585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72 (43.1%)</w:t>
            </w:r>
          </w:p>
        </w:tc>
        <w:tc>
          <w:tcPr>
            <w:tcW w:w="0" w:type="auto"/>
            <w:tcMar>
              <w:top w:w="0" w:type="dxa"/>
              <w:left w:w="0" w:type="dxa"/>
              <w:bottom w:w="0" w:type="dxa"/>
              <w:right w:w="0" w:type="dxa"/>
            </w:tcMar>
            <w:vAlign w:val="center"/>
            <w:hideMark/>
          </w:tcPr>
          <w:p w14:paraId="340C5B9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416 (43.5%)</w:t>
            </w:r>
          </w:p>
        </w:tc>
      </w:tr>
      <w:tr w:rsidR="00A830A9" w:rsidRPr="00594BFA" w14:paraId="659016CC" w14:textId="77777777" w:rsidTr="00F552A0">
        <w:tc>
          <w:tcPr>
            <w:tcW w:w="0" w:type="auto"/>
            <w:tcMar>
              <w:top w:w="0" w:type="dxa"/>
              <w:left w:w="0" w:type="dxa"/>
              <w:bottom w:w="0" w:type="dxa"/>
              <w:right w:w="0" w:type="dxa"/>
            </w:tcMar>
            <w:vAlign w:val="center"/>
            <w:hideMark/>
          </w:tcPr>
          <w:p w14:paraId="028C546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75+</w:t>
            </w:r>
          </w:p>
        </w:tc>
        <w:tc>
          <w:tcPr>
            <w:tcW w:w="0" w:type="auto"/>
            <w:tcMar>
              <w:top w:w="0" w:type="dxa"/>
              <w:left w:w="0" w:type="dxa"/>
              <w:bottom w:w="0" w:type="dxa"/>
              <w:right w:w="0" w:type="dxa"/>
            </w:tcMar>
            <w:vAlign w:val="center"/>
            <w:hideMark/>
          </w:tcPr>
          <w:p w14:paraId="5C8F4F8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292 (37.0%)</w:t>
            </w:r>
          </w:p>
        </w:tc>
        <w:tc>
          <w:tcPr>
            <w:tcW w:w="0" w:type="auto"/>
            <w:tcMar>
              <w:top w:w="0" w:type="dxa"/>
              <w:left w:w="0" w:type="dxa"/>
              <w:bottom w:w="0" w:type="dxa"/>
              <w:right w:w="0" w:type="dxa"/>
            </w:tcMar>
            <w:vAlign w:val="center"/>
            <w:hideMark/>
          </w:tcPr>
          <w:p w14:paraId="00EBEDC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57 (34.1%)</w:t>
            </w:r>
          </w:p>
        </w:tc>
        <w:tc>
          <w:tcPr>
            <w:tcW w:w="0" w:type="auto"/>
            <w:tcMar>
              <w:top w:w="0" w:type="dxa"/>
              <w:left w:w="0" w:type="dxa"/>
              <w:bottom w:w="0" w:type="dxa"/>
              <w:right w:w="0" w:type="dxa"/>
            </w:tcMar>
            <w:vAlign w:val="center"/>
            <w:hideMark/>
          </w:tcPr>
          <w:p w14:paraId="760CD68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349 (36.5%)</w:t>
            </w:r>
          </w:p>
        </w:tc>
      </w:tr>
      <w:tr w:rsidR="00A830A9" w:rsidRPr="00594BFA" w14:paraId="10AF6B79" w14:textId="77777777" w:rsidTr="00F552A0">
        <w:tc>
          <w:tcPr>
            <w:tcW w:w="0" w:type="auto"/>
            <w:tcMar>
              <w:top w:w="0" w:type="dxa"/>
              <w:left w:w="0" w:type="dxa"/>
              <w:bottom w:w="0" w:type="dxa"/>
              <w:right w:w="0" w:type="dxa"/>
            </w:tcMar>
            <w:vAlign w:val="center"/>
            <w:hideMark/>
          </w:tcPr>
          <w:p w14:paraId="63C7763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Civil status</w:t>
            </w:r>
          </w:p>
        </w:tc>
        <w:tc>
          <w:tcPr>
            <w:tcW w:w="0" w:type="auto"/>
            <w:tcMar>
              <w:top w:w="0" w:type="dxa"/>
              <w:left w:w="0" w:type="dxa"/>
              <w:bottom w:w="0" w:type="dxa"/>
              <w:right w:w="0" w:type="dxa"/>
            </w:tcMar>
            <w:vAlign w:val="center"/>
            <w:hideMark/>
          </w:tcPr>
          <w:p w14:paraId="760FCBB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707F9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680486A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5FFCF652" w14:textId="77777777" w:rsidTr="00F552A0">
        <w:tc>
          <w:tcPr>
            <w:tcW w:w="0" w:type="auto"/>
            <w:tcMar>
              <w:top w:w="0" w:type="dxa"/>
              <w:left w:w="0" w:type="dxa"/>
              <w:bottom w:w="0" w:type="dxa"/>
              <w:right w:w="0" w:type="dxa"/>
            </w:tcMar>
            <w:vAlign w:val="center"/>
            <w:hideMark/>
          </w:tcPr>
          <w:p w14:paraId="34BAC58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Not partnered</w:t>
            </w:r>
          </w:p>
        </w:tc>
        <w:tc>
          <w:tcPr>
            <w:tcW w:w="0" w:type="auto"/>
            <w:tcMar>
              <w:top w:w="0" w:type="dxa"/>
              <w:left w:w="0" w:type="dxa"/>
              <w:bottom w:w="0" w:type="dxa"/>
              <w:right w:w="0" w:type="dxa"/>
            </w:tcMar>
            <w:vAlign w:val="center"/>
            <w:hideMark/>
          </w:tcPr>
          <w:p w14:paraId="7C383A8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287 (36.3%)</w:t>
            </w:r>
          </w:p>
        </w:tc>
        <w:tc>
          <w:tcPr>
            <w:tcW w:w="0" w:type="auto"/>
            <w:tcMar>
              <w:top w:w="0" w:type="dxa"/>
              <w:left w:w="0" w:type="dxa"/>
              <w:bottom w:w="0" w:type="dxa"/>
              <w:right w:w="0" w:type="dxa"/>
            </w:tcMar>
            <w:vAlign w:val="center"/>
            <w:hideMark/>
          </w:tcPr>
          <w:p w14:paraId="14297A1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90 (53.9%)</w:t>
            </w:r>
          </w:p>
        </w:tc>
        <w:tc>
          <w:tcPr>
            <w:tcW w:w="0" w:type="auto"/>
            <w:tcMar>
              <w:top w:w="0" w:type="dxa"/>
              <w:left w:w="0" w:type="dxa"/>
              <w:bottom w:w="0" w:type="dxa"/>
              <w:right w:w="0" w:type="dxa"/>
            </w:tcMar>
            <w:vAlign w:val="center"/>
            <w:hideMark/>
          </w:tcPr>
          <w:p w14:paraId="163DE81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377 (39.4%)</w:t>
            </w:r>
          </w:p>
        </w:tc>
      </w:tr>
      <w:tr w:rsidR="00A830A9" w:rsidRPr="00594BFA" w14:paraId="7E46336B" w14:textId="77777777" w:rsidTr="00F552A0">
        <w:tc>
          <w:tcPr>
            <w:tcW w:w="0" w:type="auto"/>
            <w:tcMar>
              <w:top w:w="0" w:type="dxa"/>
              <w:left w:w="0" w:type="dxa"/>
              <w:bottom w:w="0" w:type="dxa"/>
              <w:right w:w="0" w:type="dxa"/>
            </w:tcMar>
            <w:vAlign w:val="center"/>
            <w:hideMark/>
          </w:tcPr>
          <w:p w14:paraId="0682845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Partnered</w:t>
            </w:r>
          </w:p>
        </w:tc>
        <w:tc>
          <w:tcPr>
            <w:tcW w:w="0" w:type="auto"/>
            <w:tcMar>
              <w:top w:w="0" w:type="dxa"/>
              <w:left w:w="0" w:type="dxa"/>
              <w:bottom w:w="0" w:type="dxa"/>
              <w:right w:w="0" w:type="dxa"/>
            </w:tcMar>
            <w:vAlign w:val="center"/>
            <w:hideMark/>
          </w:tcPr>
          <w:p w14:paraId="581B4A8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503 (63.7%)</w:t>
            </w:r>
          </w:p>
        </w:tc>
        <w:tc>
          <w:tcPr>
            <w:tcW w:w="0" w:type="auto"/>
            <w:tcMar>
              <w:top w:w="0" w:type="dxa"/>
              <w:left w:w="0" w:type="dxa"/>
              <w:bottom w:w="0" w:type="dxa"/>
              <w:right w:w="0" w:type="dxa"/>
            </w:tcMar>
            <w:vAlign w:val="center"/>
            <w:hideMark/>
          </w:tcPr>
          <w:p w14:paraId="2A06155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77 (46.1%)</w:t>
            </w:r>
          </w:p>
        </w:tc>
        <w:tc>
          <w:tcPr>
            <w:tcW w:w="0" w:type="auto"/>
            <w:tcMar>
              <w:top w:w="0" w:type="dxa"/>
              <w:left w:w="0" w:type="dxa"/>
              <w:bottom w:w="0" w:type="dxa"/>
              <w:right w:w="0" w:type="dxa"/>
            </w:tcMar>
            <w:vAlign w:val="center"/>
            <w:hideMark/>
          </w:tcPr>
          <w:p w14:paraId="466DD30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580 (60.6%)</w:t>
            </w:r>
          </w:p>
        </w:tc>
      </w:tr>
      <w:tr w:rsidR="00A830A9" w:rsidRPr="00594BFA" w14:paraId="0DFB99D0" w14:textId="77777777" w:rsidTr="00F552A0">
        <w:tc>
          <w:tcPr>
            <w:tcW w:w="0" w:type="auto"/>
            <w:tcMar>
              <w:top w:w="0" w:type="dxa"/>
              <w:left w:w="0" w:type="dxa"/>
              <w:bottom w:w="0" w:type="dxa"/>
              <w:right w:w="0" w:type="dxa"/>
            </w:tcMar>
            <w:vAlign w:val="center"/>
            <w:hideMark/>
          </w:tcPr>
          <w:p w14:paraId="662F9BA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Education</w:t>
            </w:r>
          </w:p>
        </w:tc>
        <w:tc>
          <w:tcPr>
            <w:tcW w:w="0" w:type="auto"/>
            <w:tcMar>
              <w:top w:w="0" w:type="dxa"/>
              <w:left w:w="0" w:type="dxa"/>
              <w:bottom w:w="0" w:type="dxa"/>
              <w:right w:w="0" w:type="dxa"/>
            </w:tcMar>
            <w:vAlign w:val="center"/>
            <w:hideMark/>
          </w:tcPr>
          <w:p w14:paraId="4B7486A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05F8F9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D14472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31C28F3D" w14:textId="77777777" w:rsidTr="00F552A0">
        <w:tc>
          <w:tcPr>
            <w:tcW w:w="0" w:type="auto"/>
            <w:tcMar>
              <w:top w:w="0" w:type="dxa"/>
              <w:left w:w="0" w:type="dxa"/>
              <w:bottom w:w="0" w:type="dxa"/>
              <w:right w:w="0" w:type="dxa"/>
            </w:tcMar>
            <w:vAlign w:val="center"/>
            <w:hideMark/>
          </w:tcPr>
          <w:p w14:paraId="08487BD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Elementary school</w:t>
            </w:r>
          </w:p>
        </w:tc>
        <w:tc>
          <w:tcPr>
            <w:tcW w:w="0" w:type="auto"/>
            <w:tcMar>
              <w:top w:w="0" w:type="dxa"/>
              <w:left w:w="0" w:type="dxa"/>
              <w:bottom w:w="0" w:type="dxa"/>
              <w:right w:w="0" w:type="dxa"/>
            </w:tcMar>
            <w:vAlign w:val="center"/>
            <w:hideMark/>
          </w:tcPr>
          <w:p w14:paraId="5FC367D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 (5.3%)</w:t>
            </w:r>
          </w:p>
        </w:tc>
        <w:tc>
          <w:tcPr>
            <w:tcW w:w="0" w:type="auto"/>
            <w:tcMar>
              <w:top w:w="0" w:type="dxa"/>
              <w:left w:w="0" w:type="dxa"/>
              <w:bottom w:w="0" w:type="dxa"/>
              <w:right w:w="0" w:type="dxa"/>
            </w:tcMar>
            <w:vAlign w:val="center"/>
            <w:hideMark/>
          </w:tcPr>
          <w:p w14:paraId="66740F5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0D7DE4E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 (6.2%)</w:t>
            </w:r>
          </w:p>
        </w:tc>
      </w:tr>
      <w:tr w:rsidR="00A830A9" w:rsidRPr="00594BFA" w14:paraId="0D9DFF02" w14:textId="77777777" w:rsidTr="00F552A0">
        <w:tc>
          <w:tcPr>
            <w:tcW w:w="0" w:type="auto"/>
            <w:tcMar>
              <w:top w:w="0" w:type="dxa"/>
              <w:left w:w="0" w:type="dxa"/>
              <w:bottom w:w="0" w:type="dxa"/>
              <w:right w:w="0" w:type="dxa"/>
            </w:tcMar>
            <w:vAlign w:val="center"/>
            <w:hideMark/>
          </w:tcPr>
          <w:p w14:paraId="0FFDE88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2 years upper secondary</w:t>
            </w:r>
          </w:p>
        </w:tc>
        <w:tc>
          <w:tcPr>
            <w:tcW w:w="0" w:type="auto"/>
            <w:tcMar>
              <w:top w:w="0" w:type="dxa"/>
              <w:left w:w="0" w:type="dxa"/>
              <w:bottom w:w="0" w:type="dxa"/>
              <w:right w:w="0" w:type="dxa"/>
            </w:tcMar>
            <w:vAlign w:val="center"/>
            <w:hideMark/>
          </w:tcPr>
          <w:p w14:paraId="1ACE8D4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68 (8.6%)</w:t>
            </w:r>
          </w:p>
        </w:tc>
        <w:tc>
          <w:tcPr>
            <w:tcW w:w="0" w:type="auto"/>
            <w:tcMar>
              <w:top w:w="0" w:type="dxa"/>
              <w:left w:w="0" w:type="dxa"/>
              <w:bottom w:w="0" w:type="dxa"/>
              <w:right w:w="0" w:type="dxa"/>
            </w:tcMar>
            <w:vAlign w:val="center"/>
            <w:hideMark/>
          </w:tcPr>
          <w:p w14:paraId="010F083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(10.2%)</w:t>
            </w:r>
          </w:p>
        </w:tc>
        <w:tc>
          <w:tcPr>
            <w:tcW w:w="0" w:type="auto"/>
            <w:tcMar>
              <w:top w:w="0" w:type="dxa"/>
              <w:left w:w="0" w:type="dxa"/>
              <w:bottom w:w="0" w:type="dxa"/>
              <w:right w:w="0" w:type="dxa"/>
            </w:tcMar>
            <w:vAlign w:val="center"/>
            <w:hideMark/>
          </w:tcPr>
          <w:p w14:paraId="38BB89B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85 (8.9%)</w:t>
            </w:r>
          </w:p>
        </w:tc>
      </w:tr>
      <w:tr w:rsidR="00A830A9" w:rsidRPr="00594BFA" w14:paraId="030B2380" w14:textId="77777777" w:rsidTr="00F552A0">
        <w:tc>
          <w:tcPr>
            <w:tcW w:w="0" w:type="auto"/>
            <w:tcMar>
              <w:top w:w="0" w:type="dxa"/>
              <w:left w:w="0" w:type="dxa"/>
              <w:bottom w:w="0" w:type="dxa"/>
              <w:right w:w="0" w:type="dxa"/>
            </w:tcMar>
            <w:vAlign w:val="center"/>
            <w:hideMark/>
          </w:tcPr>
          <w:p w14:paraId="014C950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3-4 years upper secondary</w:t>
            </w:r>
          </w:p>
        </w:tc>
        <w:tc>
          <w:tcPr>
            <w:tcW w:w="0" w:type="auto"/>
            <w:tcMar>
              <w:top w:w="0" w:type="dxa"/>
              <w:left w:w="0" w:type="dxa"/>
              <w:bottom w:w="0" w:type="dxa"/>
              <w:right w:w="0" w:type="dxa"/>
            </w:tcMar>
            <w:vAlign w:val="center"/>
            <w:hideMark/>
          </w:tcPr>
          <w:p w14:paraId="71FE8C0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127 (16.1%)</w:t>
            </w:r>
          </w:p>
        </w:tc>
        <w:tc>
          <w:tcPr>
            <w:tcW w:w="0" w:type="auto"/>
            <w:tcMar>
              <w:top w:w="0" w:type="dxa"/>
              <w:left w:w="0" w:type="dxa"/>
              <w:bottom w:w="0" w:type="dxa"/>
              <w:right w:w="0" w:type="dxa"/>
            </w:tcMar>
            <w:vAlign w:val="center"/>
            <w:hideMark/>
          </w:tcPr>
          <w:p w14:paraId="4D4DE75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30 (18.0%)</w:t>
            </w:r>
          </w:p>
        </w:tc>
        <w:tc>
          <w:tcPr>
            <w:tcW w:w="0" w:type="auto"/>
            <w:tcMar>
              <w:top w:w="0" w:type="dxa"/>
              <w:left w:w="0" w:type="dxa"/>
              <w:bottom w:w="0" w:type="dxa"/>
              <w:right w:w="0" w:type="dxa"/>
            </w:tcMar>
            <w:vAlign w:val="center"/>
            <w:hideMark/>
          </w:tcPr>
          <w:p w14:paraId="40B1E0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157 (16.4%)</w:t>
            </w:r>
          </w:p>
        </w:tc>
      </w:tr>
      <w:tr w:rsidR="00A830A9" w:rsidRPr="00594BFA" w14:paraId="1F538370" w14:textId="77777777" w:rsidTr="00F552A0">
        <w:tc>
          <w:tcPr>
            <w:tcW w:w="0" w:type="auto"/>
            <w:tcMar>
              <w:top w:w="0" w:type="dxa"/>
              <w:left w:w="0" w:type="dxa"/>
              <w:bottom w:w="0" w:type="dxa"/>
              <w:right w:w="0" w:type="dxa"/>
            </w:tcMar>
            <w:vAlign w:val="center"/>
            <w:hideMark/>
          </w:tcPr>
          <w:p w14:paraId="5D5D89F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University &lt; 3 years</w:t>
            </w:r>
          </w:p>
        </w:tc>
        <w:tc>
          <w:tcPr>
            <w:tcW w:w="0" w:type="auto"/>
            <w:tcMar>
              <w:top w:w="0" w:type="dxa"/>
              <w:left w:w="0" w:type="dxa"/>
              <w:bottom w:w="0" w:type="dxa"/>
              <w:right w:w="0" w:type="dxa"/>
            </w:tcMar>
            <w:vAlign w:val="center"/>
            <w:hideMark/>
          </w:tcPr>
          <w:p w14:paraId="68839A5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161 (20.4%)</w:t>
            </w:r>
          </w:p>
        </w:tc>
        <w:tc>
          <w:tcPr>
            <w:tcW w:w="0" w:type="auto"/>
            <w:tcMar>
              <w:top w:w="0" w:type="dxa"/>
              <w:left w:w="0" w:type="dxa"/>
              <w:bottom w:w="0" w:type="dxa"/>
              <w:right w:w="0" w:type="dxa"/>
            </w:tcMar>
            <w:vAlign w:val="center"/>
            <w:hideMark/>
          </w:tcPr>
          <w:p w14:paraId="1BC5980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 (22.2%)</w:t>
            </w:r>
          </w:p>
        </w:tc>
        <w:tc>
          <w:tcPr>
            <w:tcW w:w="0" w:type="auto"/>
            <w:tcMar>
              <w:top w:w="0" w:type="dxa"/>
              <w:left w:w="0" w:type="dxa"/>
              <w:bottom w:w="0" w:type="dxa"/>
              <w:right w:w="0" w:type="dxa"/>
            </w:tcMar>
            <w:vAlign w:val="center"/>
            <w:hideMark/>
          </w:tcPr>
          <w:p w14:paraId="0666583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198 (20.7%)</w:t>
            </w:r>
          </w:p>
        </w:tc>
      </w:tr>
      <w:tr w:rsidR="00A830A9" w:rsidRPr="00594BFA" w14:paraId="4FF9170E" w14:textId="77777777" w:rsidTr="00F552A0">
        <w:tc>
          <w:tcPr>
            <w:tcW w:w="0" w:type="auto"/>
            <w:tcMar>
              <w:top w:w="0" w:type="dxa"/>
              <w:left w:w="0" w:type="dxa"/>
              <w:bottom w:w="0" w:type="dxa"/>
              <w:right w:w="0" w:type="dxa"/>
            </w:tcMar>
            <w:vAlign w:val="center"/>
            <w:hideMark/>
          </w:tcPr>
          <w:p w14:paraId="61E6156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University &gt;= 3 years</w:t>
            </w:r>
          </w:p>
        </w:tc>
        <w:tc>
          <w:tcPr>
            <w:tcW w:w="0" w:type="auto"/>
            <w:tcMar>
              <w:top w:w="0" w:type="dxa"/>
              <w:left w:w="0" w:type="dxa"/>
              <w:bottom w:w="0" w:type="dxa"/>
              <w:right w:w="0" w:type="dxa"/>
            </w:tcMar>
            <w:vAlign w:val="center"/>
            <w:hideMark/>
          </w:tcPr>
          <w:p w14:paraId="52D0400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390 (49.4%)</w:t>
            </w:r>
          </w:p>
        </w:tc>
        <w:tc>
          <w:tcPr>
            <w:tcW w:w="0" w:type="auto"/>
            <w:tcMar>
              <w:top w:w="0" w:type="dxa"/>
              <w:left w:w="0" w:type="dxa"/>
              <w:bottom w:w="0" w:type="dxa"/>
              <w:right w:w="0" w:type="dxa"/>
            </w:tcMar>
            <w:vAlign w:val="center"/>
            <w:hideMark/>
          </w:tcPr>
          <w:p w14:paraId="1A36039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66 (39.5%)</w:t>
            </w:r>
          </w:p>
        </w:tc>
        <w:tc>
          <w:tcPr>
            <w:tcW w:w="0" w:type="auto"/>
            <w:tcMar>
              <w:top w:w="0" w:type="dxa"/>
              <w:left w:w="0" w:type="dxa"/>
              <w:bottom w:w="0" w:type="dxa"/>
              <w:right w:w="0" w:type="dxa"/>
            </w:tcMar>
            <w:vAlign w:val="center"/>
            <w:hideMark/>
          </w:tcPr>
          <w:p w14:paraId="2533D18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456 (47.6%)</w:t>
            </w:r>
          </w:p>
        </w:tc>
      </w:tr>
      <w:tr w:rsidR="00A830A9" w:rsidRPr="00594BFA" w14:paraId="56E69685" w14:textId="77777777" w:rsidTr="00F552A0">
        <w:tc>
          <w:tcPr>
            <w:tcW w:w="0" w:type="auto"/>
            <w:tcMar>
              <w:top w:w="0" w:type="dxa"/>
              <w:left w:w="0" w:type="dxa"/>
              <w:bottom w:w="0" w:type="dxa"/>
              <w:right w:w="0" w:type="dxa"/>
            </w:tcMar>
            <w:vAlign w:val="center"/>
            <w:hideMark/>
          </w:tcPr>
          <w:p w14:paraId="21F6621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041D8BF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(0.3%)</w:t>
            </w:r>
          </w:p>
        </w:tc>
        <w:tc>
          <w:tcPr>
            <w:tcW w:w="0" w:type="auto"/>
            <w:tcMar>
              <w:top w:w="0" w:type="dxa"/>
              <w:left w:w="0" w:type="dxa"/>
              <w:bottom w:w="0" w:type="dxa"/>
              <w:right w:w="0" w:type="dxa"/>
            </w:tcMar>
            <w:vAlign w:val="center"/>
            <w:hideMark/>
          </w:tcPr>
          <w:p w14:paraId="7C8FF98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3A652FC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(0.2%)</w:t>
            </w:r>
          </w:p>
        </w:tc>
      </w:tr>
      <w:tr w:rsidR="00A830A9" w:rsidRPr="00594BFA" w14:paraId="07F23845" w14:textId="77777777" w:rsidTr="00F552A0">
        <w:tc>
          <w:tcPr>
            <w:tcW w:w="0" w:type="auto"/>
            <w:tcMar>
              <w:top w:w="0" w:type="dxa"/>
              <w:left w:w="0" w:type="dxa"/>
              <w:bottom w:w="0" w:type="dxa"/>
              <w:right w:w="0" w:type="dxa"/>
            </w:tcMar>
            <w:vAlign w:val="center"/>
            <w:hideMark/>
          </w:tcPr>
          <w:p w14:paraId="6729531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Self-reported health</w:t>
            </w:r>
          </w:p>
        </w:tc>
        <w:tc>
          <w:tcPr>
            <w:tcW w:w="0" w:type="auto"/>
            <w:tcMar>
              <w:top w:w="0" w:type="dxa"/>
              <w:left w:w="0" w:type="dxa"/>
              <w:bottom w:w="0" w:type="dxa"/>
              <w:right w:w="0" w:type="dxa"/>
            </w:tcMar>
            <w:vAlign w:val="center"/>
            <w:hideMark/>
          </w:tcPr>
          <w:p w14:paraId="376687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375B95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06550D77"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0ADB3141" w14:textId="77777777" w:rsidTr="00F552A0">
        <w:tc>
          <w:tcPr>
            <w:tcW w:w="0" w:type="auto"/>
            <w:tcMar>
              <w:top w:w="0" w:type="dxa"/>
              <w:left w:w="0" w:type="dxa"/>
              <w:bottom w:w="0" w:type="dxa"/>
              <w:right w:w="0" w:type="dxa"/>
            </w:tcMar>
            <w:vAlign w:val="center"/>
            <w:hideMark/>
          </w:tcPr>
          <w:p w14:paraId="72655EB8"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Poor</w:t>
            </w:r>
          </w:p>
        </w:tc>
        <w:tc>
          <w:tcPr>
            <w:tcW w:w="0" w:type="auto"/>
            <w:tcMar>
              <w:top w:w="0" w:type="dxa"/>
              <w:left w:w="0" w:type="dxa"/>
              <w:bottom w:w="0" w:type="dxa"/>
              <w:right w:w="0" w:type="dxa"/>
            </w:tcMar>
            <w:vAlign w:val="center"/>
            <w:hideMark/>
          </w:tcPr>
          <w:p w14:paraId="35EFA6C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13 (1.6%)</w:t>
            </w:r>
          </w:p>
        </w:tc>
        <w:tc>
          <w:tcPr>
            <w:tcW w:w="0" w:type="auto"/>
            <w:tcMar>
              <w:top w:w="0" w:type="dxa"/>
              <w:left w:w="0" w:type="dxa"/>
              <w:bottom w:w="0" w:type="dxa"/>
              <w:right w:w="0" w:type="dxa"/>
            </w:tcMar>
            <w:vAlign w:val="center"/>
            <w:hideMark/>
          </w:tcPr>
          <w:p w14:paraId="45DD72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(2.4%)</w:t>
            </w:r>
          </w:p>
        </w:tc>
        <w:tc>
          <w:tcPr>
            <w:tcW w:w="0" w:type="auto"/>
            <w:tcMar>
              <w:top w:w="0" w:type="dxa"/>
              <w:left w:w="0" w:type="dxa"/>
              <w:bottom w:w="0" w:type="dxa"/>
              <w:right w:w="0" w:type="dxa"/>
            </w:tcMar>
            <w:vAlign w:val="center"/>
            <w:hideMark/>
          </w:tcPr>
          <w:p w14:paraId="5B84A5D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 (1.8%)</w:t>
            </w:r>
          </w:p>
        </w:tc>
      </w:tr>
      <w:tr w:rsidR="00A830A9" w:rsidRPr="00594BFA" w14:paraId="79A0EB39" w14:textId="77777777" w:rsidTr="00F552A0">
        <w:tc>
          <w:tcPr>
            <w:tcW w:w="0" w:type="auto"/>
            <w:tcMar>
              <w:top w:w="0" w:type="dxa"/>
              <w:left w:w="0" w:type="dxa"/>
              <w:bottom w:w="0" w:type="dxa"/>
              <w:right w:w="0" w:type="dxa"/>
            </w:tcMar>
            <w:vAlign w:val="center"/>
            <w:hideMark/>
          </w:tcPr>
          <w:p w14:paraId="15FD3FAA"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Fairly</w:t>
            </w:r>
          </w:p>
        </w:tc>
        <w:tc>
          <w:tcPr>
            <w:tcW w:w="0" w:type="auto"/>
            <w:tcMar>
              <w:top w:w="0" w:type="dxa"/>
              <w:left w:w="0" w:type="dxa"/>
              <w:bottom w:w="0" w:type="dxa"/>
              <w:right w:w="0" w:type="dxa"/>
            </w:tcMar>
            <w:vAlign w:val="center"/>
            <w:hideMark/>
          </w:tcPr>
          <w:p w14:paraId="2F80275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118 (14.9%)</w:t>
            </w:r>
          </w:p>
        </w:tc>
        <w:tc>
          <w:tcPr>
            <w:tcW w:w="0" w:type="auto"/>
            <w:tcMar>
              <w:top w:w="0" w:type="dxa"/>
              <w:left w:w="0" w:type="dxa"/>
              <w:bottom w:w="0" w:type="dxa"/>
              <w:right w:w="0" w:type="dxa"/>
            </w:tcMar>
            <w:vAlign w:val="center"/>
            <w:hideMark/>
          </w:tcPr>
          <w:p w14:paraId="6270F7A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35 (21.0%)</w:t>
            </w:r>
          </w:p>
        </w:tc>
        <w:tc>
          <w:tcPr>
            <w:tcW w:w="0" w:type="auto"/>
            <w:tcMar>
              <w:top w:w="0" w:type="dxa"/>
              <w:left w:w="0" w:type="dxa"/>
              <w:bottom w:w="0" w:type="dxa"/>
              <w:right w:w="0" w:type="dxa"/>
            </w:tcMar>
            <w:vAlign w:val="center"/>
            <w:hideMark/>
          </w:tcPr>
          <w:p w14:paraId="22D8FE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153 (16.0%)</w:t>
            </w:r>
          </w:p>
        </w:tc>
      </w:tr>
      <w:tr w:rsidR="00A830A9" w:rsidRPr="00594BFA" w14:paraId="17346418" w14:textId="77777777" w:rsidTr="00F552A0">
        <w:tc>
          <w:tcPr>
            <w:tcW w:w="0" w:type="auto"/>
            <w:tcMar>
              <w:top w:w="0" w:type="dxa"/>
              <w:left w:w="0" w:type="dxa"/>
              <w:bottom w:w="0" w:type="dxa"/>
              <w:right w:w="0" w:type="dxa"/>
            </w:tcMar>
            <w:vAlign w:val="center"/>
            <w:hideMark/>
          </w:tcPr>
          <w:p w14:paraId="2D6CD15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Good</w:t>
            </w:r>
          </w:p>
        </w:tc>
        <w:tc>
          <w:tcPr>
            <w:tcW w:w="0" w:type="auto"/>
            <w:tcMar>
              <w:top w:w="0" w:type="dxa"/>
              <w:left w:w="0" w:type="dxa"/>
              <w:bottom w:w="0" w:type="dxa"/>
              <w:right w:w="0" w:type="dxa"/>
            </w:tcMar>
            <w:vAlign w:val="center"/>
            <w:hideMark/>
          </w:tcPr>
          <w:p w14:paraId="42A78BC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249 (31.5%)</w:t>
            </w:r>
          </w:p>
        </w:tc>
        <w:tc>
          <w:tcPr>
            <w:tcW w:w="0" w:type="auto"/>
            <w:tcMar>
              <w:top w:w="0" w:type="dxa"/>
              <w:left w:w="0" w:type="dxa"/>
              <w:bottom w:w="0" w:type="dxa"/>
              <w:right w:w="0" w:type="dxa"/>
            </w:tcMar>
            <w:vAlign w:val="center"/>
            <w:hideMark/>
          </w:tcPr>
          <w:p w14:paraId="30AB6D8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53 (31.7%)</w:t>
            </w:r>
          </w:p>
        </w:tc>
        <w:tc>
          <w:tcPr>
            <w:tcW w:w="0" w:type="auto"/>
            <w:tcMar>
              <w:top w:w="0" w:type="dxa"/>
              <w:left w:w="0" w:type="dxa"/>
              <w:bottom w:w="0" w:type="dxa"/>
              <w:right w:w="0" w:type="dxa"/>
            </w:tcMar>
            <w:vAlign w:val="center"/>
            <w:hideMark/>
          </w:tcPr>
          <w:p w14:paraId="3B967C8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302 (31.6%)</w:t>
            </w:r>
          </w:p>
        </w:tc>
      </w:tr>
      <w:tr w:rsidR="00A830A9" w:rsidRPr="00594BFA" w14:paraId="0AB0CD50" w14:textId="77777777" w:rsidTr="00F552A0">
        <w:tc>
          <w:tcPr>
            <w:tcW w:w="0" w:type="auto"/>
            <w:tcMar>
              <w:top w:w="0" w:type="dxa"/>
              <w:left w:w="0" w:type="dxa"/>
              <w:bottom w:w="0" w:type="dxa"/>
              <w:right w:w="0" w:type="dxa"/>
            </w:tcMar>
            <w:vAlign w:val="center"/>
            <w:hideMark/>
          </w:tcPr>
          <w:p w14:paraId="4FF0BBC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Very good</w:t>
            </w:r>
          </w:p>
        </w:tc>
        <w:tc>
          <w:tcPr>
            <w:tcW w:w="0" w:type="auto"/>
            <w:tcMar>
              <w:top w:w="0" w:type="dxa"/>
              <w:left w:w="0" w:type="dxa"/>
              <w:bottom w:w="0" w:type="dxa"/>
              <w:right w:w="0" w:type="dxa"/>
            </w:tcMar>
            <w:vAlign w:val="center"/>
            <w:hideMark/>
          </w:tcPr>
          <w:p w14:paraId="6160403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283 (35.8%)</w:t>
            </w:r>
          </w:p>
        </w:tc>
        <w:tc>
          <w:tcPr>
            <w:tcW w:w="0" w:type="auto"/>
            <w:tcMar>
              <w:top w:w="0" w:type="dxa"/>
              <w:left w:w="0" w:type="dxa"/>
              <w:bottom w:w="0" w:type="dxa"/>
              <w:right w:w="0" w:type="dxa"/>
            </w:tcMar>
            <w:vAlign w:val="center"/>
            <w:hideMark/>
          </w:tcPr>
          <w:p w14:paraId="448D75E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48 (28.7%)</w:t>
            </w:r>
          </w:p>
        </w:tc>
        <w:tc>
          <w:tcPr>
            <w:tcW w:w="0" w:type="auto"/>
            <w:tcMar>
              <w:top w:w="0" w:type="dxa"/>
              <w:left w:w="0" w:type="dxa"/>
              <w:bottom w:w="0" w:type="dxa"/>
              <w:right w:w="0" w:type="dxa"/>
            </w:tcMar>
            <w:vAlign w:val="center"/>
            <w:hideMark/>
          </w:tcPr>
          <w:p w14:paraId="01F0B73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331 (34.6%)</w:t>
            </w:r>
          </w:p>
        </w:tc>
      </w:tr>
      <w:tr w:rsidR="00A830A9" w:rsidRPr="00594BFA" w14:paraId="4619486D" w14:textId="77777777" w:rsidTr="00F552A0">
        <w:tc>
          <w:tcPr>
            <w:tcW w:w="0" w:type="auto"/>
            <w:tcMar>
              <w:top w:w="0" w:type="dxa"/>
              <w:left w:w="0" w:type="dxa"/>
              <w:bottom w:w="0" w:type="dxa"/>
              <w:right w:w="0" w:type="dxa"/>
            </w:tcMar>
            <w:vAlign w:val="center"/>
            <w:hideMark/>
          </w:tcPr>
          <w:p w14:paraId="3BC128D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Excellent</w:t>
            </w:r>
          </w:p>
        </w:tc>
        <w:tc>
          <w:tcPr>
            <w:tcW w:w="0" w:type="auto"/>
            <w:tcMar>
              <w:top w:w="0" w:type="dxa"/>
              <w:left w:w="0" w:type="dxa"/>
              <w:bottom w:w="0" w:type="dxa"/>
              <w:right w:w="0" w:type="dxa"/>
            </w:tcMar>
            <w:vAlign w:val="center"/>
            <w:hideMark/>
          </w:tcPr>
          <w:p w14:paraId="7C499CF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126 (15.9%)</w:t>
            </w:r>
          </w:p>
        </w:tc>
        <w:tc>
          <w:tcPr>
            <w:tcW w:w="0" w:type="auto"/>
            <w:tcMar>
              <w:top w:w="0" w:type="dxa"/>
              <w:left w:w="0" w:type="dxa"/>
              <w:bottom w:w="0" w:type="dxa"/>
              <w:right w:w="0" w:type="dxa"/>
            </w:tcMar>
            <w:vAlign w:val="center"/>
            <w:hideMark/>
          </w:tcPr>
          <w:p w14:paraId="2F176F7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25 (15.0%)</w:t>
            </w:r>
          </w:p>
        </w:tc>
        <w:tc>
          <w:tcPr>
            <w:tcW w:w="0" w:type="auto"/>
            <w:tcMar>
              <w:top w:w="0" w:type="dxa"/>
              <w:left w:w="0" w:type="dxa"/>
              <w:bottom w:w="0" w:type="dxa"/>
              <w:right w:w="0" w:type="dxa"/>
            </w:tcMar>
            <w:vAlign w:val="center"/>
            <w:hideMark/>
          </w:tcPr>
          <w:p w14:paraId="311D24C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151 (15.8%)</w:t>
            </w:r>
          </w:p>
        </w:tc>
      </w:tr>
      <w:tr w:rsidR="00A830A9" w:rsidRPr="00594BFA" w14:paraId="17183373" w14:textId="77777777" w:rsidTr="00F552A0">
        <w:tc>
          <w:tcPr>
            <w:tcW w:w="0" w:type="auto"/>
            <w:tcMar>
              <w:top w:w="0" w:type="dxa"/>
              <w:left w:w="0" w:type="dxa"/>
              <w:bottom w:w="0" w:type="dxa"/>
              <w:right w:w="0" w:type="dxa"/>
            </w:tcMar>
            <w:vAlign w:val="center"/>
            <w:hideMark/>
          </w:tcPr>
          <w:p w14:paraId="52FC5EC7"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36CCE8B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 (0.1%)</w:t>
            </w:r>
          </w:p>
        </w:tc>
        <w:tc>
          <w:tcPr>
            <w:tcW w:w="0" w:type="auto"/>
            <w:tcMar>
              <w:top w:w="0" w:type="dxa"/>
              <w:left w:w="0" w:type="dxa"/>
              <w:bottom w:w="0" w:type="dxa"/>
              <w:right w:w="0" w:type="dxa"/>
            </w:tcMar>
            <w:vAlign w:val="center"/>
            <w:hideMark/>
          </w:tcPr>
          <w:p w14:paraId="6E076D1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2DF124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 (0.3%)</w:t>
            </w:r>
          </w:p>
        </w:tc>
      </w:tr>
      <w:tr w:rsidR="00A830A9" w:rsidRPr="00594BFA" w14:paraId="180052D8" w14:textId="77777777" w:rsidTr="00F552A0">
        <w:tc>
          <w:tcPr>
            <w:tcW w:w="0" w:type="auto"/>
            <w:tcMar>
              <w:top w:w="0" w:type="dxa"/>
              <w:left w:w="0" w:type="dxa"/>
              <w:bottom w:w="0" w:type="dxa"/>
              <w:right w:w="0" w:type="dxa"/>
            </w:tcMar>
            <w:vAlign w:val="center"/>
            <w:hideMark/>
          </w:tcPr>
          <w:p w14:paraId="167A844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Retired</w:t>
            </w:r>
          </w:p>
        </w:tc>
        <w:tc>
          <w:tcPr>
            <w:tcW w:w="0" w:type="auto"/>
            <w:tcMar>
              <w:top w:w="0" w:type="dxa"/>
              <w:left w:w="0" w:type="dxa"/>
              <w:bottom w:w="0" w:type="dxa"/>
              <w:right w:w="0" w:type="dxa"/>
            </w:tcMar>
            <w:vAlign w:val="center"/>
            <w:hideMark/>
          </w:tcPr>
          <w:p w14:paraId="7530F51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237BC7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5F45E8C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16A04A3A" w14:textId="77777777" w:rsidTr="00F552A0">
        <w:tc>
          <w:tcPr>
            <w:tcW w:w="0" w:type="auto"/>
            <w:tcMar>
              <w:top w:w="0" w:type="dxa"/>
              <w:left w:w="0" w:type="dxa"/>
              <w:bottom w:w="0" w:type="dxa"/>
              <w:right w:w="0" w:type="dxa"/>
            </w:tcMar>
            <w:vAlign w:val="center"/>
            <w:hideMark/>
          </w:tcPr>
          <w:p w14:paraId="5F76EA8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Yes</w:t>
            </w:r>
          </w:p>
        </w:tc>
        <w:tc>
          <w:tcPr>
            <w:tcW w:w="0" w:type="auto"/>
            <w:tcMar>
              <w:top w:w="0" w:type="dxa"/>
              <w:left w:w="0" w:type="dxa"/>
              <w:bottom w:w="0" w:type="dxa"/>
              <w:right w:w="0" w:type="dxa"/>
            </w:tcMar>
            <w:vAlign w:val="center"/>
            <w:hideMark/>
          </w:tcPr>
          <w:p w14:paraId="70112B5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612 (77.5%)</w:t>
            </w:r>
          </w:p>
        </w:tc>
        <w:tc>
          <w:tcPr>
            <w:tcW w:w="0" w:type="auto"/>
            <w:tcMar>
              <w:top w:w="0" w:type="dxa"/>
              <w:left w:w="0" w:type="dxa"/>
              <w:bottom w:w="0" w:type="dxa"/>
              <w:right w:w="0" w:type="dxa"/>
            </w:tcMar>
            <w:vAlign w:val="center"/>
            <w:hideMark/>
          </w:tcPr>
          <w:p w14:paraId="5DB9908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126 (75.4%)</w:t>
            </w:r>
          </w:p>
        </w:tc>
        <w:tc>
          <w:tcPr>
            <w:tcW w:w="0" w:type="auto"/>
            <w:tcMar>
              <w:top w:w="0" w:type="dxa"/>
              <w:left w:w="0" w:type="dxa"/>
              <w:bottom w:w="0" w:type="dxa"/>
              <w:right w:w="0" w:type="dxa"/>
            </w:tcMar>
            <w:vAlign w:val="center"/>
            <w:hideMark/>
          </w:tcPr>
          <w:p w14:paraId="32EBAED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738 (77.1%)</w:t>
            </w:r>
          </w:p>
        </w:tc>
      </w:tr>
      <w:tr w:rsidR="00A830A9" w:rsidRPr="00594BFA" w14:paraId="79150A6A" w14:textId="77777777" w:rsidTr="00F552A0">
        <w:tc>
          <w:tcPr>
            <w:tcW w:w="0" w:type="auto"/>
            <w:tcMar>
              <w:top w:w="0" w:type="dxa"/>
              <w:left w:w="0" w:type="dxa"/>
              <w:bottom w:w="0" w:type="dxa"/>
              <w:right w:w="0" w:type="dxa"/>
            </w:tcMar>
            <w:vAlign w:val="center"/>
            <w:hideMark/>
          </w:tcPr>
          <w:p w14:paraId="1E4C42C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No</w:t>
            </w:r>
          </w:p>
        </w:tc>
        <w:tc>
          <w:tcPr>
            <w:tcW w:w="0" w:type="auto"/>
            <w:tcMar>
              <w:top w:w="0" w:type="dxa"/>
              <w:left w:w="0" w:type="dxa"/>
              <w:bottom w:w="0" w:type="dxa"/>
              <w:right w:w="0" w:type="dxa"/>
            </w:tcMar>
            <w:vAlign w:val="center"/>
            <w:hideMark/>
          </w:tcPr>
          <w:p w14:paraId="6EAB80F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174 (22.0%)</w:t>
            </w:r>
          </w:p>
        </w:tc>
        <w:tc>
          <w:tcPr>
            <w:tcW w:w="0" w:type="auto"/>
            <w:tcMar>
              <w:top w:w="0" w:type="dxa"/>
              <w:left w:w="0" w:type="dxa"/>
              <w:bottom w:w="0" w:type="dxa"/>
              <w:right w:w="0" w:type="dxa"/>
            </w:tcMar>
            <w:vAlign w:val="center"/>
            <w:hideMark/>
          </w:tcPr>
          <w:p w14:paraId="44809E4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1544524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215 (22.5%)</w:t>
            </w:r>
          </w:p>
        </w:tc>
      </w:tr>
      <w:tr w:rsidR="00A830A9" w:rsidRPr="00594BFA" w14:paraId="5DB707B2" w14:textId="77777777" w:rsidTr="00F552A0">
        <w:tc>
          <w:tcPr>
            <w:tcW w:w="0" w:type="auto"/>
            <w:tcMar>
              <w:top w:w="0" w:type="dxa"/>
              <w:left w:w="0" w:type="dxa"/>
              <w:bottom w:w="0" w:type="dxa"/>
              <w:right w:w="0" w:type="dxa"/>
            </w:tcMar>
            <w:vAlign w:val="center"/>
            <w:hideMark/>
          </w:tcPr>
          <w:p w14:paraId="373D6D2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4A92747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(0.5%)</w:t>
            </w:r>
          </w:p>
        </w:tc>
        <w:tc>
          <w:tcPr>
            <w:tcW w:w="0" w:type="auto"/>
            <w:tcMar>
              <w:top w:w="0" w:type="dxa"/>
              <w:left w:w="0" w:type="dxa"/>
              <w:bottom w:w="0" w:type="dxa"/>
              <w:right w:w="0" w:type="dxa"/>
            </w:tcMar>
            <w:vAlign w:val="center"/>
            <w:hideMark/>
          </w:tcPr>
          <w:p w14:paraId="6F8B1BF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0 (0%)</w:t>
            </w:r>
          </w:p>
        </w:tc>
        <w:tc>
          <w:tcPr>
            <w:tcW w:w="0" w:type="auto"/>
            <w:tcMar>
              <w:top w:w="0" w:type="dxa"/>
              <w:left w:w="0" w:type="dxa"/>
              <w:bottom w:w="0" w:type="dxa"/>
              <w:right w:w="0" w:type="dxa"/>
            </w:tcMar>
            <w:vAlign w:val="center"/>
            <w:hideMark/>
          </w:tcPr>
          <w:p w14:paraId="46BD0D6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 (0.4%)</w:t>
            </w:r>
          </w:p>
        </w:tc>
      </w:tr>
      <w:tr w:rsidR="00A830A9" w:rsidRPr="00594BFA" w14:paraId="55708CF8" w14:textId="77777777" w:rsidTr="00F552A0">
        <w:tc>
          <w:tcPr>
            <w:tcW w:w="0" w:type="auto"/>
            <w:tcMar>
              <w:top w:w="0" w:type="dxa"/>
              <w:left w:w="0" w:type="dxa"/>
              <w:bottom w:w="0" w:type="dxa"/>
              <w:right w:w="0" w:type="dxa"/>
            </w:tcMar>
            <w:vAlign w:val="center"/>
            <w:hideMark/>
          </w:tcPr>
          <w:p w14:paraId="51AF201D"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Housing type</w:t>
            </w:r>
          </w:p>
        </w:tc>
        <w:tc>
          <w:tcPr>
            <w:tcW w:w="0" w:type="auto"/>
            <w:tcMar>
              <w:top w:w="0" w:type="dxa"/>
              <w:left w:w="0" w:type="dxa"/>
              <w:bottom w:w="0" w:type="dxa"/>
              <w:right w:w="0" w:type="dxa"/>
            </w:tcMar>
            <w:vAlign w:val="center"/>
            <w:hideMark/>
          </w:tcPr>
          <w:p w14:paraId="466FDA5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C1730D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30B972A9"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6DB6395E" w14:textId="77777777" w:rsidTr="00F552A0">
        <w:tc>
          <w:tcPr>
            <w:tcW w:w="0" w:type="auto"/>
            <w:tcMar>
              <w:top w:w="0" w:type="dxa"/>
              <w:left w:w="0" w:type="dxa"/>
              <w:bottom w:w="0" w:type="dxa"/>
              <w:right w:w="0" w:type="dxa"/>
            </w:tcMar>
            <w:vAlign w:val="center"/>
            <w:hideMark/>
          </w:tcPr>
          <w:p w14:paraId="59DCDC2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Apartment/Condo</w:t>
            </w:r>
          </w:p>
        </w:tc>
        <w:tc>
          <w:tcPr>
            <w:tcW w:w="0" w:type="auto"/>
            <w:tcMar>
              <w:top w:w="0" w:type="dxa"/>
              <w:left w:w="0" w:type="dxa"/>
              <w:bottom w:w="0" w:type="dxa"/>
              <w:right w:w="0" w:type="dxa"/>
            </w:tcMar>
            <w:vAlign w:val="center"/>
            <w:hideMark/>
          </w:tcPr>
          <w:p w14:paraId="08F7EBF7"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449 (56.8%)</w:t>
            </w:r>
          </w:p>
        </w:tc>
        <w:tc>
          <w:tcPr>
            <w:tcW w:w="0" w:type="auto"/>
            <w:tcMar>
              <w:top w:w="0" w:type="dxa"/>
              <w:left w:w="0" w:type="dxa"/>
              <w:bottom w:w="0" w:type="dxa"/>
              <w:right w:w="0" w:type="dxa"/>
            </w:tcMar>
            <w:vAlign w:val="center"/>
            <w:hideMark/>
          </w:tcPr>
          <w:p w14:paraId="2A2423F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154 (92.2%)</w:t>
            </w:r>
          </w:p>
        </w:tc>
        <w:tc>
          <w:tcPr>
            <w:tcW w:w="0" w:type="auto"/>
            <w:tcMar>
              <w:top w:w="0" w:type="dxa"/>
              <w:left w:w="0" w:type="dxa"/>
              <w:bottom w:w="0" w:type="dxa"/>
              <w:right w:w="0" w:type="dxa"/>
            </w:tcMar>
            <w:vAlign w:val="center"/>
            <w:hideMark/>
          </w:tcPr>
          <w:p w14:paraId="4785A921"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603 (63.0%)</w:t>
            </w:r>
          </w:p>
        </w:tc>
      </w:tr>
      <w:tr w:rsidR="00A830A9" w:rsidRPr="00594BFA" w14:paraId="7FF71CE6" w14:textId="77777777" w:rsidTr="00F552A0">
        <w:tc>
          <w:tcPr>
            <w:tcW w:w="0" w:type="auto"/>
            <w:tcMar>
              <w:top w:w="0" w:type="dxa"/>
              <w:left w:w="0" w:type="dxa"/>
              <w:bottom w:w="0" w:type="dxa"/>
              <w:right w:w="0" w:type="dxa"/>
            </w:tcMar>
            <w:vAlign w:val="center"/>
            <w:hideMark/>
          </w:tcPr>
          <w:p w14:paraId="02C3B7F3"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House</w:t>
            </w:r>
          </w:p>
        </w:tc>
        <w:tc>
          <w:tcPr>
            <w:tcW w:w="0" w:type="auto"/>
            <w:tcMar>
              <w:top w:w="0" w:type="dxa"/>
              <w:left w:w="0" w:type="dxa"/>
              <w:bottom w:w="0" w:type="dxa"/>
              <w:right w:w="0" w:type="dxa"/>
            </w:tcMar>
            <w:vAlign w:val="center"/>
            <w:hideMark/>
          </w:tcPr>
          <w:p w14:paraId="29748ED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341 (43.2%)</w:t>
            </w:r>
          </w:p>
        </w:tc>
        <w:tc>
          <w:tcPr>
            <w:tcW w:w="0" w:type="auto"/>
            <w:tcMar>
              <w:top w:w="0" w:type="dxa"/>
              <w:left w:w="0" w:type="dxa"/>
              <w:bottom w:w="0" w:type="dxa"/>
              <w:right w:w="0" w:type="dxa"/>
            </w:tcMar>
            <w:vAlign w:val="center"/>
            <w:hideMark/>
          </w:tcPr>
          <w:p w14:paraId="779986D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13 (7.8%)</w:t>
            </w:r>
          </w:p>
        </w:tc>
        <w:tc>
          <w:tcPr>
            <w:tcW w:w="0" w:type="auto"/>
            <w:tcMar>
              <w:top w:w="0" w:type="dxa"/>
              <w:left w:w="0" w:type="dxa"/>
              <w:bottom w:w="0" w:type="dxa"/>
              <w:right w:w="0" w:type="dxa"/>
            </w:tcMar>
            <w:vAlign w:val="center"/>
            <w:hideMark/>
          </w:tcPr>
          <w:p w14:paraId="57D776D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354 (37.0%)</w:t>
            </w:r>
          </w:p>
        </w:tc>
      </w:tr>
      <w:tr w:rsidR="00A830A9" w:rsidRPr="00594BFA" w14:paraId="6BEF4050" w14:textId="77777777" w:rsidTr="00F552A0">
        <w:tc>
          <w:tcPr>
            <w:tcW w:w="0" w:type="auto"/>
            <w:tcMar>
              <w:top w:w="0" w:type="dxa"/>
              <w:left w:w="0" w:type="dxa"/>
              <w:bottom w:w="0" w:type="dxa"/>
              <w:right w:w="0" w:type="dxa"/>
            </w:tcMar>
            <w:vAlign w:val="center"/>
            <w:hideMark/>
          </w:tcPr>
          <w:p w14:paraId="461C9AF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Housing location</w:t>
            </w:r>
          </w:p>
        </w:tc>
        <w:tc>
          <w:tcPr>
            <w:tcW w:w="0" w:type="auto"/>
            <w:tcMar>
              <w:top w:w="0" w:type="dxa"/>
              <w:left w:w="0" w:type="dxa"/>
              <w:bottom w:w="0" w:type="dxa"/>
              <w:right w:w="0" w:type="dxa"/>
            </w:tcMar>
            <w:vAlign w:val="center"/>
            <w:hideMark/>
          </w:tcPr>
          <w:p w14:paraId="5272CA6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18CCB4B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003E2A7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41F94982" w14:textId="77777777" w:rsidTr="00F552A0">
        <w:tc>
          <w:tcPr>
            <w:tcW w:w="0" w:type="auto"/>
            <w:tcMar>
              <w:top w:w="0" w:type="dxa"/>
              <w:left w:w="0" w:type="dxa"/>
              <w:bottom w:w="0" w:type="dxa"/>
              <w:right w:w="0" w:type="dxa"/>
            </w:tcMar>
            <w:vAlign w:val="center"/>
            <w:hideMark/>
          </w:tcPr>
          <w:p w14:paraId="5483224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City/town</w:t>
            </w:r>
          </w:p>
        </w:tc>
        <w:tc>
          <w:tcPr>
            <w:tcW w:w="0" w:type="auto"/>
            <w:tcMar>
              <w:top w:w="0" w:type="dxa"/>
              <w:left w:w="0" w:type="dxa"/>
              <w:bottom w:w="0" w:type="dxa"/>
              <w:right w:w="0" w:type="dxa"/>
            </w:tcMar>
            <w:vAlign w:val="center"/>
            <w:hideMark/>
          </w:tcPr>
          <w:p w14:paraId="45C7686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478 (60.5%)</w:t>
            </w:r>
          </w:p>
        </w:tc>
        <w:tc>
          <w:tcPr>
            <w:tcW w:w="0" w:type="auto"/>
            <w:tcMar>
              <w:top w:w="0" w:type="dxa"/>
              <w:left w:w="0" w:type="dxa"/>
              <w:bottom w:w="0" w:type="dxa"/>
              <w:right w:w="0" w:type="dxa"/>
            </w:tcMar>
            <w:vAlign w:val="center"/>
            <w:hideMark/>
          </w:tcPr>
          <w:p w14:paraId="0DFCB9A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117 (70.1%)</w:t>
            </w:r>
          </w:p>
        </w:tc>
        <w:tc>
          <w:tcPr>
            <w:tcW w:w="0" w:type="auto"/>
            <w:tcMar>
              <w:top w:w="0" w:type="dxa"/>
              <w:left w:w="0" w:type="dxa"/>
              <w:bottom w:w="0" w:type="dxa"/>
              <w:right w:w="0" w:type="dxa"/>
            </w:tcMar>
            <w:vAlign w:val="center"/>
            <w:hideMark/>
          </w:tcPr>
          <w:p w14:paraId="336B99D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595 (62.2%)</w:t>
            </w:r>
          </w:p>
        </w:tc>
      </w:tr>
      <w:tr w:rsidR="00A830A9" w:rsidRPr="00594BFA" w14:paraId="087152B7" w14:textId="77777777" w:rsidTr="00F552A0">
        <w:tc>
          <w:tcPr>
            <w:tcW w:w="0" w:type="auto"/>
            <w:tcMar>
              <w:top w:w="0" w:type="dxa"/>
              <w:left w:w="0" w:type="dxa"/>
              <w:bottom w:w="0" w:type="dxa"/>
              <w:right w:w="0" w:type="dxa"/>
            </w:tcMar>
            <w:vAlign w:val="center"/>
            <w:hideMark/>
          </w:tcPr>
          <w:p w14:paraId="1385E4DC"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Urban/countryside</w:t>
            </w:r>
          </w:p>
        </w:tc>
        <w:tc>
          <w:tcPr>
            <w:tcW w:w="0" w:type="auto"/>
            <w:tcMar>
              <w:top w:w="0" w:type="dxa"/>
              <w:left w:w="0" w:type="dxa"/>
              <w:bottom w:w="0" w:type="dxa"/>
              <w:right w:w="0" w:type="dxa"/>
            </w:tcMar>
            <w:vAlign w:val="center"/>
            <w:hideMark/>
          </w:tcPr>
          <w:p w14:paraId="12A97D3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221 (28.0%)</w:t>
            </w:r>
          </w:p>
        </w:tc>
        <w:tc>
          <w:tcPr>
            <w:tcW w:w="0" w:type="auto"/>
            <w:tcMar>
              <w:top w:w="0" w:type="dxa"/>
              <w:left w:w="0" w:type="dxa"/>
              <w:bottom w:w="0" w:type="dxa"/>
              <w:right w:w="0" w:type="dxa"/>
            </w:tcMar>
            <w:vAlign w:val="center"/>
            <w:hideMark/>
          </w:tcPr>
          <w:p w14:paraId="0B35E17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41 (24.6%)</w:t>
            </w:r>
          </w:p>
        </w:tc>
        <w:tc>
          <w:tcPr>
            <w:tcW w:w="0" w:type="auto"/>
            <w:tcMar>
              <w:top w:w="0" w:type="dxa"/>
              <w:left w:w="0" w:type="dxa"/>
              <w:bottom w:w="0" w:type="dxa"/>
              <w:right w:w="0" w:type="dxa"/>
            </w:tcMar>
            <w:vAlign w:val="center"/>
            <w:hideMark/>
          </w:tcPr>
          <w:p w14:paraId="2D17E32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262 (27.4%)</w:t>
            </w:r>
          </w:p>
        </w:tc>
      </w:tr>
      <w:tr w:rsidR="00A830A9" w:rsidRPr="00594BFA" w14:paraId="7E585553" w14:textId="77777777" w:rsidTr="00F552A0">
        <w:tc>
          <w:tcPr>
            <w:tcW w:w="0" w:type="auto"/>
            <w:tcMar>
              <w:top w:w="0" w:type="dxa"/>
              <w:left w:w="0" w:type="dxa"/>
              <w:bottom w:w="0" w:type="dxa"/>
              <w:right w:w="0" w:type="dxa"/>
            </w:tcMar>
            <w:vAlign w:val="center"/>
            <w:hideMark/>
          </w:tcPr>
          <w:p w14:paraId="7E7EF544"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67943A2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91 (11.5%)</w:t>
            </w:r>
          </w:p>
        </w:tc>
        <w:tc>
          <w:tcPr>
            <w:tcW w:w="0" w:type="auto"/>
            <w:tcMar>
              <w:top w:w="0" w:type="dxa"/>
              <w:left w:w="0" w:type="dxa"/>
              <w:bottom w:w="0" w:type="dxa"/>
              <w:right w:w="0" w:type="dxa"/>
            </w:tcMar>
            <w:vAlign w:val="center"/>
            <w:hideMark/>
          </w:tcPr>
          <w:p w14:paraId="3C8794C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 (5.4%)</w:t>
            </w:r>
          </w:p>
        </w:tc>
        <w:tc>
          <w:tcPr>
            <w:tcW w:w="0" w:type="auto"/>
            <w:tcMar>
              <w:top w:w="0" w:type="dxa"/>
              <w:left w:w="0" w:type="dxa"/>
              <w:bottom w:w="0" w:type="dxa"/>
              <w:right w:w="0" w:type="dxa"/>
            </w:tcMar>
            <w:vAlign w:val="center"/>
            <w:hideMark/>
          </w:tcPr>
          <w:p w14:paraId="386463E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 (10.4%)</w:t>
            </w:r>
          </w:p>
        </w:tc>
      </w:tr>
      <w:tr w:rsidR="00A830A9" w:rsidRPr="00594BFA" w14:paraId="5794F26B" w14:textId="77777777" w:rsidTr="00F552A0">
        <w:tc>
          <w:tcPr>
            <w:tcW w:w="0" w:type="auto"/>
            <w:tcMar>
              <w:top w:w="0" w:type="dxa"/>
              <w:left w:w="0" w:type="dxa"/>
              <w:bottom w:w="0" w:type="dxa"/>
              <w:right w:w="0" w:type="dxa"/>
            </w:tcMar>
            <w:vAlign w:val="center"/>
            <w:hideMark/>
          </w:tcPr>
          <w:p w14:paraId="1DCE3FE6"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Number in household</w:t>
            </w:r>
          </w:p>
        </w:tc>
        <w:tc>
          <w:tcPr>
            <w:tcW w:w="0" w:type="auto"/>
            <w:tcMar>
              <w:top w:w="0" w:type="dxa"/>
              <w:left w:w="0" w:type="dxa"/>
              <w:bottom w:w="0" w:type="dxa"/>
              <w:right w:w="0" w:type="dxa"/>
            </w:tcMar>
            <w:vAlign w:val="center"/>
            <w:hideMark/>
          </w:tcPr>
          <w:p w14:paraId="0C76200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2AB6FB8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8DCBEEA"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0FFFC6F0" w14:textId="77777777" w:rsidTr="00F552A0">
        <w:tc>
          <w:tcPr>
            <w:tcW w:w="0" w:type="auto"/>
            <w:tcMar>
              <w:top w:w="0" w:type="dxa"/>
              <w:left w:w="0" w:type="dxa"/>
              <w:bottom w:w="0" w:type="dxa"/>
              <w:right w:w="0" w:type="dxa"/>
            </w:tcMar>
            <w:vAlign w:val="center"/>
            <w:hideMark/>
          </w:tcPr>
          <w:p w14:paraId="0824E3C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1</w:t>
            </w:r>
          </w:p>
        </w:tc>
        <w:tc>
          <w:tcPr>
            <w:tcW w:w="0" w:type="auto"/>
            <w:tcMar>
              <w:top w:w="0" w:type="dxa"/>
              <w:left w:w="0" w:type="dxa"/>
              <w:bottom w:w="0" w:type="dxa"/>
              <w:right w:w="0" w:type="dxa"/>
            </w:tcMar>
            <w:vAlign w:val="center"/>
            <w:hideMark/>
          </w:tcPr>
          <w:p w14:paraId="0A438BF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240 (30.4%)</w:t>
            </w:r>
          </w:p>
        </w:tc>
        <w:tc>
          <w:tcPr>
            <w:tcW w:w="0" w:type="auto"/>
            <w:tcMar>
              <w:top w:w="0" w:type="dxa"/>
              <w:left w:w="0" w:type="dxa"/>
              <w:bottom w:w="0" w:type="dxa"/>
              <w:right w:w="0" w:type="dxa"/>
            </w:tcMar>
            <w:vAlign w:val="center"/>
            <w:hideMark/>
          </w:tcPr>
          <w:p w14:paraId="5C5D0C1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78A5E99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321 (33.5%)</w:t>
            </w:r>
          </w:p>
        </w:tc>
      </w:tr>
      <w:tr w:rsidR="00A830A9" w:rsidRPr="00594BFA" w14:paraId="07073358" w14:textId="77777777" w:rsidTr="00F552A0">
        <w:tc>
          <w:tcPr>
            <w:tcW w:w="0" w:type="auto"/>
            <w:tcMar>
              <w:top w:w="0" w:type="dxa"/>
              <w:left w:w="0" w:type="dxa"/>
              <w:bottom w:w="0" w:type="dxa"/>
              <w:right w:w="0" w:type="dxa"/>
            </w:tcMar>
            <w:vAlign w:val="center"/>
            <w:hideMark/>
          </w:tcPr>
          <w:p w14:paraId="627FA0C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2</w:t>
            </w:r>
          </w:p>
        </w:tc>
        <w:tc>
          <w:tcPr>
            <w:tcW w:w="0" w:type="auto"/>
            <w:tcMar>
              <w:top w:w="0" w:type="dxa"/>
              <w:left w:w="0" w:type="dxa"/>
              <w:bottom w:w="0" w:type="dxa"/>
              <w:right w:w="0" w:type="dxa"/>
            </w:tcMar>
            <w:vAlign w:val="center"/>
            <w:hideMark/>
          </w:tcPr>
          <w:p w14:paraId="5546F576"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509 (64.4%)</w:t>
            </w:r>
          </w:p>
        </w:tc>
        <w:tc>
          <w:tcPr>
            <w:tcW w:w="0" w:type="auto"/>
            <w:tcMar>
              <w:top w:w="0" w:type="dxa"/>
              <w:left w:w="0" w:type="dxa"/>
              <w:bottom w:w="0" w:type="dxa"/>
              <w:right w:w="0" w:type="dxa"/>
            </w:tcMar>
            <w:vAlign w:val="center"/>
            <w:hideMark/>
          </w:tcPr>
          <w:p w14:paraId="1E43988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81 (48.5%)</w:t>
            </w:r>
          </w:p>
        </w:tc>
        <w:tc>
          <w:tcPr>
            <w:tcW w:w="0" w:type="auto"/>
            <w:tcMar>
              <w:top w:w="0" w:type="dxa"/>
              <w:left w:w="0" w:type="dxa"/>
              <w:bottom w:w="0" w:type="dxa"/>
              <w:right w:w="0" w:type="dxa"/>
            </w:tcMar>
            <w:vAlign w:val="center"/>
            <w:hideMark/>
          </w:tcPr>
          <w:p w14:paraId="223FDCD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590 (61.7%)</w:t>
            </w:r>
          </w:p>
        </w:tc>
      </w:tr>
      <w:tr w:rsidR="00A830A9" w:rsidRPr="00594BFA" w14:paraId="12991308" w14:textId="77777777" w:rsidTr="00F552A0">
        <w:tc>
          <w:tcPr>
            <w:tcW w:w="0" w:type="auto"/>
            <w:tcMar>
              <w:top w:w="0" w:type="dxa"/>
              <w:left w:w="0" w:type="dxa"/>
              <w:bottom w:w="0" w:type="dxa"/>
              <w:right w:w="0" w:type="dxa"/>
            </w:tcMar>
            <w:vAlign w:val="center"/>
            <w:hideMark/>
          </w:tcPr>
          <w:p w14:paraId="3A495C4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3 or more</w:t>
            </w:r>
          </w:p>
        </w:tc>
        <w:tc>
          <w:tcPr>
            <w:tcW w:w="0" w:type="auto"/>
            <w:tcMar>
              <w:top w:w="0" w:type="dxa"/>
              <w:left w:w="0" w:type="dxa"/>
              <w:bottom w:w="0" w:type="dxa"/>
              <w:right w:w="0" w:type="dxa"/>
            </w:tcMar>
            <w:vAlign w:val="center"/>
            <w:hideMark/>
          </w:tcPr>
          <w:p w14:paraId="2B66218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34 (4.3%)</w:t>
            </w:r>
          </w:p>
        </w:tc>
        <w:tc>
          <w:tcPr>
            <w:tcW w:w="0" w:type="auto"/>
            <w:tcMar>
              <w:top w:w="0" w:type="dxa"/>
              <w:left w:w="0" w:type="dxa"/>
              <w:bottom w:w="0" w:type="dxa"/>
              <w:right w:w="0" w:type="dxa"/>
            </w:tcMar>
            <w:vAlign w:val="center"/>
            <w:hideMark/>
          </w:tcPr>
          <w:p w14:paraId="08211D0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2 (1.2%)</w:t>
            </w:r>
          </w:p>
        </w:tc>
        <w:tc>
          <w:tcPr>
            <w:tcW w:w="0" w:type="auto"/>
            <w:tcMar>
              <w:top w:w="0" w:type="dxa"/>
              <w:left w:w="0" w:type="dxa"/>
              <w:bottom w:w="0" w:type="dxa"/>
              <w:right w:w="0" w:type="dxa"/>
            </w:tcMar>
            <w:vAlign w:val="center"/>
            <w:hideMark/>
          </w:tcPr>
          <w:p w14:paraId="7964298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36 (3.8%)</w:t>
            </w:r>
          </w:p>
        </w:tc>
      </w:tr>
      <w:tr w:rsidR="00A830A9" w:rsidRPr="00594BFA" w14:paraId="198CB73A" w14:textId="77777777" w:rsidTr="00F552A0">
        <w:tc>
          <w:tcPr>
            <w:tcW w:w="0" w:type="auto"/>
            <w:tcMar>
              <w:top w:w="0" w:type="dxa"/>
              <w:left w:w="0" w:type="dxa"/>
              <w:bottom w:w="0" w:type="dxa"/>
              <w:right w:w="0" w:type="dxa"/>
            </w:tcMar>
            <w:vAlign w:val="center"/>
            <w:hideMark/>
          </w:tcPr>
          <w:p w14:paraId="157BD361"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Missing</w:t>
            </w:r>
          </w:p>
        </w:tc>
        <w:tc>
          <w:tcPr>
            <w:tcW w:w="0" w:type="auto"/>
            <w:tcMar>
              <w:top w:w="0" w:type="dxa"/>
              <w:left w:w="0" w:type="dxa"/>
              <w:bottom w:w="0" w:type="dxa"/>
              <w:right w:w="0" w:type="dxa"/>
            </w:tcMar>
            <w:vAlign w:val="center"/>
            <w:hideMark/>
          </w:tcPr>
          <w:p w14:paraId="4A68EFE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7 (0.9%)</w:t>
            </w:r>
          </w:p>
        </w:tc>
        <w:tc>
          <w:tcPr>
            <w:tcW w:w="0" w:type="auto"/>
            <w:tcMar>
              <w:top w:w="0" w:type="dxa"/>
              <w:left w:w="0" w:type="dxa"/>
              <w:bottom w:w="0" w:type="dxa"/>
              <w:right w:w="0" w:type="dxa"/>
            </w:tcMar>
            <w:vAlign w:val="center"/>
            <w:hideMark/>
          </w:tcPr>
          <w:p w14:paraId="36C9401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 (1.8%)</w:t>
            </w:r>
          </w:p>
        </w:tc>
        <w:tc>
          <w:tcPr>
            <w:tcW w:w="0" w:type="auto"/>
            <w:tcMar>
              <w:top w:w="0" w:type="dxa"/>
              <w:left w:w="0" w:type="dxa"/>
              <w:bottom w:w="0" w:type="dxa"/>
              <w:right w:w="0" w:type="dxa"/>
            </w:tcMar>
            <w:vAlign w:val="center"/>
            <w:hideMark/>
          </w:tcPr>
          <w:p w14:paraId="61ABDEB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 (1.0%)</w:t>
            </w:r>
          </w:p>
        </w:tc>
      </w:tr>
      <w:tr w:rsidR="00A830A9" w:rsidRPr="00594BFA" w14:paraId="10E9B390" w14:textId="77777777" w:rsidTr="00F552A0">
        <w:tc>
          <w:tcPr>
            <w:tcW w:w="0" w:type="auto"/>
            <w:tcMar>
              <w:top w:w="0" w:type="dxa"/>
              <w:left w:w="0" w:type="dxa"/>
              <w:bottom w:w="0" w:type="dxa"/>
              <w:right w:w="0" w:type="dxa"/>
            </w:tcMar>
            <w:vAlign w:val="center"/>
            <w:hideMark/>
          </w:tcPr>
          <w:p w14:paraId="465DF93F"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Monthly household income (SEK)</w:t>
            </w:r>
          </w:p>
        </w:tc>
        <w:tc>
          <w:tcPr>
            <w:tcW w:w="0" w:type="auto"/>
            <w:tcMar>
              <w:top w:w="0" w:type="dxa"/>
              <w:left w:w="0" w:type="dxa"/>
              <w:bottom w:w="0" w:type="dxa"/>
              <w:right w:w="0" w:type="dxa"/>
            </w:tcMar>
            <w:vAlign w:val="center"/>
            <w:hideMark/>
          </w:tcPr>
          <w:p w14:paraId="1E2FC32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295F4E4B"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84B6EE2"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423572F9" w14:textId="77777777" w:rsidTr="00F552A0">
        <w:tc>
          <w:tcPr>
            <w:tcW w:w="0" w:type="auto"/>
            <w:tcMar>
              <w:top w:w="0" w:type="dxa"/>
              <w:left w:w="0" w:type="dxa"/>
              <w:bottom w:w="0" w:type="dxa"/>
              <w:right w:w="0" w:type="dxa"/>
            </w:tcMar>
            <w:vAlign w:val="center"/>
            <w:hideMark/>
          </w:tcPr>
          <w:p w14:paraId="709A5E85"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6D2911E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55000 (32000)</w:t>
            </w:r>
          </w:p>
        </w:tc>
        <w:tc>
          <w:tcPr>
            <w:tcW w:w="0" w:type="auto"/>
            <w:tcMar>
              <w:top w:w="0" w:type="dxa"/>
              <w:left w:w="0" w:type="dxa"/>
              <w:bottom w:w="0" w:type="dxa"/>
              <w:right w:w="0" w:type="dxa"/>
            </w:tcMar>
            <w:vAlign w:val="center"/>
            <w:hideMark/>
          </w:tcPr>
          <w:p w14:paraId="5BA0688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42000 (26000)</w:t>
            </w:r>
          </w:p>
        </w:tc>
        <w:tc>
          <w:tcPr>
            <w:tcW w:w="0" w:type="auto"/>
            <w:tcMar>
              <w:top w:w="0" w:type="dxa"/>
              <w:left w:w="0" w:type="dxa"/>
              <w:bottom w:w="0" w:type="dxa"/>
              <w:right w:w="0" w:type="dxa"/>
            </w:tcMar>
            <w:vAlign w:val="center"/>
            <w:hideMark/>
          </w:tcPr>
          <w:p w14:paraId="33D6603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52000 (31000)</w:t>
            </w:r>
          </w:p>
        </w:tc>
      </w:tr>
      <w:tr w:rsidR="00A830A9" w:rsidRPr="00594BFA" w14:paraId="21D2192C" w14:textId="77777777" w:rsidTr="00F552A0">
        <w:tc>
          <w:tcPr>
            <w:tcW w:w="0" w:type="auto"/>
            <w:tcMar>
              <w:top w:w="0" w:type="dxa"/>
              <w:left w:w="0" w:type="dxa"/>
              <w:bottom w:w="0" w:type="dxa"/>
              <w:right w:w="0" w:type="dxa"/>
            </w:tcMar>
            <w:vAlign w:val="center"/>
            <w:hideMark/>
          </w:tcPr>
          <w:p w14:paraId="17888A42"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6C2CCA9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50000 [2000, 220000]</w:t>
            </w:r>
          </w:p>
        </w:tc>
        <w:tc>
          <w:tcPr>
            <w:tcW w:w="0" w:type="auto"/>
            <w:tcMar>
              <w:top w:w="0" w:type="dxa"/>
              <w:left w:w="0" w:type="dxa"/>
              <w:bottom w:w="0" w:type="dxa"/>
              <w:right w:w="0" w:type="dxa"/>
            </w:tcMar>
            <w:vAlign w:val="center"/>
            <w:hideMark/>
          </w:tcPr>
          <w:p w14:paraId="0D65AB33"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37000 [2000, 150000]</w:t>
            </w:r>
          </w:p>
        </w:tc>
        <w:tc>
          <w:tcPr>
            <w:tcW w:w="0" w:type="auto"/>
            <w:tcMar>
              <w:top w:w="0" w:type="dxa"/>
              <w:left w:w="0" w:type="dxa"/>
              <w:bottom w:w="0" w:type="dxa"/>
              <w:right w:w="0" w:type="dxa"/>
            </w:tcMar>
            <w:vAlign w:val="center"/>
            <w:hideMark/>
          </w:tcPr>
          <w:p w14:paraId="106585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45000 [2000, 220000]</w:t>
            </w:r>
          </w:p>
        </w:tc>
      </w:tr>
      <w:tr w:rsidR="00A830A9" w:rsidRPr="00594BFA" w14:paraId="7E279662" w14:textId="77777777" w:rsidTr="00F552A0">
        <w:tc>
          <w:tcPr>
            <w:tcW w:w="0" w:type="auto"/>
            <w:tcMar>
              <w:top w:w="0" w:type="dxa"/>
              <w:left w:w="0" w:type="dxa"/>
              <w:bottom w:w="0" w:type="dxa"/>
              <w:right w:w="0" w:type="dxa"/>
            </w:tcMar>
            <w:vAlign w:val="center"/>
            <w:hideMark/>
          </w:tcPr>
          <w:p w14:paraId="141C73CB"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b/>
                <w:bCs/>
                <w:kern w:val="0"/>
                <w:sz w:val="20"/>
                <w:szCs w:val="20"/>
                <w:lang w:val="en-US" w:eastAsia="en-GB"/>
                <w14:ligatures w14:val="none"/>
              </w:rPr>
              <w:t>Planned monthly housing cost (SEK)</w:t>
            </w:r>
          </w:p>
        </w:tc>
        <w:tc>
          <w:tcPr>
            <w:tcW w:w="0" w:type="auto"/>
            <w:tcMar>
              <w:top w:w="0" w:type="dxa"/>
              <w:left w:w="0" w:type="dxa"/>
              <w:bottom w:w="0" w:type="dxa"/>
              <w:right w:w="0" w:type="dxa"/>
            </w:tcMar>
            <w:vAlign w:val="center"/>
            <w:hideMark/>
          </w:tcPr>
          <w:p w14:paraId="2292FF2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7C541F4F"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c>
          <w:tcPr>
            <w:tcW w:w="0" w:type="auto"/>
            <w:tcMar>
              <w:top w:w="0" w:type="dxa"/>
              <w:left w:w="0" w:type="dxa"/>
              <w:bottom w:w="0" w:type="dxa"/>
              <w:right w:w="0" w:type="dxa"/>
            </w:tcMar>
            <w:vAlign w:val="center"/>
            <w:hideMark/>
          </w:tcPr>
          <w:p w14:paraId="42422238"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p>
        </w:tc>
      </w:tr>
      <w:tr w:rsidR="00A830A9" w:rsidRPr="00594BFA" w14:paraId="57BAB72B" w14:textId="77777777" w:rsidTr="00F552A0">
        <w:tc>
          <w:tcPr>
            <w:tcW w:w="0" w:type="auto"/>
            <w:tcMar>
              <w:top w:w="0" w:type="dxa"/>
              <w:left w:w="0" w:type="dxa"/>
              <w:bottom w:w="0" w:type="dxa"/>
              <w:right w:w="0" w:type="dxa"/>
            </w:tcMar>
            <w:vAlign w:val="center"/>
            <w:hideMark/>
          </w:tcPr>
          <w:p w14:paraId="4FC117D9"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Mean (SD)</w:t>
            </w:r>
          </w:p>
        </w:tc>
        <w:tc>
          <w:tcPr>
            <w:tcW w:w="0" w:type="auto"/>
            <w:tcMar>
              <w:top w:w="0" w:type="dxa"/>
              <w:left w:w="0" w:type="dxa"/>
              <w:bottom w:w="0" w:type="dxa"/>
              <w:right w:w="0" w:type="dxa"/>
            </w:tcMar>
            <w:vAlign w:val="center"/>
            <w:hideMark/>
          </w:tcPr>
          <w:p w14:paraId="3DBCCF8D"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(4100)</w:t>
            </w:r>
          </w:p>
        </w:tc>
        <w:tc>
          <w:tcPr>
            <w:tcW w:w="0" w:type="auto"/>
            <w:tcMar>
              <w:top w:w="0" w:type="dxa"/>
              <w:left w:w="0" w:type="dxa"/>
              <w:bottom w:w="0" w:type="dxa"/>
              <w:right w:w="0" w:type="dxa"/>
            </w:tcMar>
            <w:vAlign w:val="center"/>
            <w:hideMark/>
          </w:tcPr>
          <w:p w14:paraId="0F732765"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(5600)</w:t>
            </w:r>
          </w:p>
        </w:tc>
        <w:tc>
          <w:tcPr>
            <w:tcW w:w="0" w:type="auto"/>
            <w:tcMar>
              <w:top w:w="0" w:type="dxa"/>
              <w:left w:w="0" w:type="dxa"/>
              <w:bottom w:w="0" w:type="dxa"/>
              <w:right w:w="0" w:type="dxa"/>
            </w:tcMar>
            <w:vAlign w:val="center"/>
            <w:hideMark/>
          </w:tcPr>
          <w:p w14:paraId="4FBB18FE"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(4400)</w:t>
            </w:r>
          </w:p>
        </w:tc>
      </w:tr>
      <w:tr w:rsidR="00A830A9" w:rsidRPr="00594BFA" w14:paraId="2926C690" w14:textId="77777777" w:rsidTr="00F552A0">
        <w:tc>
          <w:tcPr>
            <w:tcW w:w="0" w:type="auto"/>
            <w:tcMar>
              <w:top w:w="0" w:type="dxa"/>
              <w:left w:w="0" w:type="dxa"/>
              <w:bottom w:w="0" w:type="dxa"/>
              <w:right w:w="0" w:type="dxa"/>
            </w:tcMar>
            <w:vAlign w:val="center"/>
            <w:hideMark/>
          </w:tcPr>
          <w:p w14:paraId="3111BFDE" w14:textId="77777777" w:rsidR="00A830A9" w:rsidRPr="00594BFA" w:rsidRDefault="00A830A9" w:rsidP="00A830A9">
            <w:pPr>
              <w:spacing w:after="0" w:line="240" w:lineRule="auto"/>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  Median [Min, Max]</w:t>
            </w:r>
          </w:p>
        </w:tc>
        <w:tc>
          <w:tcPr>
            <w:tcW w:w="0" w:type="auto"/>
            <w:tcMar>
              <w:top w:w="0" w:type="dxa"/>
              <w:left w:w="0" w:type="dxa"/>
              <w:bottom w:w="0" w:type="dxa"/>
              <w:right w:w="0" w:type="dxa"/>
            </w:tcMar>
            <w:vAlign w:val="center"/>
            <w:hideMark/>
          </w:tcPr>
          <w:p w14:paraId="10FA79EC"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[3000, 40000]</w:t>
            </w:r>
          </w:p>
        </w:tc>
        <w:tc>
          <w:tcPr>
            <w:tcW w:w="0" w:type="auto"/>
            <w:tcMar>
              <w:top w:w="0" w:type="dxa"/>
              <w:left w:w="0" w:type="dxa"/>
              <w:bottom w:w="0" w:type="dxa"/>
              <w:right w:w="0" w:type="dxa"/>
            </w:tcMar>
            <w:vAlign w:val="center"/>
            <w:hideMark/>
          </w:tcPr>
          <w:p w14:paraId="74241724"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9000 [3000, 60000]</w:t>
            </w:r>
          </w:p>
        </w:tc>
        <w:tc>
          <w:tcPr>
            <w:tcW w:w="0" w:type="auto"/>
            <w:tcMar>
              <w:top w:w="0" w:type="dxa"/>
              <w:left w:w="0" w:type="dxa"/>
              <w:bottom w:w="0" w:type="dxa"/>
              <w:right w:w="0" w:type="dxa"/>
            </w:tcMar>
            <w:vAlign w:val="center"/>
            <w:hideMark/>
          </w:tcPr>
          <w:p w14:paraId="2798BA10" w14:textId="77777777" w:rsidR="00A830A9" w:rsidRPr="00594BFA" w:rsidRDefault="00A830A9" w:rsidP="00A830A9">
            <w:pPr>
              <w:spacing w:after="0" w:line="240" w:lineRule="auto"/>
              <w:jc w:val="center"/>
              <w:rPr>
                <w:rFonts w:ascii="Times New Roman" w:eastAsia="Times New Roman" w:hAnsi="Times New Roman" w:cs="Times New Roman"/>
                <w:kern w:val="0"/>
                <w:sz w:val="20"/>
                <w:szCs w:val="20"/>
                <w:lang w:val="en-US" w:eastAsia="en-GB"/>
                <w14:ligatures w14:val="none"/>
              </w:rPr>
            </w:pPr>
            <w:r w:rsidRPr="00594BFA">
              <w:rPr>
                <w:rFonts w:ascii="Times New Roman" w:eastAsia="Times New Roman" w:hAnsi="Times New Roman" w:cs="Times New Roman"/>
                <w:kern w:val="0"/>
                <w:sz w:val="20"/>
                <w:szCs w:val="20"/>
                <w:lang w:val="en-US" w:eastAsia="en-GB"/>
                <w14:ligatures w14:val="none"/>
              </w:rPr>
              <w:t>10000 [3000, 60000]</w:t>
            </w:r>
          </w:p>
        </w:tc>
      </w:tr>
    </w:tbl>
    <w:p w14:paraId="4F9C587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br w:type="page"/>
      </w:r>
    </w:p>
    <w:p w14:paraId="3BFB3C2D"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r w:rsidRPr="00594BFA">
        <w:rPr>
          <w:rFonts w:ascii="Times New Roman" w:eastAsia="Times New Roman" w:hAnsi="Times New Roman" w:cs="Times New Roman"/>
          <w:kern w:val="0"/>
          <w:sz w:val="24"/>
          <w:szCs w:val="24"/>
          <w:lang w:val="en-US" w:eastAsia="en-GB"/>
          <w14:ligatures w14:val="none"/>
        </w:rPr>
        <w:lastRenderedPageBreak/>
        <w:t>Table 3. Mixed logit coefficients and marginal willingness-to-pay (MWTP) estimates: Renters and Owners (N = 790 for homeowners, N = 167 for renters)</w:t>
      </w:r>
    </w:p>
    <w:tbl>
      <w:tblPr>
        <w:tblW w:w="0" w:type="auto"/>
        <w:tblBorders>
          <w:top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226"/>
        <w:gridCol w:w="950"/>
        <w:gridCol w:w="750"/>
        <w:gridCol w:w="1200"/>
        <w:gridCol w:w="950"/>
        <w:gridCol w:w="750"/>
        <w:gridCol w:w="1200"/>
      </w:tblGrid>
      <w:tr w:rsidR="00A830A9" w:rsidRPr="00594BFA" w14:paraId="12B91AB3" w14:textId="77777777" w:rsidTr="00F552A0">
        <w:trPr>
          <w:tblHeader/>
        </w:trPr>
        <w:tc>
          <w:tcPr>
            <w:tcW w:w="3226" w:type="dxa"/>
            <w:tcBorders>
              <w:top w:val="nil"/>
              <w:bottom w:val="nil"/>
            </w:tcBorders>
            <w:vAlign w:val="center"/>
            <w:hideMark/>
          </w:tcPr>
          <w:p w14:paraId="30406DDB" w14:textId="77777777" w:rsidR="00A830A9" w:rsidRPr="00594BFA"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 </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32C3266D"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Owners</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03A60276"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Renters</w:t>
            </w:r>
          </w:p>
        </w:tc>
      </w:tr>
      <w:tr w:rsidR="00A830A9" w:rsidRPr="00594BFA" w14:paraId="4EFC1837" w14:textId="77777777" w:rsidTr="00F552A0">
        <w:trPr>
          <w:tblHeader/>
        </w:trPr>
        <w:tc>
          <w:tcPr>
            <w:tcW w:w="3226" w:type="dxa"/>
            <w:tcBorders>
              <w:top w:val="nil"/>
              <w:bottom w:val="single" w:sz="4" w:space="0" w:color="auto"/>
            </w:tcBorders>
            <w:tcMar>
              <w:top w:w="15" w:type="dxa"/>
              <w:left w:w="75" w:type="dxa"/>
              <w:bottom w:w="15" w:type="dxa"/>
              <w:right w:w="75" w:type="dxa"/>
            </w:tcMar>
            <w:vAlign w:val="center"/>
            <w:hideMark/>
          </w:tcPr>
          <w:p w14:paraId="6241F07C" w14:textId="77777777" w:rsidR="00A830A9" w:rsidRPr="00594BFA" w:rsidRDefault="00A830A9" w:rsidP="00A830A9">
            <w:pPr>
              <w:spacing w:after="150" w:line="240" w:lineRule="auto"/>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Attribute </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16B3AC60"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05E8A4DD"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4909586C"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hAnsi="Times New Roman" w:cs="Times New Roman"/>
                <w:sz w:val="18"/>
                <w:szCs w:val="18"/>
                <w:lang w:val="en-US"/>
              </w:rPr>
              <w:t>MWTP (95% CI)</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06921289"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2CDDC971"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eastAsia="Times New Roman" w:hAnsi="Times New Roman" w:cs="Times New Roman"/>
                <w:b/>
                <w:bCs/>
                <w:color w:val="000000"/>
                <w:kern w:val="0"/>
                <w:sz w:val="18"/>
                <w:szCs w:val="18"/>
                <w:lang w:val="en-US"/>
                <w14:ligatures w14:val="none"/>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5385CC51" w14:textId="77777777" w:rsidR="00A830A9" w:rsidRPr="00594BFA" w:rsidRDefault="00A830A9" w:rsidP="00A830A9">
            <w:pPr>
              <w:spacing w:after="150" w:line="240" w:lineRule="auto"/>
              <w:jc w:val="center"/>
              <w:rPr>
                <w:rFonts w:ascii="Times New Roman" w:eastAsia="Times New Roman" w:hAnsi="Times New Roman" w:cs="Times New Roman"/>
                <w:b/>
                <w:bCs/>
                <w:color w:val="000000"/>
                <w:kern w:val="0"/>
                <w:sz w:val="18"/>
                <w:szCs w:val="18"/>
                <w:lang w:val="en-US"/>
                <w14:ligatures w14:val="none"/>
              </w:rPr>
            </w:pPr>
            <w:r w:rsidRPr="00594BFA">
              <w:rPr>
                <w:rFonts w:ascii="Times New Roman" w:hAnsi="Times New Roman" w:cs="Times New Roman"/>
                <w:sz w:val="18"/>
                <w:szCs w:val="18"/>
                <w:lang w:val="en-US"/>
              </w:rPr>
              <w:t>MWTP (95% CI)</w:t>
            </w:r>
          </w:p>
        </w:tc>
      </w:tr>
      <w:tr w:rsidR="00A830A9" w:rsidRPr="00594BFA" w14:paraId="7F777704" w14:textId="77777777" w:rsidTr="00F552A0">
        <w:tc>
          <w:tcPr>
            <w:tcW w:w="3226" w:type="dxa"/>
            <w:tcBorders>
              <w:top w:val="single" w:sz="4" w:space="0" w:color="auto"/>
            </w:tcBorders>
            <w:tcMar>
              <w:top w:w="15" w:type="dxa"/>
              <w:left w:w="75" w:type="dxa"/>
              <w:bottom w:w="15" w:type="dxa"/>
              <w:right w:w="75" w:type="dxa"/>
            </w:tcMar>
            <w:vAlign w:val="center"/>
            <w:hideMark/>
          </w:tcPr>
          <w:p w14:paraId="3839D930"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Green space: 5 km (vs 15 km)</w:t>
            </w:r>
          </w:p>
        </w:tc>
        <w:tc>
          <w:tcPr>
            <w:tcW w:w="950" w:type="dxa"/>
            <w:tcBorders>
              <w:top w:val="single" w:sz="4" w:space="0" w:color="auto"/>
            </w:tcBorders>
            <w:tcMar>
              <w:top w:w="15" w:type="dxa"/>
              <w:left w:w="75" w:type="dxa"/>
              <w:bottom w:w="15" w:type="dxa"/>
              <w:right w:w="75" w:type="dxa"/>
            </w:tcMar>
            <w:vAlign w:val="center"/>
            <w:hideMark/>
          </w:tcPr>
          <w:p w14:paraId="1E4DCCC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1.02***</w:t>
            </w:r>
          </w:p>
        </w:tc>
        <w:tc>
          <w:tcPr>
            <w:tcW w:w="750" w:type="dxa"/>
            <w:tcBorders>
              <w:top w:val="single" w:sz="4" w:space="0" w:color="auto"/>
            </w:tcBorders>
            <w:tcMar>
              <w:top w:w="15" w:type="dxa"/>
              <w:left w:w="75" w:type="dxa"/>
              <w:bottom w:w="15" w:type="dxa"/>
              <w:right w:w="75" w:type="dxa"/>
            </w:tcMar>
            <w:vAlign w:val="center"/>
            <w:hideMark/>
          </w:tcPr>
          <w:p w14:paraId="29B6771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0.50*</w:t>
            </w:r>
          </w:p>
        </w:tc>
        <w:tc>
          <w:tcPr>
            <w:tcW w:w="1200" w:type="dxa"/>
            <w:tcBorders>
              <w:top w:val="single" w:sz="4" w:space="0" w:color="auto"/>
            </w:tcBorders>
            <w:tcMar>
              <w:top w:w="15" w:type="dxa"/>
              <w:left w:w="75" w:type="dxa"/>
              <w:bottom w:w="15" w:type="dxa"/>
              <w:right w:w="75" w:type="dxa"/>
            </w:tcMar>
            <w:vAlign w:val="center"/>
            <w:hideMark/>
          </w:tcPr>
          <w:p w14:paraId="5803840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200 (152, 248)</w:t>
            </w:r>
          </w:p>
        </w:tc>
        <w:tc>
          <w:tcPr>
            <w:tcW w:w="950" w:type="dxa"/>
            <w:tcBorders>
              <w:top w:val="single" w:sz="4" w:space="0" w:color="auto"/>
            </w:tcBorders>
            <w:tcMar>
              <w:top w:w="15" w:type="dxa"/>
              <w:left w:w="75" w:type="dxa"/>
              <w:bottom w:w="15" w:type="dxa"/>
              <w:right w:w="75" w:type="dxa"/>
            </w:tcMar>
            <w:vAlign w:val="center"/>
            <w:hideMark/>
          </w:tcPr>
          <w:p w14:paraId="19EDA04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2.26***</w:t>
            </w:r>
          </w:p>
        </w:tc>
        <w:tc>
          <w:tcPr>
            <w:tcW w:w="750" w:type="dxa"/>
            <w:tcBorders>
              <w:top w:val="single" w:sz="4" w:space="0" w:color="auto"/>
            </w:tcBorders>
            <w:tcMar>
              <w:top w:w="15" w:type="dxa"/>
              <w:left w:w="75" w:type="dxa"/>
              <w:bottom w:w="15" w:type="dxa"/>
              <w:right w:w="75" w:type="dxa"/>
            </w:tcMar>
            <w:vAlign w:val="center"/>
            <w:hideMark/>
          </w:tcPr>
          <w:p w14:paraId="4C2A3DB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-0.94**</w:t>
            </w:r>
          </w:p>
        </w:tc>
        <w:tc>
          <w:tcPr>
            <w:tcW w:w="1200" w:type="dxa"/>
            <w:tcBorders>
              <w:top w:val="single" w:sz="4" w:space="0" w:color="auto"/>
            </w:tcBorders>
            <w:tcMar>
              <w:top w:w="15" w:type="dxa"/>
              <w:left w:w="75" w:type="dxa"/>
              <w:bottom w:w="15" w:type="dxa"/>
              <w:right w:w="75" w:type="dxa"/>
            </w:tcMar>
            <w:vAlign w:val="center"/>
            <w:hideMark/>
          </w:tcPr>
          <w:p w14:paraId="0B8EC71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214 (110, 318)</w:t>
            </w:r>
          </w:p>
        </w:tc>
      </w:tr>
      <w:tr w:rsidR="00A830A9" w:rsidRPr="00594BFA" w14:paraId="767E009F" w14:textId="77777777" w:rsidTr="00F552A0">
        <w:tc>
          <w:tcPr>
            <w:tcW w:w="3226" w:type="dxa"/>
            <w:tcMar>
              <w:top w:w="15" w:type="dxa"/>
              <w:left w:w="75" w:type="dxa"/>
              <w:bottom w:w="15" w:type="dxa"/>
              <w:right w:w="75" w:type="dxa"/>
            </w:tcMar>
            <w:vAlign w:val="center"/>
            <w:hideMark/>
          </w:tcPr>
          <w:p w14:paraId="251DDC3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59655A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(0.11)</w:t>
            </w:r>
          </w:p>
        </w:tc>
        <w:tc>
          <w:tcPr>
            <w:tcW w:w="750" w:type="dxa"/>
            <w:tcMar>
              <w:top w:w="15" w:type="dxa"/>
              <w:left w:w="75" w:type="dxa"/>
              <w:bottom w:w="15" w:type="dxa"/>
              <w:right w:w="75" w:type="dxa"/>
            </w:tcMar>
            <w:vAlign w:val="center"/>
            <w:hideMark/>
          </w:tcPr>
          <w:p w14:paraId="736053B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(0.24)</w:t>
            </w:r>
          </w:p>
        </w:tc>
        <w:tc>
          <w:tcPr>
            <w:tcW w:w="1200" w:type="dxa"/>
            <w:tcMar>
              <w:top w:w="15" w:type="dxa"/>
              <w:left w:w="75" w:type="dxa"/>
              <w:bottom w:w="15" w:type="dxa"/>
              <w:right w:w="75" w:type="dxa"/>
            </w:tcMar>
            <w:vAlign w:val="center"/>
            <w:hideMark/>
          </w:tcPr>
          <w:p w14:paraId="5179475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34B37C3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(0.58)</w:t>
            </w:r>
          </w:p>
        </w:tc>
        <w:tc>
          <w:tcPr>
            <w:tcW w:w="750" w:type="dxa"/>
            <w:tcMar>
              <w:top w:w="15" w:type="dxa"/>
              <w:left w:w="75" w:type="dxa"/>
              <w:bottom w:w="15" w:type="dxa"/>
              <w:right w:w="75" w:type="dxa"/>
            </w:tcMar>
            <w:vAlign w:val="center"/>
            <w:hideMark/>
          </w:tcPr>
          <w:p w14:paraId="64B079F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(0.33)</w:t>
            </w:r>
          </w:p>
        </w:tc>
        <w:tc>
          <w:tcPr>
            <w:tcW w:w="1200" w:type="dxa"/>
            <w:tcMar>
              <w:top w:w="15" w:type="dxa"/>
              <w:left w:w="75" w:type="dxa"/>
              <w:bottom w:w="15" w:type="dxa"/>
              <w:right w:w="75" w:type="dxa"/>
            </w:tcMar>
            <w:vAlign w:val="center"/>
            <w:hideMark/>
          </w:tcPr>
          <w:p w14:paraId="6143862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85AE134" w14:textId="77777777" w:rsidTr="00F552A0">
        <w:tc>
          <w:tcPr>
            <w:tcW w:w="3226" w:type="dxa"/>
            <w:tcMar>
              <w:top w:w="15" w:type="dxa"/>
              <w:left w:w="75" w:type="dxa"/>
              <w:bottom w:w="15" w:type="dxa"/>
              <w:right w:w="75" w:type="dxa"/>
            </w:tcMar>
            <w:vAlign w:val="center"/>
            <w:hideMark/>
          </w:tcPr>
          <w:p w14:paraId="5AEAC307"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Green space: 500 m (vs 15 km)</w:t>
            </w:r>
          </w:p>
        </w:tc>
        <w:tc>
          <w:tcPr>
            <w:tcW w:w="950" w:type="dxa"/>
            <w:tcMar>
              <w:top w:w="15" w:type="dxa"/>
              <w:left w:w="75" w:type="dxa"/>
              <w:bottom w:w="15" w:type="dxa"/>
              <w:right w:w="75" w:type="dxa"/>
            </w:tcMar>
            <w:vAlign w:val="center"/>
            <w:hideMark/>
          </w:tcPr>
          <w:p w14:paraId="7B48D9B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2.02***</w:t>
            </w:r>
          </w:p>
        </w:tc>
        <w:tc>
          <w:tcPr>
            <w:tcW w:w="750" w:type="dxa"/>
            <w:tcMar>
              <w:top w:w="15" w:type="dxa"/>
              <w:left w:w="75" w:type="dxa"/>
              <w:bottom w:w="15" w:type="dxa"/>
              <w:right w:w="75" w:type="dxa"/>
            </w:tcMar>
            <w:vAlign w:val="center"/>
            <w:hideMark/>
          </w:tcPr>
          <w:p w14:paraId="34D4B96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-0.67</w:t>
            </w:r>
          </w:p>
        </w:tc>
        <w:tc>
          <w:tcPr>
            <w:tcW w:w="1200" w:type="dxa"/>
            <w:tcMar>
              <w:top w:w="15" w:type="dxa"/>
              <w:left w:w="75" w:type="dxa"/>
              <w:bottom w:w="15" w:type="dxa"/>
              <w:right w:w="75" w:type="dxa"/>
            </w:tcMar>
            <w:vAlign w:val="center"/>
            <w:hideMark/>
          </w:tcPr>
          <w:p w14:paraId="5FD8F37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397 (330, 464)</w:t>
            </w:r>
          </w:p>
        </w:tc>
        <w:tc>
          <w:tcPr>
            <w:tcW w:w="950" w:type="dxa"/>
            <w:tcMar>
              <w:top w:w="15" w:type="dxa"/>
              <w:left w:w="75" w:type="dxa"/>
              <w:bottom w:w="15" w:type="dxa"/>
              <w:right w:w="75" w:type="dxa"/>
            </w:tcMar>
            <w:vAlign w:val="center"/>
            <w:hideMark/>
          </w:tcPr>
          <w:p w14:paraId="2101EB2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3.67***</w:t>
            </w:r>
          </w:p>
        </w:tc>
        <w:tc>
          <w:tcPr>
            <w:tcW w:w="750" w:type="dxa"/>
            <w:tcMar>
              <w:top w:w="15" w:type="dxa"/>
              <w:left w:w="75" w:type="dxa"/>
              <w:bottom w:w="15" w:type="dxa"/>
              <w:right w:w="75" w:type="dxa"/>
            </w:tcMar>
            <w:vAlign w:val="center"/>
            <w:hideMark/>
          </w:tcPr>
          <w:p w14:paraId="61A75B2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-0.90*</w:t>
            </w:r>
          </w:p>
        </w:tc>
        <w:tc>
          <w:tcPr>
            <w:tcW w:w="1200" w:type="dxa"/>
            <w:tcMar>
              <w:top w:w="15" w:type="dxa"/>
              <w:left w:w="75" w:type="dxa"/>
              <w:bottom w:w="15" w:type="dxa"/>
              <w:right w:w="75" w:type="dxa"/>
            </w:tcMar>
            <w:vAlign w:val="center"/>
            <w:hideMark/>
          </w:tcPr>
          <w:p w14:paraId="6C620B5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346 (223, 469)</w:t>
            </w:r>
          </w:p>
        </w:tc>
      </w:tr>
      <w:tr w:rsidR="00A830A9" w:rsidRPr="00594BFA" w14:paraId="6A200BBC" w14:textId="77777777" w:rsidTr="00F552A0">
        <w:tc>
          <w:tcPr>
            <w:tcW w:w="3226" w:type="dxa"/>
            <w:tcMar>
              <w:top w:w="15" w:type="dxa"/>
              <w:left w:w="75" w:type="dxa"/>
              <w:bottom w:w="15" w:type="dxa"/>
              <w:right w:w="75" w:type="dxa"/>
            </w:tcMar>
            <w:vAlign w:val="center"/>
            <w:hideMark/>
          </w:tcPr>
          <w:p w14:paraId="217E4974"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4D4BE8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(0.15)</w:t>
            </w:r>
          </w:p>
        </w:tc>
        <w:tc>
          <w:tcPr>
            <w:tcW w:w="750" w:type="dxa"/>
            <w:tcMar>
              <w:top w:w="15" w:type="dxa"/>
              <w:left w:w="75" w:type="dxa"/>
              <w:bottom w:w="15" w:type="dxa"/>
              <w:right w:w="75" w:type="dxa"/>
            </w:tcMar>
            <w:vAlign w:val="center"/>
            <w:hideMark/>
          </w:tcPr>
          <w:p w14:paraId="709D53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(0.39)</w:t>
            </w:r>
          </w:p>
        </w:tc>
        <w:tc>
          <w:tcPr>
            <w:tcW w:w="1200" w:type="dxa"/>
            <w:tcMar>
              <w:top w:w="15" w:type="dxa"/>
              <w:left w:w="75" w:type="dxa"/>
              <w:bottom w:w="15" w:type="dxa"/>
              <w:right w:w="75" w:type="dxa"/>
            </w:tcMar>
            <w:vAlign w:val="center"/>
            <w:hideMark/>
          </w:tcPr>
          <w:p w14:paraId="5E8ABA8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B23C1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(0.70)</w:t>
            </w:r>
          </w:p>
        </w:tc>
        <w:tc>
          <w:tcPr>
            <w:tcW w:w="750" w:type="dxa"/>
            <w:tcMar>
              <w:top w:w="15" w:type="dxa"/>
              <w:left w:w="75" w:type="dxa"/>
              <w:bottom w:w="15" w:type="dxa"/>
              <w:right w:w="75" w:type="dxa"/>
            </w:tcMar>
            <w:vAlign w:val="center"/>
            <w:hideMark/>
          </w:tcPr>
          <w:p w14:paraId="75CF157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(0.46)</w:t>
            </w:r>
          </w:p>
        </w:tc>
        <w:tc>
          <w:tcPr>
            <w:tcW w:w="1200" w:type="dxa"/>
            <w:tcMar>
              <w:top w:w="15" w:type="dxa"/>
              <w:left w:w="75" w:type="dxa"/>
              <w:bottom w:w="15" w:type="dxa"/>
              <w:right w:w="75" w:type="dxa"/>
            </w:tcMar>
            <w:vAlign w:val="center"/>
            <w:hideMark/>
          </w:tcPr>
          <w:p w14:paraId="2476517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511EBD1" w14:textId="77777777" w:rsidTr="00F552A0">
        <w:tc>
          <w:tcPr>
            <w:tcW w:w="3226" w:type="dxa"/>
            <w:tcMar>
              <w:top w:w="15" w:type="dxa"/>
              <w:left w:w="75" w:type="dxa"/>
              <w:bottom w:w="15" w:type="dxa"/>
              <w:right w:w="75" w:type="dxa"/>
            </w:tcMar>
            <w:vAlign w:val="center"/>
            <w:hideMark/>
          </w:tcPr>
          <w:p w14:paraId="6A6F0C67"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Shops: 5 km (vs 15 km)</w:t>
            </w:r>
          </w:p>
        </w:tc>
        <w:tc>
          <w:tcPr>
            <w:tcW w:w="950" w:type="dxa"/>
            <w:tcMar>
              <w:top w:w="15" w:type="dxa"/>
              <w:left w:w="75" w:type="dxa"/>
              <w:bottom w:w="15" w:type="dxa"/>
              <w:right w:w="75" w:type="dxa"/>
            </w:tcMar>
            <w:vAlign w:val="center"/>
            <w:hideMark/>
          </w:tcPr>
          <w:p w14:paraId="413BB4D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0.93***</w:t>
            </w:r>
          </w:p>
        </w:tc>
        <w:tc>
          <w:tcPr>
            <w:tcW w:w="750" w:type="dxa"/>
            <w:tcMar>
              <w:top w:w="15" w:type="dxa"/>
              <w:left w:w="75" w:type="dxa"/>
              <w:bottom w:w="15" w:type="dxa"/>
              <w:right w:w="75" w:type="dxa"/>
            </w:tcMar>
            <w:vAlign w:val="center"/>
            <w:hideMark/>
          </w:tcPr>
          <w:p w14:paraId="2A958BC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0.43</w:t>
            </w:r>
          </w:p>
        </w:tc>
        <w:tc>
          <w:tcPr>
            <w:tcW w:w="1200" w:type="dxa"/>
            <w:tcMar>
              <w:top w:w="15" w:type="dxa"/>
              <w:left w:w="75" w:type="dxa"/>
              <w:bottom w:w="15" w:type="dxa"/>
              <w:right w:w="75" w:type="dxa"/>
            </w:tcMar>
            <w:vAlign w:val="center"/>
            <w:hideMark/>
          </w:tcPr>
          <w:p w14:paraId="461F10F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184 (125, 243)</w:t>
            </w:r>
          </w:p>
        </w:tc>
        <w:tc>
          <w:tcPr>
            <w:tcW w:w="950" w:type="dxa"/>
            <w:tcMar>
              <w:top w:w="15" w:type="dxa"/>
              <w:left w:w="75" w:type="dxa"/>
              <w:bottom w:w="15" w:type="dxa"/>
              <w:right w:w="75" w:type="dxa"/>
            </w:tcMar>
            <w:vAlign w:val="center"/>
            <w:hideMark/>
          </w:tcPr>
          <w:p w14:paraId="30DA301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1.82**</w:t>
            </w:r>
          </w:p>
        </w:tc>
        <w:tc>
          <w:tcPr>
            <w:tcW w:w="750" w:type="dxa"/>
            <w:tcMar>
              <w:top w:w="15" w:type="dxa"/>
              <w:left w:w="75" w:type="dxa"/>
              <w:bottom w:w="15" w:type="dxa"/>
              <w:right w:w="75" w:type="dxa"/>
            </w:tcMar>
            <w:vAlign w:val="center"/>
            <w:hideMark/>
          </w:tcPr>
          <w:p w14:paraId="3D72C45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1.17*</w:t>
            </w:r>
          </w:p>
        </w:tc>
        <w:tc>
          <w:tcPr>
            <w:tcW w:w="1200" w:type="dxa"/>
            <w:tcMar>
              <w:top w:w="15" w:type="dxa"/>
              <w:left w:w="75" w:type="dxa"/>
              <w:bottom w:w="15" w:type="dxa"/>
              <w:right w:w="75" w:type="dxa"/>
            </w:tcMar>
            <w:vAlign w:val="center"/>
            <w:hideMark/>
          </w:tcPr>
          <w:p w14:paraId="76E2C7A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171 (63, 279)</w:t>
            </w:r>
          </w:p>
        </w:tc>
      </w:tr>
      <w:tr w:rsidR="00A830A9" w:rsidRPr="00594BFA" w14:paraId="23113E1B" w14:textId="77777777" w:rsidTr="00F552A0">
        <w:tc>
          <w:tcPr>
            <w:tcW w:w="3226" w:type="dxa"/>
            <w:tcMar>
              <w:top w:w="15" w:type="dxa"/>
              <w:left w:w="75" w:type="dxa"/>
              <w:bottom w:w="15" w:type="dxa"/>
              <w:right w:w="75" w:type="dxa"/>
            </w:tcMar>
            <w:vAlign w:val="center"/>
            <w:hideMark/>
          </w:tcPr>
          <w:p w14:paraId="4B9099E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56CF8D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(0.13)</w:t>
            </w:r>
          </w:p>
        </w:tc>
        <w:tc>
          <w:tcPr>
            <w:tcW w:w="750" w:type="dxa"/>
            <w:tcMar>
              <w:top w:w="15" w:type="dxa"/>
              <w:left w:w="75" w:type="dxa"/>
              <w:bottom w:w="15" w:type="dxa"/>
              <w:right w:w="75" w:type="dxa"/>
            </w:tcMar>
            <w:vAlign w:val="center"/>
            <w:hideMark/>
          </w:tcPr>
          <w:p w14:paraId="4092A28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(0.31)</w:t>
            </w:r>
          </w:p>
        </w:tc>
        <w:tc>
          <w:tcPr>
            <w:tcW w:w="1200" w:type="dxa"/>
            <w:tcMar>
              <w:top w:w="15" w:type="dxa"/>
              <w:left w:w="75" w:type="dxa"/>
              <w:bottom w:w="15" w:type="dxa"/>
              <w:right w:w="75" w:type="dxa"/>
            </w:tcMar>
            <w:vAlign w:val="center"/>
            <w:hideMark/>
          </w:tcPr>
          <w:p w14:paraId="5472C44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1E0B57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(0.57)</w:t>
            </w:r>
          </w:p>
        </w:tc>
        <w:tc>
          <w:tcPr>
            <w:tcW w:w="750" w:type="dxa"/>
            <w:tcMar>
              <w:top w:w="15" w:type="dxa"/>
              <w:left w:w="75" w:type="dxa"/>
              <w:bottom w:w="15" w:type="dxa"/>
              <w:right w:w="75" w:type="dxa"/>
            </w:tcMar>
            <w:vAlign w:val="center"/>
            <w:hideMark/>
          </w:tcPr>
          <w:p w14:paraId="349DFEE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(0.55)</w:t>
            </w:r>
          </w:p>
        </w:tc>
        <w:tc>
          <w:tcPr>
            <w:tcW w:w="1200" w:type="dxa"/>
            <w:tcMar>
              <w:top w:w="15" w:type="dxa"/>
              <w:left w:w="75" w:type="dxa"/>
              <w:bottom w:w="15" w:type="dxa"/>
              <w:right w:w="75" w:type="dxa"/>
            </w:tcMar>
            <w:vAlign w:val="center"/>
            <w:hideMark/>
          </w:tcPr>
          <w:p w14:paraId="2C49B77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5D158F3" w14:textId="77777777" w:rsidTr="00F552A0">
        <w:tc>
          <w:tcPr>
            <w:tcW w:w="3226" w:type="dxa"/>
            <w:tcMar>
              <w:top w:w="15" w:type="dxa"/>
              <w:left w:w="75" w:type="dxa"/>
              <w:bottom w:w="15" w:type="dxa"/>
              <w:right w:w="75" w:type="dxa"/>
            </w:tcMar>
            <w:vAlign w:val="center"/>
            <w:hideMark/>
          </w:tcPr>
          <w:p w14:paraId="678869C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Shops: 500 m (vs 15 km)</w:t>
            </w:r>
          </w:p>
        </w:tc>
        <w:tc>
          <w:tcPr>
            <w:tcW w:w="950" w:type="dxa"/>
            <w:tcMar>
              <w:top w:w="15" w:type="dxa"/>
              <w:left w:w="75" w:type="dxa"/>
              <w:bottom w:w="15" w:type="dxa"/>
              <w:right w:w="75" w:type="dxa"/>
            </w:tcMar>
            <w:vAlign w:val="center"/>
            <w:hideMark/>
          </w:tcPr>
          <w:p w14:paraId="774EB43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3.04***</w:t>
            </w:r>
          </w:p>
        </w:tc>
        <w:tc>
          <w:tcPr>
            <w:tcW w:w="750" w:type="dxa"/>
            <w:tcMar>
              <w:top w:w="15" w:type="dxa"/>
              <w:left w:w="75" w:type="dxa"/>
              <w:bottom w:w="15" w:type="dxa"/>
              <w:right w:w="75" w:type="dxa"/>
            </w:tcMar>
            <w:vAlign w:val="center"/>
            <w:hideMark/>
          </w:tcPr>
          <w:p w14:paraId="216448F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0.58</w:t>
            </w:r>
          </w:p>
        </w:tc>
        <w:tc>
          <w:tcPr>
            <w:tcW w:w="1200" w:type="dxa"/>
            <w:tcMar>
              <w:top w:w="15" w:type="dxa"/>
              <w:left w:w="75" w:type="dxa"/>
              <w:bottom w:w="15" w:type="dxa"/>
              <w:right w:w="75" w:type="dxa"/>
            </w:tcMar>
            <w:vAlign w:val="center"/>
            <w:hideMark/>
          </w:tcPr>
          <w:p w14:paraId="1F4F30C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598 (514, 682)</w:t>
            </w:r>
          </w:p>
        </w:tc>
        <w:tc>
          <w:tcPr>
            <w:tcW w:w="950" w:type="dxa"/>
            <w:tcMar>
              <w:top w:w="15" w:type="dxa"/>
              <w:left w:w="75" w:type="dxa"/>
              <w:bottom w:w="15" w:type="dxa"/>
              <w:right w:w="75" w:type="dxa"/>
            </w:tcMar>
            <w:vAlign w:val="center"/>
            <w:hideMark/>
          </w:tcPr>
          <w:p w14:paraId="3C0EF2F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4.32***</w:t>
            </w:r>
          </w:p>
        </w:tc>
        <w:tc>
          <w:tcPr>
            <w:tcW w:w="750" w:type="dxa"/>
            <w:tcMar>
              <w:top w:w="15" w:type="dxa"/>
              <w:left w:w="75" w:type="dxa"/>
              <w:bottom w:w="15" w:type="dxa"/>
              <w:right w:w="75" w:type="dxa"/>
            </w:tcMar>
            <w:vAlign w:val="center"/>
            <w:hideMark/>
          </w:tcPr>
          <w:p w14:paraId="248CFD0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0.20</w:t>
            </w:r>
          </w:p>
        </w:tc>
        <w:tc>
          <w:tcPr>
            <w:tcW w:w="1200" w:type="dxa"/>
            <w:tcMar>
              <w:top w:w="15" w:type="dxa"/>
              <w:left w:w="75" w:type="dxa"/>
              <w:bottom w:w="15" w:type="dxa"/>
              <w:right w:w="75" w:type="dxa"/>
            </w:tcMar>
            <w:vAlign w:val="center"/>
            <w:hideMark/>
          </w:tcPr>
          <w:p w14:paraId="4FD3A79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408 (300, 516)</w:t>
            </w:r>
          </w:p>
        </w:tc>
      </w:tr>
      <w:tr w:rsidR="00A830A9" w:rsidRPr="00594BFA" w14:paraId="2C067B04" w14:textId="77777777" w:rsidTr="00F552A0">
        <w:tc>
          <w:tcPr>
            <w:tcW w:w="3226" w:type="dxa"/>
            <w:tcMar>
              <w:top w:w="15" w:type="dxa"/>
              <w:left w:w="75" w:type="dxa"/>
              <w:bottom w:w="15" w:type="dxa"/>
              <w:right w:w="75" w:type="dxa"/>
            </w:tcMar>
            <w:vAlign w:val="center"/>
            <w:hideMark/>
          </w:tcPr>
          <w:p w14:paraId="4B4E16E0"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DD07CD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(0.18)</w:t>
            </w:r>
          </w:p>
        </w:tc>
        <w:tc>
          <w:tcPr>
            <w:tcW w:w="750" w:type="dxa"/>
            <w:tcMar>
              <w:top w:w="15" w:type="dxa"/>
              <w:left w:w="75" w:type="dxa"/>
              <w:bottom w:w="15" w:type="dxa"/>
              <w:right w:w="75" w:type="dxa"/>
            </w:tcMar>
            <w:vAlign w:val="center"/>
            <w:hideMark/>
          </w:tcPr>
          <w:p w14:paraId="125252C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(0.46)</w:t>
            </w:r>
          </w:p>
        </w:tc>
        <w:tc>
          <w:tcPr>
            <w:tcW w:w="1200" w:type="dxa"/>
            <w:tcMar>
              <w:top w:w="15" w:type="dxa"/>
              <w:left w:w="75" w:type="dxa"/>
              <w:bottom w:w="15" w:type="dxa"/>
              <w:right w:w="75" w:type="dxa"/>
            </w:tcMar>
            <w:vAlign w:val="center"/>
            <w:hideMark/>
          </w:tcPr>
          <w:p w14:paraId="7B3E236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9E156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(0.63)</w:t>
            </w:r>
          </w:p>
        </w:tc>
        <w:tc>
          <w:tcPr>
            <w:tcW w:w="750" w:type="dxa"/>
            <w:tcMar>
              <w:top w:w="15" w:type="dxa"/>
              <w:left w:w="75" w:type="dxa"/>
              <w:bottom w:w="15" w:type="dxa"/>
              <w:right w:w="75" w:type="dxa"/>
            </w:tcMar>
            <w:vAlign w:val="center"/>
            <w:hideMark/>
          </w:tcPr>
          <w:p w14:paraId="74CBC06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(0.51)</w:t>
            </w:r>
          </w:p>
        </w:tc>
        <w:tc>
          <w:tcPr>
            <w:tcW w:w="1200" w:type="dxa"/>
            <w:tcMar>
              <w:top w:w="15" w:type="dxa"/>
              <w:left w:w="75" w:type="dxa"/>
              <w:bottom w:w="15" w:type="dxa"/>
              <w:right w:w="75" w:type="dxa"/>
            </w:tcMar>
            <w:vAlign w:val="center"/>
            <w:hideMark/>
          </w:tcPr>
          <w:p w14:paraId="47A1FA2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4ABC1F1" w14:textId="77777777" w:rsidTr="00F552A0">
        <w:tc>
          <w:tcPr>
            <w:tcW w:w="3226" w:type="dxa"/>
            <w:tcMar>
              <w:top w:w="15" w:type="dxa"/>
              <w:left w:w="75" w:type="dxa"/>
              <w:bottom w:w="15" w:type="dxa"/>
              <w:right w:w="75" w:type="dxa"/>
            </w:tcMar>
            <w:vAlign w:val="center"/>
            <w:hideMark/>
          </w:tcPr>
          <w:p w14:paraId="0FAA21E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xml:space="preserve">Transit </w:t>
            </w:r>
            <w:proofErr w:type="gramStart"/>
            <w:r w:rsidRPr="00594BFA">
              <w:rPr>
                <w:rFonts w:ascii="Times New Roman" w:eastAsia="Times New Roman" w:hAnsi="Times New Roman" w:cs="Times New Roman"/>
                <w:color w:val="000000"/>
                <w:kern w:val="0"/>
                <w:sz w:val="18"/>
                <w:szCs w:val="18"/>
                <w:lang w:val="en-US"/>
                <w14:ligatures w14:val="none"/>
              </w:rPr>
              <w:t>stop</w:t>
            </w:r>
            <w:proofErr w:type="gramEnd"/>
            <w:r w:rsidRPr="00594BFA">
              <w:rPr>
                <w:rFonts w:ascii="Times New Roman" w:eastAsia="Times New Roman" w:hAnsi="Times New Roman" w:cs="Times New Roman"/>
                <w:color w:val="000000"/>
                <w:kern w:val="0"/>
                <w:sz w:val="18"/>
                <w:szCs w:val="18"/>
                <w:lang w:val="en-US"/>
                <w14:ligatures w14:val="none"/>
              </w:rPr>
              <w:t>: 600 m (vs 900 m)</w:t>
            </w:r>
          </w:p>
        </w:tc>
        <w:tc>
          <w:tcPr>
            <w:tcW w:w="950" w:type="dxa"/>
            <w:tcMar>
              <w:top w:w="15" w:type="dxa"/>
              <w:left w:w="75" w:type="dxa"/>
              <w:bottom w:w="15" w:type="dxa"/>
              <w:right w:w="75" w:type="dxa"/>
            </w:tcMar>
            <w:vAlign w:val="center"/>
            <w:hideMark/>
          </w:tcPr>
          <w:p w14:paraId="0CE4099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0.38***</w:t>
            </w:r>
          </w:p>
        </w:tc>
        <w:tc>
          <w:tcPr>
            <w:tcW w:w="750" w:type="dxa"/>
            <w:tcMar>
              <w:top w:w="15" w:type="dxa"/>
              <w:left w:w="75" w:type="dxa"/>
              <w:bottom w:w="15" w:type="dxa"/>
              <w:right w:w="75" w:type="dxa"/>
            </w:tcMar>
            <w:vAlign w:val="center"/>
            <w:hideMark/>
          </w:tcPr>
          <w:p w14:paraId="234FC74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-0.15</w:t>
            </w:r>
          </w:p>
        </w:tc>
        <w:tc>
          <w:tcPr>
            <w:tcW w:w="1200" w:type="dxa"/>
            <w:tcMar>
              <w:top w:w="15" w:type="dxa"/>
              <w:left w:w="75" w:type="dxa"/>
              <w:bottom w:w="15" w:type="dxa"/>
              <w:right w:w="75" w:type="dxa"/>
            </w:tcMar>
            <w:vAlign w:val="center"/>
            <w:hideMark/>
          </w:tcPr>
          <w:p w14:paraId="469DEE0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74 (31, 117)</w:t>
            </w:r>
          </w:p>
        </w:tc>
        <w:tc>
          <w:tcPr>
            <w:tcW w:w="950" w:type="dxa"/>
            <w:tcMar>
              <w:top w:w="15" w:type="dxa"/>
              <w:left w:w="75" w:type="dxa"/>
              <w:bottom w:w="15" w:type="dxa"/>
              <w:right w:w="75" w:type="dxa"/>
            </w:tcMar>
            <w:vAlign w:val="center"/>
            <w:hideMark/>
          </w:tcPr>
          <w:p w14:paraId="33C2461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0.49</w:t>
            </w:r>
          </w:p>
        </w:tc>
        <w:tc>
          <w:tcPr>
            <w:tcW w:w="750" w:type="dxa"/>
            <w:tcMar>
              <w:top w:w="15" w:type="dxa"/>
              <w:left w:w="75" w:type="dxa"/>
              <w:bottom w:w="15" w:type="dxa"/>
              <w:right w:w="75" w:type="dxa"/>
            </w:tcMar>
            <w:vAlign w:val="center"/>
            <w:hideMark/>
          </w:tcPr>
          <w:p w14:paraId="3F0779E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-0.10</w:t>
            </w:r>
          </w:p>
        </w:tc>
        <w:tc>
          <w:tcPr>
            <w:tcW w:w="1200" w:type="dxa"/>
            <w:tcMar>
              <w:top w:w="15" w:type="dxa"/>
              <w:left w:w="75" w:type="dxa"/>
              <w:bottom w:w="15" w:type="dxa"/>
              <w:right w:w="75" w:type="dxa"/>
            </w:tcMar>
            <w:vAlign w:val="center"/>
            <w:hideMark/>
          </w:tcPr>
          <w:p w14:paraId="1CDC90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46 (-14, 106)</w:t>
            </w:r>
          </w:p>
        </w:tc>
      </w:tr>
      <w:tr w:rsidR="00A830A9" w:rsidRPr="00594BFA" w14:paraId="7975E004" w14:textId="77777777" w:rsidTr="00F552A0">
        <w:tc>
          <w:tcPr>
            <w:tcW w:w="3226" w:type="dxa"/>
            <w:tcMar>
              <w:top w:w="15" w:type="dxa"/>
              <w:left w:w="75" w:type="dxa"/>
              <w:bottom w:w="15" w:type="dxa"/>
              <w:right w:w="75" w:type="dxa"/>
            </w:tcMar>
            <w:vAlign w:val="center"/>
            <w:hideMark/>
          </w:tcPr>
          <w:p w14:paraId="5C3C209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09BB9CE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(0.11)</w:t>
            </w:r>
          </w:p>
        </w:tc>
        <w:tc>
          <w:tcPr>
            <w:tcW w:w="750" w:type="dxa"/>
            <w:tcMar>
              <w:top w:w="15" w:type="dxa"/>
              <w:left w:w="75" w:type="dxa"/>
              <w:bottom w:w="15" w:type="dxa"/>
              <w:right w:w="75" w:type="dxa"/>
            </w:tcMar>
            <w:vAlign w:val="center"/>
            <w:hideMark/>
          </w:tcPr>
          <w:p w14:paraId="7D7FCF9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(0.26)</w:t>
            </w:r>
          </w:p>
        </w:tc>
        <w:tc>
          <w:tcPr>
            <w:tcW w:w="1200" w:type="dxa"/>
            <w:tcMar>
              <w:top w:w="15" w:type="dxa"/>
              <w:left w:w="75" w:type="dxa"/>
              <w:bottom w:w="15" w:type="dxa"/>
              <w:right w:w="75" w:type="dxa"/>
            </w:tcMar>
            <w:vAlign w:val="center"/>
            <w:hideMark/>
          </w:tcPr>
          <w:p w14:paraId="2B4AD29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707E518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(0.31)</w:t>
            </w:r>
          </w:p>
        </w:tc>
        <w:tc>
          <w:tcPr>
            <w:tcW w:w="750" w:type="dxa"/>
            <w:tcMar>
              <w:top w:w="15" w:type="dxa"/>
              <w:left w:w="75" w:type="dxa"/>
              <w:bottom w:w="15" w:type="dxa"/>
              <w:right w:w="75" w:type="dxa"/>
            </w:tcMar>
            <w:vAlign w:val="center"/>
            <w:hideMark/>
          </w:tcPr>
          <w:p w14:paraId="390BBF3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(0.34)</w:t>
            </w:r>
          </w:p>
        </w:tc>
        <w:tc>
          <w:tcPr>
            <w:tcW w:w="1200" w:type="dxa"/>
            <w:tcMar>
              <w:top w:w="15" w:type="dxa"/>
              <w:left w:w="75" w:type="dxa"/>
              <w:bottom w:w="15" w:type="dxa"/>
              <w:right w:w="75" w:type="dxa"/>
            </w:tcMar>
            <w:vAlign w:val="center"/>
            <w:hideMark/>
          </w:tcPr>
          <w:p w14:paraId="12B3093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536B06F" w14:textId="77777777" w:rsidTr="00F552A0">
        <w:tc>
          <w:tcPr>
            <w:tcW w:w="3226" w:type="dxa"/>
            <w:tcMar>
              <w:top w:w="15" w:type="dxa"/>
              <w:left w:w="75" w:type="dxa"/>
              <w:bottom w:w="15" w:type="dxa"/>
              <w:right w:w="75" w:type="dxa"/>
            </w:tcMar>
            <w:vAlign w:val="center"/>
            <w:hideMark/>
          </w:tcPr>
          <w:p w14:paraId="3A1FF383"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xml:space="preserve">Transit </w:t>
            </w:r>
            <w:proofErr w:type="gramStart"/>
            <w:r w:rsidRPr="00594BFA">
              <w:rPr>
                <w:rFonts w:ascii="Times New Roman" w:eastAsia="Times New Roman" w:hAnsi="Times New Roman" w:cs="Times New Roman"/>
                <w:color w:val="000000"/>
                <w:kern w:val="0"/>
                <w:sz w:val="18"/>
                <w:szCs w:val="18"/>
                <w:lang w:val="en-US"/>
                <w14:ligatures w14:val="none"/>
              </w:rPr>
              <w:t>stop</w:t>
            </w:r>
            <w:proofErr w:type="gramEnd"/>
            <w:r w:rsidRPr="00594BFA">
              <w:rPr>
                <w:rFonts w:ascii="Times New Roman" w:eastAsia="Times New Roman" w:hAnsi="Times New Roman" w:cs="Times New Roman"/>
                <w:color w:val="000000"/>
                <w:kern w:val="0"/>
                <w:sz w:val="18"/>
                <w:szCs w:val="18"/>
                <w:lang w:val="en-US"/>
                <w14:ligatures w14:val="none"/>
              </w:rPr>
              <w:t>: 300 m (vs 900 m)</w:t>
            </w:r>
          </w:p>
        </w:tc>
        <w:tc>
          <w:tcPr>
            <w:tcW w:w="950" w:type="dxa"/>
            <w:tcMar>
              <w:top w:w="15" w:type="dxa"/>
              <w:left w:w="75" w:type="dxa"/>
              <w:bottom w:w="15" w:type="dxa"/>
              <w:right w:w="75" w:type="dxa"/>
            </w:tcMar>
            <w:vAlign w:val="center"/>
            <w:hideMark/>
          </w:tcPr>
          <w:p w14:paraId="76CDBE6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1.15***</w:t>
            </w:r>
          </w:p>
        </w:tc>
        <w:tc>
          <w:tcPr>
            <w:tcW w:w="750" w:type="dxa"/>
            <w:tcMar>
              <w:top w:w="15" w:type="dxa"/>
              <w:left w:w="75" w:type="dxa"/>
              <w:bottom w:w="15" w:type="dxa"/>
              <w:right w:w="75" w:type="dxa"/>
            </w:tcMar>
            <w:vAlign w:val="center"/>
            <w:hideMark/>
          </w:tcPr>
          <w:p w14:paraId="4E0D8E9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0.79***</w:t>
            </w:r>
          </w:p>
        </w:tc>
        <w:tc>
          <w:tcPr>
            <w:tcW w:w="1200" w:type="dxa"/>
            <w:tcMar>
              <w:top w:w="15" w:type="dxa"/>
              <w:left w:w="75" w:type="dxa"/>
              <w:bottom w:w="15" w:type="dxa"/>
              <w:right w:w="75" w:type="dxa"/>
            </w:tcMar>
            <w:vAlign w:val="center"/>
            <w:hideMark/>
          </w:tcPr>
          <w:p w14:paraId="7925152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227 (175, 279)</w:t>
            </w:r>
          </w:p>
        </w:tc>
        <w:tc>
          <w:tcPr>
            <w:tcW w:w="950" w:type="dxa"/>
            <w:tcMar>
              <w:top w:w="15" w:type="dxa"/>
              <w:left w:w="75" w:type="dxa"/>
              <w:bottom w:w="15" w:type="dxa"/>
              <w:right w:w="75" w:type="dxa"/>
            </w:tcMar>
            <w:vAlign w:val="center"/>
            <w:hideMark/>
          </w:tcPr>
          <w:p w14:paraId="1EA90C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1.42***</w:t>
            </w:r>
          </w:p>
        </w:tc>
        <w:tc>
          <w:tcPr>
            <w:tcW w:w="750" w:type="dxa"/>
            <w:tcMar>
              <w:top w:w="15" w:type="dxa"/>
              <w:left w:w="75" w:type="dxa"/>
              <w:bottom w:w="15" w:type="dxa"/>
              <w:right w:w="75" w:type="dxa"/>
            </w:tcMar>
            <w:vAlign w:val="center"/>
            <w:hideMark/>
          </w:tcPr>
          <w:p w14:paraId="565CDEB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0.33</w:t>
            </w:r>
          </w:p>
        </w:tc>
        <w:tc>
          <w:tcPr>
            <w:tcW w:w="1200" w:type="dxa"/>
            <w:tcMar>
              <w:top w:w="15" w:type="dxa"/>
              <w:left w:w="75" w:type="dxa"/>
              <w:bottom w:w="15" w:type="dxa"/>
              <w:right w:w="75" w:type="dxa"/>
            </w:tcMar>
            <w:vAlign w:val="center"/>
            <w:hideMark/>
          </w:tcPr>
          <w:p w14:paraId="43D95FA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134 (78, 190)</w:t>
            </w:r>
          </w:p>
        </w:tc>
      </w:tr>
      <w:tr w:rsidR="00A830A9" w:rsidRPr="00594BFA" w14:paraId="54BEA85F" w14:textId="77777777" w:rsidTr="00F552A0">
        <w:tc>
          <w:tcPr>
            <w:tcW w:w="3226" w:type="dxa"/>
            <w:tcMar>
              <w:top w:w="15" w:type="dxa"/>
              <w:left w:w="75" w:type="dxa"/>
              <w:bottom w:w="15" w:type="dxa"/>
              <w:right w:w="75" w:type="dxa"/>
            </w:tcMar>
            <w:vAlign w:val="center"/>
            <w:hideMark/>
          </w:tcPr>
          <w:p w14:paraId="1E1B38FD"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1566114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(0.13)</w:t>
            </w:r>
          </w:p>
        </w:tc>
        <w:tc>
          <w:tcPr>
            <w:tcW w:w="750" w:type="dxa"/>
            <w:tcMar>
              <w:top w:w="15" w:type="dxa"/>
              <w:left w:w="75" w:type="dxa"/>
              <w:bottom w:w="15" w:type="dxa"/>
              <w:right w:w="75" w:type="dxa"/>
            </w:tcMar>
            <w:vAlign w:val="center"/>
            <w:hideMark/>
          </w:tcPr>
          <w:p w14:paraId="07B0F88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(0.22)</w:t>
            </w:r>
          </w:p>
        </w:tc>
        <w:tc>
          <w:tcPr>
            <w:tcW w:w="1200" w:type="dxa"/>
            <w:tcMar>
              <w:top w:w="15" w:type="dxa"/>
              <w:left w:w="75" w:type="dxa"/>
              <w:bottom w:w="15" w:type="dxa"/>
              <w:right w:w="75" w:type="dxa"/>
            </w:tcMar>
            <w:vAlign w:val="center"/>
            <w:hideMark/>
          </w:tcPr>
          <w:p w14:paraId="2B3B2DE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185DE9F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(0.30)</w:t>
            </w:r>
          </w:p>
        </w:tc>
        <w:tc>
          <w:tcPr>
            <w:tcW w:w="750" w:type="dxa"/>
            <w:tcMar>
              <w:top w:w="15" w:type="dxa"/>
              <w:left w:w="75" w:type="dxa"/>
              <w:bottom w:w="15" w:type="dxa"/>
              <w:right w:w="75" w:type="dxa"/>
            </w:tcMar>
            <w:vAlign w:val="center"/>
            <w:hideMark/>
          </w:tcPr>
          <w:p w14:paraId="65E56EC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(0.40)</w:t>
            </w:r>
          </w:p>
        </w:tc>
        <w:tc>
          <w:tcPr>
            <w:tcW w:w="1200" w:type="dxa"/>
            <w:tcMar>
              <w:top w:w="15" w:type="dxa"/>
              <w:left w:w="75" w:type="dxa"/>
              <w:bottom w:w="15" w:type="dxa"/>
              <w:right w:w="75" w:type="dxa"/>
            </w:tcMar>
            <w:vAlign w:val="center"/>
            <w:hideMark/>
          </w:tcPr>
          <w:p w14:paraId="2DD80ED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A72A518" w14:textId="77777777" w:rsidTr="00F552A0">
        <w:tc>
          <w:tcPr>
            <w:tcW w:w="3226" w:type="dxa"/>
            <w:tcMar>
              <w:top w:w="15" w:type="dxa"/>
              <w:left w:w="75" w:type="dxa"/>
              <w:bottom w:w="15" w:type="dxa"/>
              <w:right w:w="75" w:type="dxa"/>
            </w:tcMar>
            <w:vAlign w:val="center"/>
            <w:hideMark/>
          </w:tcPr>
          <w:p w14:paraId="314E22E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Parking: reserved garage (vs none)</w:t>
            </w:r>
          </w:p>
        </w:tc>
        <w:tc>
          <w:tcPr>
            <w:tcW w:w="950" w:type="dxa"/>
            <w:tcMar>
              <w:top w:w="15" w:type="dxa"/>
              <w:left w:w="75" w:type="dxa"/>
              <w:bottom w:w="15" w:type="dxa"/>
              <w:right w:w="75" w:type="dxa"/>
            </w:tcMar>
            <w:vAlign w:val="center"/>
            <w:hideMark/>
          </w:tcPr>
          <w:p w14:paraId="1D9E8C7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2.98***</w:t>
            </w:r>
          </w:p>
        </w:tc>
        <w:tc>
          <w:tcPr>
            <w:tcW w:w="750" w:type="dxa"/>
            <w:tcMar>
              <w:top w:w="15" w:type="dxa"/>
              <w:left w:w="75" w:type="dxa"/>
              <w:bottom w:w="15" w:type="dxa"/>
              <w:right w:w="75" w:type="dxa"/>
            </w:tcMar>
            <w:vAlign w:val="center"/>
            <w:hideMark/>
          </w:tcPr>
          <w:p w14:paraId="66800ED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-0.94***</w:t>
            </w:r>
          </w:p>
        </w:tc>
        <w:tc>
          <w:tcPr>
            <w:tcW w:w="1200" w:type="dxa"/>
            <w:tcMar>
              <w:top w:w="15" w:type="dxa"/>
              <w:left w:w="75" w:type="dxa"/>
              <w:bottom w:w="15" w:type="dxa"/>
              <w:right w:w="75" w:type="dxa"/>
            </w:tcMar>
            <w:vAlign w:val="center"/>
            <w:hideMark/>
          </w:tcPr>
          <w:p w14:paraId="59C73FB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587 (502, 672)</w:t>
            </w:r>
          </w:p>
        </w:tc>
        <w:tc>
          <w:tcPr>
            <w:tcW w:w="950" w:type="dxa"/>
            <w:tcMar>
              <w:top w:w="15" w:type="dxa"/>
              <w:left w:w="75" w:type="dxa"/>
              <w:bottom w:w="15" w:type="dxa"/>
              <w:right w:w="75" w:type="dxa"/>
            </w:tcMar>
            <w:vAlign w:val="center"/>
            <w:hideMark/>
          </w:tcPr>
          <w:p w14:paraId="4BE49DA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2.70***</w:t>
            </w:r>
          </w:p>
        </w:tc>
        <w:tc>
          <w:tcPr>
            <w:tcW w:w="750" w:type="dxa"/>
            <w:tcMar>
              <w:top w:w="15" w:type="dxa"/>
              <w:left w:w="75" w:type="dxa"/>
              <w:bottom w:w="15" w:type="dxa"/>
              <w:right w:w="75" w:type="dxa"/>
            </w:tcMar>
            <w:vAlign w:val="center"/>
            <w:hideMark/>
          </w:tcPr>
          <w:p w14:paraId="1C82179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1.06**</w:t>
            </w:r>
          </w:p>
        </w:tc>
        <w:tc>
          <w:tcPr>
            <w:tcW w:w="1200" w:type="dxa"/>
            <w:tcMar>
              <w:top w:w="15" w:type="dxa"/>
              <w:left w:w="75" w:type="dxa"/>
              <w:bottom w:w="15" w:type="dxa"/>
              <w:right w:w="75" w:type="dxa"/>
            </w:tcMar>
            <w:vAlign w:val="center"/>
            <w:hideMark/>
          </w:tcPr>
          <w:p w14:paraId="45D0E87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254 (183, 325)</w:t>
            </w:r>
          </w:p>
        </w:tc>
      </w:tr>
      <w:tr w:rsidR="00A830A9" w:rsidRPr="00594BFA" w14:paraId="6A5FA01F" w14:textId="77777777" w:rsidTr="00F552A0">
        <w:tc>
          <w:tcPr>
            <w:tcW w:w="3226" w:type="dxa"/>
            <w:tcMar>
              <w:top w:w="15" w:type="dxa"/>
              <w:left w:w="75" w:type="dxa"/>
              <w:bottom w:w="15" w:type="dxa"/>
              <w:right w:w="75" w:type="dxa"/>
            </w:tcMar>
            <w:vAlign w:val="center"/>
            <w:hideMark/>
          </w:tcPr>
          <w:p w14:paraId="1B348CB2"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4A064F9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(0.19)</w:t>
            </w:r>
          </w:p>
        </w:tc>
        <w:tc>
          <w:tcPr>
            <w:tcW w:w="750" w:type="dxa"/>
            <w:tcMar>
              <w:top w:w="15" w:type="dxa"/>
              <w:left w:w="75" w:type="dxa"/>
              <w:bottom w:w="15" w:type="dxa"/>
              <w:right w:w="75" w:type="dxa"/>
            </w:tcMar>
            <w:vAlign w:val="center"/>
            <w:hideMark/>
          </w:tcPr>
          <w:p w14:paraId="6F2961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(0.21)</w:t>
            </w:r>
          </w:p>
        </w:tc>
        <w:tc>
          <w:tcPr>
            <w:tcW w:w="1200" w:type="dxa"/>
            <w:tcMar>
              <w:top w:w="15" w:type="dxa"/>
              <w:left w:w="75" w:type="dxa"/>
              <w:bottom w:w="15" w:type="dxa"/>
              <w:right w:w="75" w:type="dxa"/>
            </w:tcMar>
            <w:vAlign w:val="center"/>
            <w:hideMark/>
          </w:tcPr>
          <w:p w14:paraId="217FE4B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4275FD1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(0.44)</w:t>
            </w:r>
          </w:p>
        </w:tc>
        <w:tc>
          <w:tcPr>
            <w:tcW w:w="750" w:type="dxa"/>
            <w:tcMar>
              <w:top w:w="15" w:type="dxa"/>
              <w:left w:w="75" w:type="dxa"/>
              <w:bottom w:w="15" w:type="dxa"/>
              <w:right w:w="75" w:type="dxa"/>
            </w:tcMar>
            <w:vAlign w:val="center"/>
            <w:hideMark/>
          </w:tcPr>
          <w:p w14:paraId="437B7FE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(0.35)</w:t>
            </w:r>
          </w:p>
        </w:tc>
        <w:tc>
          <w:tcPr>
            <w:tcW w:w="1200" w:type="dxa"/>
            <w:tcMar>
              <w:top w:w="15" w:type="dxa"/>
              <w:left w:w="75" w:type="dxa"/>
              <w:bottom w:w="15" w:type="dxa"/>
              <w:right w:w="75" w:type="dxa"/>
            </w:tcMar>
            <w:vAlign w:val="center"/>
            <w:hideMark/>
          </w:tcPr>
          <w:p w14:paraId="73E66FE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29D8B589" w14:textId="77777777" w:rsidTr="00F552A0">
        <w:tc>
          <w:tcPr>
            <w:tcW w:w="3226" w:type="dxa"/>
            <w:tcMar>
              <w:top w:w="15" w:type="dxa"/>
              <w:left w:w="75" w:type="dxa"/>
              <w:bottom w:w="15" w:type="dxa"/>
              <w:right w:w="75" w:type="dxa"/>
            </w:tcMar>
            <w:vAlign w:val="center"/>
            <w:hideMark/>
          </w:tcPr>
          <w:p w14:paraId="718EAFE2"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Parking: reserved space (vs none)</w:t>
            </w:r>
          </w:p>
        </w:tc>
        <w:tc>
          <w:tcPr>
            <w:tcW w:w="950" w:type="dxa"/>
            <w:tcMar>
              <w:top w:w="15" w:type="dxa"/>
              <w:left w:w="75" w:type="dxa"/>
              <w:bottom w:w="15" w:type="dxa"/>
              <w:right w:w="75" w:type="dxa"/>
            </w:tcMar>
            <w:vAlign w:val="center"/>
            <w:hideMark/>
          </w:tcPr>
          <w:p w14:paraId="09FE5D2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2.43***</w:t>
            </w:r>
          </w:p>
        </w:tc>
        <w:tc>
          <w:tcPr>
            <w:tcW w:w="750" w:type="dxa"/>
            <w:tcMar>
              <w:top w:w="15" w:type="dxa"/>
              <w:left w:w="75" w:type="dxa"/>
              <w:bottom w:w="15" w:type="dxa"/>
              <w:right w:w="75" w:type="dxa"/>
            </w:tcMar>
            <w:vAlign w:val="center"/>
            <w:hideMark/>
          </w:tcPr>
          <w:p w14:paraId="7E4851F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2.27***</w:t>
            </w:r>
          </w:p>
        </w:tc>
        <w:tc>
          <w:tcPr>
            <w:tcW w:w="1200" w:type="dxa"/>
            <w:tcMar>
              <w:top w:w="15" w:type="dxa"/>
              <w:left w:w="75" w:type="dxa"/>
              <w:bottom w:w="15" w:type="dxa"/>
              <w:right w:w="75" w:type="dxa"/>
            </w:tcMar>
            <w:vAlign w:val="center"/>
            <w:hideMark/>
          </w:tcPr>
          <w:p w14:paraId="377C944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478 (414, 542)</w:t>
            </w:r>
          </w:p>
        </w:tc>
        <w:tc>
          <w:tcPr>
            <w:tcW w:w="950" w:type="dxa"/>
            <w:tcMar>
              <w:top w:w="15" w:type="dxa"/>
              <w:left w:w="75" w:type="dxa"/>
              <w:bottom w:w="15" w:type="dxa"/>
              <w:right w:w="75" w:type="dxa"/>
            </w:tcMar>
            <w:vAlign w:val="center"/>
            <w:hideMark/>
          </w:tcPr>
          <w:p w14:paraId="4150EF8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2.64***</w:t>
            </w:r>
          </w:p>
        </w:tc>
        <w:tc>
          <w:tcPr>
            <w:tcW w:w="750" w:type="dxa"/>
            <w:tcMar>
              <w:top w:w="15" w:type="dxa"/>
              <w:left w:w="75" w:type="dxa"/>
              <w:bottom w:w="15" w:type="dxa"/>
              <w:right w:w="75" w:type="dxa"/>
            </w:tcMar>
            <w:vAlign w:val="center"/>
            <w:hideMark/>
          </w:tcPr>
          <w:p w14:paraId="5901434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2.68***</w:t>
            </w:r>
          </w:p>
        </w:tc>
        <w:tc>
          <w:tcPr>
            <w:tcW w:w="1200" w:type="dxa"/>
            <w:tcMar>
              <w:top w:w="15" w:type="dxa"/>
              <w:left w:w="75" w:type="dxa"/>
              <w:bottom w:w="15" w:type="dxa"/>
              <w:right w:w="75" w:type="dxa"/>
            </w:tcMar>
            <w:vAlign w:val="center"/>
            <w:hideMark/>
          </w:tcPr>
          <w:p w14:paraId="207E56E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hAnsi="Times New Roman" w:cs="Times New Roman"/>
                <w:sz w:val="18"/>
                <w:szCs w:val="18"/>
                <w:lang w:val="en-US"/>
              </w:rPr>
              <w:t>249 (186, 312)</w:t>
            </w:r>
          </w:p>
        </w:tc>
      </w:tr>
      <w:tr w:rsidR="00A830A9" w:rsidRPr="00594BFA" w14:paraId="0ED897EE" w14:textId="77777777" w:rsidTr="00F552A0">
        <w:tc>
          <w:tcPr>
            <w:tcW w:w="3226" w:type="dxa"/>
            <w:tcMar>
              <w:top w:w="15" w:type="dxa"/>
              <w:left w:w="75" w:type="dxa"/>
              <w:bottom w:w="15" w:type="dxa"/>
              <w:right w:w="75" w:type="dxa"/>
            </w:tcMar>
            <w:vAlign w:val="center"/>
            <w:hideMark/>
          </w:tcPr>
          <w:p w14:paraId="79B90588"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Mar>
              <w:top w:w="15" w:type="dxa"/>
              <w:left w:w="75" w:type="dxa"/>
              <w:bottom w:w="15" w:type="dxa"/>
              <w:right w:w="75" w:type="dxa"/>
            </w:tcMar>
            <w:vAlign w:val="center"/>
            <w:hideMark/>
          </w:tcPr>
          <w:p w14:paraId="4A163E8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(0.17)</w:t>
            </w:r>
          </w:p>
        </w:tc>
        <w:tc>
          <w:tcPr>
            <w:tcW w:w="750" w:type="dxa"/>
            <w:tcMar>
              <w:top w:w="15" w:type="dxa"/>
              <w:left w:w="75" w:type="dxa"/>
              <w:bottom w:w="15" w:type="dxa"/>
              <w:right w:w="75" w:type="dxa"/>
            </w:tcMar>
            <w:vAlign w:val="center"/>
            <w:hideMark/>
          </w:tcPr>
          <w:p w14:paraId="526967E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(0.19)</w:t>
            </w:r>
          </w:p>
        </w:tc>
        <w:tc>
          <w:tcPr>
            <w:tcW w:w="1200" w:type="dxa"/>
            <w:tcMar>
              <w:top w:w="15" w:type="dxa"/>
              <w:left w:w="75" w:type="dxa"/>
              <w:bottom w:w="15" w:type="dxa"/>
              <w:right w:w="75" w:type="dxa"/>
            </w:tcMar>
            <w:vAlign w:val="center"/>
            <w:hideMark/>
          </w:tcPr>
          <w:p w14:paraId="30C4F9B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FACBCA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(0.43)</w:t>
            </w:r>
          </w:p>
        </w:tc>
        <w:tc>
          <w:tcPr>
            <w:tcW w:w="750" w:type="dxa"/>
            <w:tcMar>
              <w:top w:w="15" w:type="dxa"/>
              <w:left w:w="75" w:type="dxa"/>
              <w:bottom w:w="15" w:type="dxa"/>
              <w:right w:w="75" w:type="dxa"/>
            </w:tcMar>
            <w:vAlign w:val="center"/>
            <w:hideMark/>
          </w:tcPr>
          <w:p w14:paraId="70CEC82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(0.52)</w:t>
            </w:r>
          </w:p>
        </w:tc>
        <w:tc>
          <w:tcPr>
            <w:tcW w:w="1200" w:type="dxa"/>
            <w:tcMar>
              <w:top w:w="15" w:type="dxa"/>
              <w:left w:w="75" w:type="dxa"/>
              <w:bottom w:w="15" w:type="dxa"/>
              <w:right w:w="75" w:type="dxa"/>
            </w:tcMar>
            <w:vAlign w:val="center"/>
            <w:hideMark/>
          </w:tcPr>
          <w:p w14:paraId="47E09C4A"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498F9B6" w14:textId="77777777" w:rsidTr="00F552A0">
        <w:tc>
          <w:tcPr>
            <w:tcW w:w="3226" w:type="dxa"/>
            <w:tcBorders>
              <w:bottom w:val="nil"/>
            </w:tcBorders>
            <w:tcMar>
              <w:top w:w="15" w:type="dxa"/>
              <w:left w:w="75" w:type="dxa"/>
              <w:bottom w:w="15" w:type="dxa"/>
              <w:right w:w="75" w:type="dxa"/>
            </w:tcMar>
            <w:vAlign w:val="center"/>
            <w:hideMark/>
          </w:tcPr>
          <w:p w14:paraId="26493F28"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Cost</w:t>
            </w:r>
          </w:p>
        </w:tc>
        <w:tc>
          <w:tcPr>
            <w:tcW w:w="950" w:type="dxa"/>
            <w:tcBorders>
              <w:bottom w:val="nil"/>
            </w:tcBorders>
            <w:tcMar>
              <w:top w:w="15" w:type="dxa"/>
              <w:left w:w="75" w:type="dxa"/>
              <w:bottom w:w="15" w:type="dxa"/>
              <w:right w:w="75" w:type="dxa"/>
            </w:tcMar>
            <w:vAlign w:val="center"/>
            <w:hideMark/>
          </w:tcPr>
          <w:p w14:paraId="6308B62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-5.08***</w:t>
            </w:r>
          </w:p>
        </w:tc>
        <w:tc>
          <w:tcPr>
            <w:tcW w:w="750" w:type="dxa"/>
            <w:tcBorders>
              <w:bottom w:val="nil"/>
            </w:tcBorders>
            <w:tcMar>
              <w:top w:w="15" w:type="dxa"/>
              <w:left w:w="75" w:type="dxa"/>
              <w:bottom w:w="15" w:type="dxa"/>
              <w:right w:w="75" w:type="dxa"/>
            </w:tcMar>
            <w:vAlign w:val="center"/>
            <w:hideMark/>
          </w:tcPr>
          <w:p w14:paraId="603FC63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09A4D91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bottom w:val="nil"/>
            </w:tcBorders>
            <w:tcMar>
              <w:top w:w="15" w:type="dxa"/>
              <w:left w:w="75" w:type="dxa"/>
              <w:bottom w:w="15" w:type="dxa"/>
              <w:right w:w="75" w:type="dxa"/>
            </w:tcMar>
            <w:vAlign w:val="center"/>
            <w:hideMark/>
          </w:tcPr>
          <w:p w14:paraId="142A2E4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-9.54***</w:t>
            </w:r>
          </w:p>
        </w:tc>
        <w:tc>
          <w:tcPr>
            <w:tcW w:w="750" w:type="dxa"/>
            <w:tcBorders>
              <w:bottom w:val="nil"/>
            </w:tcBorders>
            <w:tcMar>
              <w:top w:w="15" w:type="dxa"/>
              <w:left w:w="75" w:type="dxa"/>
              <w:bottom w:w="15" w:type="dxa"/>
              <w:right w:w="75" w:type="dxa"/>
            </w:tcMar>
            <w:vAlign w:val="center"/>
            <w:hideMark/>
          </w:tcPr>
          <w:p w14:paraId="313D9C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23A6E48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D959FE4" w14:textId="77777777" w:rsidTr="00F552A0">
        <w:tc>
          <w:tcPr>
            <w:tcW w:w="3226" w:type="dxa"/>
            <w:tcBorders>
              <w:top w:val="nil"/>
              <w:bottom w:val="single" w:sz="4" w:space="0" w:color="auto"/>
            </w:tcBorders>
            <w:tcMar>
              <w:top w:w="15" w:type="dxa"/>
              <w:left w:w="75" w:type="dxa"/>
              <w:bottom w:w="15" w:type="dxa"/>
              <w:right w:w="75" w:type="dxa"/>
            </w:tcMar>
            <w:vAlign w:val="center"/>
            <w:hideMark/>
          </w:tcPr>
          <w:p w14:paraId="0BB09496"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 </w:t>
            </w:r>
          </w:p>
        </w:tc>
        <w:tc>
          <w:tcPr>
            <w:tcW w:w="950" w:type="dxa"/>
            <w:tcBorders>
              <w:top w:val="nil"/>
              <w:bottom w:val="single" w:sz="4" w:space="0" w:color="auto"/>
            </w:tcBorders>
            <w:tcMar>
              <w:top w:w="15" w:type="dxa"/>
              <w:left w:w="75" w:type="dxa"/>
              <w:bottom w:w="15" w:type="dxa"/>
              <w:right w:w="75" w:type="dxa"/>
            </w:tcMar>
            <w:vAlign w:val="center"/>
            <w:hideMark/>
          </w:tcPr>
          <w:p w14:paraId="1040ED5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(0.35)</w:t>
            </w:r>
          </w:p>
        </w:tc>
        <w:tc>
          <w:tcPr>
            <w:tcW w:w="750" w:type="dxa"/>
            <w:tcBorders>
              <w:top w:val="nil"/>
              <w:bottom w:val="single" w:sz="4" w:space="0" w:color="auto"/>
            </w:tcBorders>
            <w:tcMar>
              <w:top w:w="15" w:type="dxa"/>
              <w:left w:w="75" w:type="dxa"/>
              <w:bottom w:w="15" w:type="dxa"/>
              <w:right w:w="75" w:type="dxa"/>
            </w:tcMar>
            <w:vAlign w:val="center"/>
            <w:hideMark/>
          </w:tcPr>
          <w:p w14:paraId="25DD50C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3670FB5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nil"/>
              <w:bottom w:val="single" w:sz="4" w:space="0" w:color="auto"/>
            </w:tcBorders>
            <w:tcMar>
              <w:top w:w="15" w:type="dxa"/>
              <w:left w:w="75" w:type="dxa"/>
              <w:bottom w:w="15" w:type="dxa"/>
              <w:right w:w="75" w:type="dxa"/>
            </w:tcMar>
            <w:vAlign w:val="center"/>
            <w:hideMark/>
          </w:tcPr>
          <w:p w14:paraId="276848E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(1.25)</w:t>
            </w:r>
          </w:p>
        </w:tc>
        <w:tc>
          <w:tcPr>
            <w:tcW w:w="750" w:type="dxa"/>
            <w:tcBorders>
              <w:top w:val="nil"/>
              <w:bottom w:val="single" w:sz="4" w:space="0" w:color="auto"/>
            </w:tcBorders>
            <w:tcMar>
              <w:top w:w="15" w:type="dxa"/>
              <w:left w:w="75" w:type="dxa"/>
              <w:bottom w:w="15" w:type="dxa"/>
              <w:right w:w="75" w:type="dxa"/>
            </w:tcMar>
            <w:vAlign w:val="center"/>
            <w:hideMark/>
          </w:tcPr>
          <w:p w14:paraId="66C0794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00F9E36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7CC2EE6E" w14:textId="77777777" w:rsidTr="00F552A0">
        <w:tc>
          <w:tcPr>
            <w:tcW w:w="3226" w:type="dxa"/>
            <w:tcBorders>
              <w:top w:val="single" w:sz="4" w:space="0" w:color="auto"/>
            </w:tcBorders>
            <w:tcMar>
              <w:top w:w="15" w:type="dxa"/>
              <w:left w:w="75" w:type="dxa"/>
              <w:bottom w:w="15" w:type="dxa"/>
              <w:right w:w="75" w:type="dxa"/>
            </w:tcMar>
            <w:vAlign w:val="center"/>
            <w:hideMark/>
          </w:tcPr>
          <w:p w14:paraId="4023AD85"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Num. obs.</w:t>
            </w:r>
          </w:p>
        </w:tc>
        <w:tc>
          <w:tcPr>
            <w:tcW w:w="950" w:type="dxa"/>
            <w:tcBorders>
              <w:top w:val="single" w:sz="4" w:space="0" w:color="auto"/>
            </w:tcBorders>
            <w:tcMar>
              <w:top w:w="15" w:type="dxa"/>
              <w:left w:w="75" w:type="dxa"/>
              <w:bottom w:w="15" w:type="dxa"/>
              <w:right w:w="75" w:type="dxa"/>
            </w:tcMar>
            <w:vAlign w:val="center"/>
            <w:hideMark/>
          </w:tcPr>
          <w:p w14:paraId="33C495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7110</w:t>
            </w:r>
          </w:p>
        </w:tc>
        <w:tc>
          <w:tcPr>
            <w:tcW w:w="750" w:type="dxa"/>
            <w:tcBorders>
              <w:top w:val="single" w:sz="4" w:space="0" w:color="auto"/>
            </w:tcBorders>
            <w:tcMar>
              <w:top w:w="15" w:type="dxa"/>
              <w:left w:w="75" w:type="dxa"/>
              <w:bottom w:w="15" w:type="dxa"/>
              <w:right w:w="75" w:type="dxa"/>
            </w:tcMar>
            <w:vAlign w:val="center"/>
            <w:hideMark/>
          </w:tcPr>
          <w:p w14:paraId="17A5717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single" w:sz="4" w:space="0" w:color="auto"/>
            </w:tcBorders>
            <w:tcMar>
              <w:top w:w="15" w:type="dxa"/>
              <w:left w:w="75" w:type="dxa"/>
              <w:bottom w:w="15" w:type="dxa"/>
              <w:right w:w="75" w:type="dxa"/>
            </w:tcMar>
            <w:vAlign w:val="center"/>
            <w:hideMark/>
          </w:tcPr>
          <w:p w14:paraId="40FF5154"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single" w:sz="4" w:space="0" w:color="auto"/>
            </w:tcBorders>
            <w:tcMar>
              <w:top w:w="15" w:type="dxa"/>
              <w:left w:w="75" w:type="dxa"/>
              <w:bottom w:w="15" w:type="dxa"/>
              <w:right w:w="75" w:type="dxa"/>
            </w:tcMar>
            <w:vAlign w:val="center"/>
            <w:hideMark/>
          </w:tcPr>
          <w:p w14:paraId="1DDFCE9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1458</w:t>
            </w:r>
          </w:p>
        </w:tc>
        <w:tc>
          <w:tcPr>
            <w:tcW w:w="750" w:type="dxa"/>
            <w:tcBorders>
              <w:top w:val="single" w:sz="4" w:space="0" w:color="auto"/>
            </w:tcBorders>
            <w:tcMar>
              <w:top w:w="15" w:type="dxa"/>
              <w:left w:w="75" w:type="dxa"/>
              <w:bottom w:w="15" w:type="dxa"/>
              <w:right w:w="75" w:type="dxa"/>
            </w:tcMar>
            <w:vAlign w:val="center"/>
            <w:hideMark/>
          </w:tcPr>
          <w:p w14:paraId="2E057736"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single" w:sz="4" w:space="0" w:color="auto"/>
            </w:tcBorders>
            <w:tcMar>
              <w:top w:w="15" w:type="dxa"/>
              <w:left w:w="75" w:type="dxa"/>
              <w:bottom w:w="15" w:type="dxa"/>
              <w:right w:w="75" w:type="dxa"/>
            </w:tcMar>
            <w:vAlign w:val="center"/>
            <w:hideMark/>
          </w:tcPr>
          <w:p w14:paraId="22BB0BD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1B5C8F76" w14:textId="77777777" w:rsidTr="00F552A0">
        <w:tc>
          <w:tcPr>
            <w:tcW w:w="3226" w:type="dxa"/>
            <w:tcMar>
              <w:top w:w="15" w:type="dxa"/>
              <w:left w:w="75" w:type="dxa"/>
              <w:bottom w:w="15" w:type="dxa"/>
              <w:right w:w="75" w:type="dxa"/>
            </w:tcMar>
            <w:vAlign w:val="center"/>
            <w:hideMark/>
          </w:tcPr>
          <w:p w14:paraId="5D41E74C"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Log Likelihood</w:t>
            </w:r>
          </w:p>
        </w:tc>
        <w:tc>
          <w:tcPr>
            <w:tcW w:w="950" w:type="dxa"/>
            <w:tcMar>
              <w:top w:w="15" w:type="dxa"/>
              <w:left w:w="75" w:type="dxa"/>
              <w:bottom w:w="15" w:type="dxa"/>
              <w:right w:w="75" w:type="dxa"/>
            </w:tcMar>
            <w:vAlign w:val="center"/>
            <w:hideMark/>
          </w:tcPr>
          <w:p w14:paraId="445339D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-3156.61</w:t>
            </w:r>
          </w:p>
        </w:tc>
        <w:tc>
          <w:tcPr>
            <w:tcW w:w="750" w:type="dxa"/>
            <w:tcMar>
              <w:top w:w="15" w:type="dxa"/>
              <w:left w:w="75" w:type="dxa"/>
              <w:bottom w:w="15" w:type="dxa"/>
              <w:right w:w="75" w:type="dxa"/>
            </w:tcMar>
            <w:vAlign w:val="center"/>
            <w:hideMark/>
          </w:tcPr>
          <w:p w14:paraId="47DE777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3C992CCD"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B588CE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-616.04</w:t>
            </w:r>
          </w:p>
        </w:tc>
        <w:tc>
          <w:tcPr>
            <w:tcW w:w="750" w:type="dxa"/>
            <w:tcMar>
              <w:top w:w="15" w:type="dxa"/>
              <w:left w:w="75" w:type="dxa"/>
              <w:bottom w:w="15" w:type="dxa"/>
              <w:right w:w="75" w:type="dxa"/>
            </w:tcMar>
            <w:vAlign w:val="center"/>
            <w:hideMark/>
          </w:tcPr>
          <w:p w14:paraId="6F21C730"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7DE37DC3"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2E8ADBC6" w14:textId="77777777" w:rsidTr="00F552A0">
        <w:tc>
          <w:tcPr>
            <w:tcW w:w="3226" w:type="dxa"/>
            <w:tcMar>
              <w:top w:w="15" w:type="dxa"/>
              <w:left w:w="75" w:type="dxa"/>
              <w:bottom w:w="15" w:type="dxa"/>
              <w:right w:w="75" w:type="dxa"/>
            </w:tcMar>
            <w:vAlign w:val="center"/>
            <w:hideMark/>
          </w:tcPr>
          <w:p w14:paraId="48F871D1"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AIC</w:t>
            </w:r>
          </w:p>
        </w:tc>
        <w:tc>
          <w:tcPr>
            <w:tcW w:w="950" w:type="dxa"/>
            <w:tcMar>
              <w:top w:w="15" w:type="dxa"/>
              <w:left w:w="75" w:type="dxa"/>
              <w:bottom w:w="15" w:type="dxa"/>
              <w:right w:w="75" w:type="dxa"/>
            </w:tcMar>
            <w:vAlign w:val="center"/>
            <w:hideMark/>
          </w:tcPr>
          <w:p w14:paraId="7E33317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6403.22</w:t>
            </w:r>
          </w:p>
        </w:tc>
        <w:tc>
          <w:tcPr>
            <w:tcW w:w="750" w:type="dxa"/>
            <w:tcMar>
              <w:top w:w="15" w:type="dxa"/>
              <w:left w:w="75" w:type="dxa"/>
              <w:bottom w:w="15" w:type="dxa"/>
              <w:right w:w="75" w:type="dxa"/>
            </w:tcMar>
            <w:vAlign w:val="center"/>
            <w:hideMark/>
          </w:tcPr>
          <w:p w14:paraId="0CFEB56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2282B37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0B2AF3A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1322.09</w:t>
            </w:r>
          </w:p>
        </w:tc>
        <w:tc>
          <w:tcPr>
            <w:tcW w:w="750" w:type="dxa"/>
            <w:tcMar>
              <w:top w:w="15" w:type="dxa"/>
              <w:left w:w="75" w:type="dxa"/>
              <w:bottom w:w="15" w:type="dxa"/>
              <w:right w:w="75" w:type="dxa"/>
            </w:tcMar>
            <w:vAlign w:val="center"/>
            <w:hideMark/>
          </w:tcPr>
          <w:p w14:paraId="09D151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3E3C68B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0A7A4FCB" w14:textId="77777777" w:rsidTr="00F552A0">
        <w:tc>
          <w:tcPr>
            <w:tcW w:w="3226" w:type="dxa"/>
            <w:tcMar>
              <w:top w:w="15" w:type="dxa"/>
              <w:left w:w="75" w:type="dxa"/>
              <w:bottom w:w="15" w:type="dxa"/>
              <w:right w:w="75" w:type="dxa"/>
            </w:tcMar>
            <w:vAlign w:val="center"/>
            <w:hideMark/>
          </w:tcPr>
          <w:p w14:paraId="201E0EDA"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BIC</w:t>
            </w:r>
          </w:p>
        </w:tc>
        <w:tc>
          <w:tcPr>
            <w:tcW w:w="950" w:type="dxa"/>
            <w:tcMar>
              <w:top w:w="15" w:type="dxa"/>
              <w:left w:w="75" w:type="dxa"/>
              <w:bottom w:w="15" w:type="dxa"/>
              <w:right w:w="75" w:type="dxa"/>
            </w:tcMar>
            <w:vAlign w:val="center"/>
            <w:hideMark/>
          </w:tcPr>
          <w:p w14:paraId="3C2C857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6712.33</w:t>
            </w:r>
          </w:p>
        </w:tc>
        <w:tc>
          <w:tcPr>
            <w:tcW w:w="750" w:type="dxa"/>
            <w:tcMar>
              <w:top w:w="15" w:type="dxa"/>
              <w:left w:w="75" w:type="dxa"/>
              <w:bottom w:w="15" w:type="dxa"/>
              <w:right w:w="75" w:type="dxa"/>
            </w:tcMar>
            <w:vAlign w:val="center"/>
            <w:hideMark/>
          </w:tcPr>
          <w:p w14:paraId="13089F3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4CCFCB6E"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Mar>
              <w:top w:w="15" w:type="dxa"/>
              <w:left w:w="75" w:type="dxa"/>
              <w:bottom w:w="15" w:type="dxa"/>
              <w:right w:w="75" w:type="dxa"/>
            </w:tcMar>
            <w:vAlign w:val="center"/>
            <w:hideMark/>
          </w:tcPr>
          <w:p w14:paraId="5ABC106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1559.91</w:t>
            </w:r>
          </w:p>
        </w:tc>
        <w:tc>
          <w:tcPr>
            <w:tcW w:w="750" w:type="dxa"/>
            <w:tcMar>
              <w:top w:w="15" w:type="dxa"/>
              <w:left w:w="75" w:type="dxa"/>
              <w:bottom w:w="15" w:type="dxa"/>
              <w:right w:w="75" w:type="dxa"/>
            </w:tcMar>
            <w:vAlign w:val="center"/>
            <w:hideMark/>
          </w:tcPr>
          <w:p w14:paraId="7BCD35C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Mar>
              <w:top w:w="15" w:type="dxa"/>
              <w:left w:w="75" w:type="dxa"/>
              <w:bottom w:w="15" w:type="dxa"/>
              <w:right w:w="75" w:type="dxa"/>
            </w:tcMar>
            <w:vAlign w:val="center"/>
            <w:hideMark/>
          </w:tcPr>
          <w:p w14:paraId="0A94D349"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3F1B89DB" w14:textId="77777777" w:rsidTr="00F552A0">
        <w:tc>
          <w:tcPr>
            <w:tcW w:w="3226" w:type="dxa"/>
            <w:tcBorders>
              <w:bottom w:val="nil"/>
            </w:tcBorders>
            <w:tcMar>
              <w:top w:w="15" w:type="dxa"/>
              <w:left w:w="75" w:type="dxa"/>
              <w:bottom w:w="15" w:type="dxa"/>
              <w:right w:w="75" w:type="dxa"/>
            </w:tcMar>
            <w:vAlign w:val="center"/>
            <w:hideMark/>
          </w:tcPr>
          <w:p w14:paraId="1153E209"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McFadden R²</w:t>
            </w:r>
          </w:p>
        </w:tc>
        <w:tc>
          <w:tcPr>
            <w:tcW w:w="950" w:type="dxa"/>
            <w:tcBorders>
              <w:bottom w:val="nil"/>
            </w:tcBorders>
            <w:tcMar>
              <w:top w:w="15" w:type="dxa"/>
              <w:left w:w="75" w:type="dxa"/>
              <w:bottom w:w="15" w:type="dxa"/>
              <w:right w:w="75" w:type="dxa"/>
            </w:tcMar>
            <w:vAlign w:val="center"/>
            <w:hideMark/>
          </w:tcPr>
          <w:p w14:paraId="5A132B17"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0.36</w:t>
            </w:r>
          </w:p>
        </w:tc>
        <w:tc>
          <w:tcPr>
            <w:tcW w:w="750" w:type="dxa"/>
            <w:tcBorders>
              <w:bottom w:val="nil"/>
            </w:tcBorders>
            <w:tcMar>
              <w:top w:w="15" w:type="dxa"/>
              <w:left w:w="75" w:type="dxa"/>
              <w:bottom w:w="15" w:type="dxa"/>
              <w:right w:w="75" w:type="dxa"/>
            </w:tcMar>
            <w:vAlign w:val="center"/>
            <w:hideMark/>
          </w:tcPr>
          <w:p w14:paraId="2C68F78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51EDF97F"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bottom w:val="nil"/>
            </w:tcBorders>
            <w:tcMar>
              <w:top w:w="15" w:type="dxa"/>
              <w:left w:w="75" w:type="dxa"/>
              <w:bottom w:w="15" w:type="dxa"/>
              <w:right w:w="75" w:type="dxa"/>
            </w:tcMar>
            <w:vAlign w:val="center"/>
            <w:hideMark/>
          </w:tcPr>
          <w:p w14:paraId="3189611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0.39</w:t>
            </w:r>
          </w:p>
        </w:tc>
        <w:tc>
          <w:tcPr>
            <w:tcW w:w="750" w:type="dxa"/>
            <w:tcBorders>
              <w:bottom w:val="nil"/>
            </w:tcBorders>
            <w:tcMar>
              <w:top w:w="15" w:type="dxa"/>
              <w:left w:w="75" w:type="dxa"/>
              <w:bottom w:w="15" w:type="dxa"/>
              <w:right w:w="75" w:type="dxa"/>
            </w:tcMar>
            <w:vAlign w:val="center"/>
            <w:hideMark/>
          </w:tcPr>
          <w:p w14:paraId="7E5E950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bottom w:val="nil"/>
            </w:tcBorders>
            <w:tcMar>
              <w:top w:w="15" w:type="dxa"/>
              <w:left w:w="75" w:type="dxa"/>
              <w:bottom w:w="15" w:type="dxa"/>
              <w:right w:w="75" w:type="dxa"/>
            </w:tcMar>
            <w:vAlign w:val="center"/>
            <w:hideMark/>
          </w:tcPr>
          <w:p w14:paraId="0D88406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5304F550" w14:textId="77777777" w:rsidTr="00F552A0">
        <w:tc>
          <w:tcPr>
            <w:tcW w:w="3226" w:type="dxa"/>
            <w:tcBorders>
              <w:top w:val="nil"/>
              <w:bottom w:val="single" w:sz="4" w:space="0" w:color="auto"/>
            </w:tcBorders>
            <w:tcMar>
              <w:top w:w="15" w:type="dxa"/>
              <w:left w:w="75" w:type="dxa"/>
              <w:bottom w:w="15" w:type="dxa"/>
              <w:right w:w="75" w:type="dxa"/>
            </w:tcMar>
            <w:vAlign w:val="center"/>
            <w:hideMark/>
          </w:tcPr>
          <w:p w14:paraId="1E84799E" w14:textId="77777777" w:rsidR="00A830A9" w:rsidRPr="00594BFA" w:rsidRDefault="00A830A9" w:rsidP="00A830A9">
            <w:pPr>
              <w:spacing w:after="0" w:line="240" w:lineRule="auto"/>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LR χ² (</w:t>
            </w:r>
            <w:proofErr w:type="spellStart"/>
            <w:r w:rsidRPr="00594BFA">
              <w:rPr>
                <w:rFonts w:ascii="Times New Roman" w:eastAsia="Times New Roman" w:hAnsi="Times New Roman" w:cs="Times New Roman"/>
                <w:color w:val="000000"/>
                <w:kern w:val="0"/>
                <w:sz w:val="18"/>
                <w:szCs w:val="18"/>
                <w:lang w:val="en-US"/>
                <w14:ligatures w14:val="none"/>
              </w:rPr>
              <w:t>df</w:t>
            </w:r>
            <w:proofErr w:type="spellEnd"/>
            <w:r w:rsidRPr="00594BFA">
              <w:rPr>
                <w:rFonts w:ascii="Times New Roman" w:eastAsia="Times New Roman" w:hAnsi="Times New Roman" w:cs="Times New Roman"/>
                <w:color w:val="000000"/>
                <w:kern w:val="0"/>
                <w:sz w:val="18"/>
                <w:szCs w:val="18"/>
                <w:lang w:val="en-US"/>
                <w14:ligatures w14:val="none"/>
              </w:rPr>
              <w:t>=45)</w:t>
            </w:r>
          </w:p>
        </w:tc>
        <w:tc>
          <w:tcPr>
            <w:tcW w:w="950" w:type="dxa"/>
            <w:tcBorders>
              <w:top w:val="nil"/>
              <w:bottom w:val="single" w:sz="4" w:space="0" w:color="auto"/>
            </w:tcBorders>
            <w:tcMar>
              <w:top w:w="15" w:type="dxa"/>
              <w:left w:w="75" w:type="dxa"/>
              <w:bottom w:w="15" w:type="dxa"/>
              <w:right w:w="75" w:type="dxa"/>
            </w:tcMar>
            <w:vAlign w:val="center"/>
            <w:hideMark/>
          </w:tcPr>
          <w:p w14:paraId="5B3A5AD1"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3543.33***</w:t>
            </w:r>
          </w:p>
        </w:tc>
        <w:tc>
          <w:tcPr>
            <w:tcW w:w="750" w:type="dxa"/>
            <w:tcBorders>
              <w:top w:val="nil"/>
              <w:bottom w:val="single" w:sz="4" w:space="0" w:color="auto"/>
            </w:tcBorders>
            <w:tcMar>
              <w:top w:w="15" w:type="dxa"/>
              <w:left w:w="75" w:type="dxa"/>
              <w:bottom w:w="15" w:type="dxa"/>
              <w:right w:w="75" w:type="dxa"/>
            </w:tcMar>
            <w:vAlign w:val="center"/>
            <w:hideMark/>
          </w:tcPr>
          <w:p w14:paraId="68BAFB82"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684FA688"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950" w:type="dxa"/>
            <w:tcBorders>
              <w:top w:val="nil"/>
              <w:bottom w:val="single" w:sz="4" w:space="0" w:color="auto"/>
            </w:tcBorders>
            <w:tcMar>
              <w:top w:w="15" w:type="dxa"/>
              <w:left w:w="75" w:type="dxa"/>
              <w:bottom w:w="15" w:type="dxa"/>
              <w:right w:w="75" w:type="dxa"/>
            </w:tcMar>
            <w:vAlign w:val="center"/>
            <w:hideMark/>
          </w:tcPr>
          <w:p w14:paraId="52B4965B"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r w:rsidRPr="00594BFA">
              <w:rPr>
                <w:rFonts w:ascii="Times New Roman" w:eastAsia="Times New Roman" w:hAnsi="Times New Roman" w:cs="Times New Roman"/>
                <w:color w:val="000000"/>
                <w:kern w:val="0"/>
                <w:sz w:val="18"/>
                <w:szCs w:val="18"/>
                <w:lang w:val="en-US"/>
                <w14:ligatures w14:val="none"/>
              </w:rPr>
              <w:t>789.13***</w:t>
            </w:r>
          </w:p>
        </w:tc>
        <w:tc>
          <w:tcPr>
            <w:tcW w:w="750" w:type="dxa"/>
            <w:tcBorders>
              <w:top w:val="nil"/>
              <w:bottom w:val="single" w:sz="4" w:space="0" w:color="auto"/>
            </w:tcBorders>
            <w:tcMar>
              <w:top w:w="15" w:type="dxa"/>
              <w:left w:w="75" w:type="dxa"/>
              <w:bottom w:w="15" w:type="dxa"/>
              <w:right w:w="75" w:type="dxa"/>
            </w:tcMar>
            <w:vAlign w:val="center"/>
            <w:hideMark/>
          </w:tcPr>
          <w:p w14:paraId="74F910EC"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c>
          <w:tcPr>
            <w:tcW w:w="1200" w:type="dxa"/>
            <w:tcBorders>
              <w:top w:val="nil"/>
              <w:bottom w:val="single" w:sz="4" w:space="0" w:color="auto"/>
            </w:tcBorders>
            <w:tcMar>
              <w:top w:w="15" w:type="dxa"/>
              <w:left w:w="75" w:type="dxa"/>
              <w:bottom w:w="15" w:type="dxa"/>
              <w:right w:w="75" w:type="dxa"/>
            </w:tcMar>
            <w:vAlign w:val="center"/>
            <w:hideMark/>
          </w:tcPr>
          <w:p w14:paraId="120B3535" w14:textId="77777777" w:rsidR="00A830A9" w:rsidRPr="00594BFA" w:rsidRDefault="00A830A9" w:rsidP="00A830A9">
            <w:pPr>
              <w:spacing w:after="0" w:line="240" w:lineRule="auto"/>
              <w:jc w:val="center"/>
              <w:rPr>
                <w:rFonts w:ascii="Times New Roman" w:eastAsia="Times New Roman" w:hAnsi="Times New Roman" w:cs="Times New Roman"/>
                <w:color w:val="000000"/>
                <w:kern w:val="0"/>
                <w:sz w:val="18"/>
                <w:szCs w:val="18"/>
                <w:lang w:val="en-US"/>
                <w14:ligatures w14:val="none"/>
              </w:rPr>
            </w:pPr>
          </w:p>
        </w:tc>
      </w:tr>
      <w:tr w:rsidR="00A830A9" w:rsidRPr="00594BFA" w14:paraId="490304F5" w14:textId="77777777" w:rsidTr="00F552A0">
        <w:tc>
          <w:tcPr>
            <w:tcW w:w="9026" w:type="dxa"/>
            <w:gridSpan w:val="7"/>
            <w:tcBorders>
              <w:top w:val="single" w:sz="4" w:space="0" w:color="auto"/>
            </w:tcBorders>
            <w:tcMar>
              <w:top w:w="15" w:type="dxa"/>
              <w:left w:w="75" w:type="dxa"/>
              <w:bottom w:w="15" w:type="dxa"/>
              <w:right w:w="75" w:type="dxa"/>
            </w:tcMar>
            <w:vAlign w:val="center"/>
          </w:tcPr>
          <w:p w14:paraId="0043EDB6" w14:textId="77777777" w:rsidR="00A830A9" w:rsidRPr="00594BFA" w:rsidRDefault="00A830A9" w:rsidP="00A830A9">
            <w:pPr>
              <w:spacing w:after="0" w:line="240" w:lineRule="auto"/>
              <w:rPr>
                <w:rFonts w:ascii="Times New Roman" w:eastAsia="Times New Roman" w:hAnsi="Times New Roman" w:cs="Times New Roman"/>
                <w:b/>
                <w:bCs/>
                <w:color w:val="000000"/>
                <w:kern w:val="0"/>
                <w:sz w:val="18"/>
                <w:szCs w:val="18"/>
                <w:lang w:val="en-US"/>
                <w14:ligatures w14:val="none"/>
              </w:rPr>
            </w:pPr>
            <w:r w:rsidRPr="00594BFA">
              <w:rPr>
                <w:lang w:val="en-US"/>
              </w:rPr>
              <w:t>***p &lt; 0.001; **p &lt; 0.01; *p &lt; 0.05. Note: Coefficients (Coef.) and standard deviations (SD) of random parameters estimated from mixed logit models using simulated maximum likelihood; standard errors in parentheses. MWTP (marginal willingness-to-pay, SEK/month) calculated as 10% of median monthly housing cost (owners 10,000 SEK; renters 9,000 SEK); 95% confidence intervals in parentheses, estimated via the delta method. EUR/SEK exchange rate: 1 EUR = 11.42 SEK (May 31, 2024).</w:t>
            </w:r>
          </w:p>
        </w:tc>
      </w:tr>
    </w:tbl>
    <w:p w14:paraId="13E1FA6F"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5F512480"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46F23AD6"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55C7F2A4"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72B461AE"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r w:rsidRPr="00594BFA">
        <w:rPr>
          <w:rFonts w:ascii="Times New Roman" w:eastAsia="Times New Roman" w:hAnsi="Times New Roman" w:cs="Times New Roman"/>
          <w:kern w:val="0"/>
          <w:sz w:val="18"/>
          <w:szCs w:val="18"/>
          <w:lang w:val="en-US" w:eastAsia="en-GB"/>
          <w14:ligatures w14:val="none"/>
        </w:rPr>
        <w:br w:type="page"/>
      </w:r>
    </w:p>
    <w:p w14:paraId="0D1443D4" w14:textId="77777777" w:rsidR="00A830A9" w:rsidRPr="00594BFA" w:rsidRDefault="00A830A9" w:rsidP="00A830A9">
      <w:pPr>
        <w:spacing w:after="0" w:line="240" w:lineRule="auto"/>
        <w:rPr>
          <w:rFonts w:ascii="Times New Roman" w:eastAsia="Times New Roman" w:hAnsi="Times New Roman" w:cs="Times New Roman"/>
          <w:kern w:val="0"/>
          <w:sz w:val="18"/>
          <w:szCs w:val="18"/>
          <w:lang w:val="en-US" w:eastAsia="en-GB"/>
          <w14:ligatures w14:val="none"/>
        </w:rPr>
      </w:pPr>
    </w:p>
    <w:p w14:paraId="5D7AD9FB"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4D095457"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79F5657E"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56439573"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79C92E39"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35FF2B8E" w14:textId="77777777" w:rsidR="00A830A9" w:rsidRPr="00594BFA" w:rsidRDefault="00A830A9" w:rsidP="00A830A9">
      <w:pPr>
        <w:spacing w:after="0" w:line="240" w:lineRule="auto"/>
        <w:rPr>
          <w:rFonts w:ascii="Times New Roman" w:eastAsia="Times New Roman" w:hAnsi="Times New Roman" w:cs="Times New Roman"/>
          <w:kern w:val="0"/>
          <w:sz w:val="24"/>
          <w:szCs w:val="24"/>
          <w:lang w:val="en-US" w:eastAsia="en-GB"/>
          <w14:ligatures w14:val="none"/>
        </w:rPr>
      </w:pPr>
    </w:p>
    <w:p w14:paraId="1936C154"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64A365B7" w14:textId="77777777" w:rsidR="00A830A9" w:rsidRPr="00594BFA" w:rsidRDefault="00A830A9" w:rsidP="00A830A9">
      <w:pPr>
        <w:spacing w:after="0" w:line="480" w:lineRule="auto"/>
        <w:rPr>
          <w:rFonts w:ascii="Times New Roman" w:eastAsia="Times New Roman" w:hAnsi="Times New Roman" w:cs="Times New Roman"/>
          <w:kern w:val="0"/>
          <w:sz w:val="24"/>
          <w:szCs w:val="24"/>
          <w:lang w:val="en-US" w:eastAsia="en-GB"/>
          <w14:ligatures w14:val="none"/>
        </w:rPr>
      </w:pPr>
    </w:p>
    <w:p w14:paraId="6B821224" w14:textId="77777777" w:rsidR="0038260B" w:rsidRPr="00594BFA" w:rsidRDefault="0038260B">
      <w:pPr>
        <w:rPr>
          <w:lang w:val="en-US"/>
        </w:rPr>
      </w:pPr>
    </w:p>
    <w:p w14:paraId="77FEE829" w14:textId="77777777" w:rsidR="00832A7E" w:rsidRPr="00594BFA" w:rsidRDefault="00000000">
      <w:pPr>
        <w:rPr>
          <w:lang w:val="en-US"/>
        </w:rPr>
      </w:pPr>
      <w:r w:rsidRPr="00594BFA">
        <w:rPr>
          <w:lang w:val="en-US"/>
        </w:rPr>
        <w:t>Table 4. Latent Class Logit Model: Utility Coefficients and Marginal Willingness-to-Pay (MWTP) by Class (N = 957)</w:t>
      </w:r>
    </w:p>
    <w:tbl>
      <w:tblPr>
        <w:tblW w:w="0" w:type="auto"/>
        <w:tblLayout w:type="fixed"/>
        <w:tblLook w:val="04A0" w:firstRow="1" w:lastRow="0" w:firstColumn="1" w:lastColumn="0" w:noHBand="0" w:noVBand="1"/>
      </w:tblPr>
      <w:tblGrid>
        <w:gridCol w:w="2700"/>
        <w:gridCol w:w="1000"/>
        <w:gridCol w:w="900"/>
        <w:gridCol w:w="1000"/>
        <w:gridCol w:w="900"/>
        <w:gridCol w:w="1000"/>
        <w:gridCol w:w="900"/>
        <w:gridCol w:w="1000"/>
        <w:gridCol w:w="900"/>
      </w:tblGrid>
      <w:tr w:rsidR="00832A7E" w:rsidRPr="00594BFA" w14:paraId="3C61D6C1" w14:textId="77777777">
        <w:tc>
          <w:tcPr>
            <w:tcW w:w="2700" w:type="dxa"/>
            <w:tcMar>
              <w:top w:w="20" w:type="dxa"/>
              <w:left w:w="75" w:type="dxa"/>
              <w:bottom w:w="20" w:type="dxa"/>
              <w:right w:w="75" w:type="dxa"/>
            </w:tcMar>
          </w:tcPr>
          <w:p w14:paraId="091D5B1E" w14:textId="77777777" w:rsidR="00832A7E" w:rsidRPr="00594BFA" w:rsidRDefault="00832A7E">
            <w:pPr>
              <w:spacing w:before="20" w:after="20" w:line="240" w:lineRule="auto"/>
              <w:rPr>
                <w:lang w:val="en-US"/>
              </w:rPr>
            </w:pPr>
          </w:p>
        </w:tc>
        <w:tc>
          <w:tcPr>
            <w:tcW w:w="1900" w:type="dxa"/>
            <w:gridSpan w:val="2"/>
            <w:tcMar>
              <w:top w:w="20" w:type="dxa"/>
              <w:left w:w="75" w:type="dxa"/>
              <w:bottom w:w="20" w:type="dxa"/>
              <w:right w:w="75" w:type="dxa"/>
            </w:tcMar>
          </w:tcPr>
          <w:p w14:paraId="463D48DE" w14:textId="77777777" w:rsidR="00832A7E" w:rsidRPr="00594BFA" w:rsidRDefault="00000000">
            <w:pPr>
              <w:spacing w:before="20" w:after="20" w:line="240" w:lineRule="auto"/>
              <w:rPr>
                <w:lang w:val="en-US"/>
              </w:rPr>
            </w:pPr>
            <w:r w:rsidRPr="00594BFA">
              <w:rPr>
                <w:rFonts w:ascii="Times New Roman" w:hAnsi="Times New Roman"/>
                <w:b/>
                <w:sz w:val="18"/>
                <w:lang w:val="en-US"/>
              </w:rPr>
              <w:t>Class 1: Shop-seekers (25.7%)</w:t>
            </w:r>
          </w:p>
        </w:tc>
        <w:tc>
          <w:tcPr>
            <w:tcW w:w="1900" w:type="dxa"/>
            <w:gridSpan w:val="2"/>
            <w:tcMar>
              <w:top w:w="20" w:type="dxa"/>
              <w:left w:w="75" w:type="dxa"/>
              <w:bottom w:w="20" w:type="dxa"/>
              <w:right w:w="75" w:type="dxa"/>
            </w:tcMar>
          </w:tcPr>
          <w:p w14:paraId="3821449D" w14:textId="77777777" w:rsidR="00832A7E" w:rsidRPr="00594BFA" w:rsidRDefault="00000000">
            <w:pPr>
              <w:spacing w:before="20" w:after="20" w:line="240" w:lineRule="auto"/>
              <w:rPr>
                <w:lang w:val="en-US"/>
              </w:rPr>
            </w:pPr>
            <w:r w:rsidRPr="00594BFA">
              <w:rPr>
                <w:rFonts w:ascii="Times New Roman" w:hAnsi="Times New Roman"/>
                <w:b/>
                <w:sz w:val="18"/>
                <w:lang w:val="en-US"/>
              </w:rPr>
              <w:t>Class 2: Nature-seekers (22.1%)</w:t>
            </w:r>
          </w:p>
        </w:tc>
        <w:tc>
          <w:tcPr>
            <w:tcW w:w="1900" w:type="dxa"/>
            <w:gridSpan w:val="2"/>
            <w:tcMar>
              <w:top w:w="20" w:type="dxa"/>
              <w:left w:w="75" w:type="dxa"/>
              <w:bottom w:w="20" w:type="dxa"/>
              <w:right w:w="75" w:type="dxa"/>
            </w:tcMar>
          </w:tcPr>
          <w:p w14:paraId="6F521E50" w14:textId="77777777" w:rsidR="00832A7E" w:rsidRPr="00594BFA" w:rsidRDefault="00000000">
            <w:pPr>
              <w:spacing w:before="20" w:after="20" w:line="240" w:lineRule="auto"/>
              <w:rPr>
                <w:lang w:val="en-US"/>
              </w:rPr>
            </w:pPr>
            <w:r w:rsidRPr="00594BFA">
              <w:rPr>
                <w:rFonts w:ascii="Times New Roman" w:hAnsi="Times New Roman"/>
                <w:b/>
                <w:sz w:val="18"/>
                <w:lang w:val="en-US"/>
              </w:rPr>
              <w:t>Class 3: Budget-constrained shop-seekers (16.6%)</w:t>
            </w:r>
            <w:proofErr w:type="spellStart"/>
            <w:proofErr w:type="spellEnd"/>
          </w:p>
        </w:tc>
        <w:tc>
          <w:tcPr>
            <w:tcW w:w="1900" w:type="dxa"/>
            <w:gridSpan w:val="2"/>
            <w:tcMar>
              <w:top w:w="20" w:type="dxa"/>
              <w:left w:w="75" w:type="dxa"/>
              <w:bottom w:w="20" w:type="dxa"/>
              <w:right w:w="75" w:type="dxa"/>
            </w:tcMar>
          </w:tcPr>
          <w:p w14:paraId="6F521E50" w14:textId="77777777" w:rsidR="00832A7E" w:rsidRPr="00594BFA" w:rsidRDefault="00000000">
            <w:pPr>
              <w:spacing w:before="20" w:after="20" w:line="240" w:lineRule="auto"/>
              <w:rPr>
                <w:lang w:val="en-US"/>
              </w:rPr>
            </w:pPr>
            <w:r w:rsidRPr="00594BFA">
              <w:rPr>
                <w:rFonts w:ascii="Times New Roman" w:hAnsi="Times New Roman"/>
                <w:b/>
                <w:sz w:val="18"/>
                <w:lang w:val="en-US"/>
              </w:rPr>
              <w:t>Class 4: Car-centred (35.6%)</w:t>
            </w:r>
            <w:proofErr w:type="spellStart"/>
            <w:proofErr w:type="spellEnd"/>
          </w:p>
        </w:tc>
      </w:tr>
      <w:tr w:rsidR="00832A7E" w:rsidRPr="00594BFA" w14:paraId="60070152" w14:textId="77777777">
        <w:tc>
          <w:tcPr>
            <w:tcW w:w="2700" w:type="dxa"/>
            <w:tcBorders>
              <w:bottom w:val="single" w:sz="4" w:space="0" w:color="auto"/>
            </w:tcBorders>
            <w:tcMar>
              <w:top w:w="20" w:type="dxa"/>
              <w:left w:w="75" w:type="dxa"/>
              <w:bottom w:w="20" w:type="dxa"/>
              <w:right w:w="75" w:type="dxa"/>
            </w:tcMar>
          </w:tcPr>
          <w:p w14:paraId="10786EFA" w14:textId="77777777" w:rsidR="00832A7E" w:rsidRPr="00594BFA" w:rsidRDefault="00000000">
            <w:pPr>
              <w:spacing w:before="20" w:after="20" w:line="240" w:lineRule="auto"/>
              <w:rPr>
                <w:lang w:val="en-US"/>
              </w:rPr>
            </w:pPr>
            <w:r w:rsidRPr="00594BFA">
              <w:rPr>
                <w:rFonts w:ascii="Times New Roman" w:hAnsi="Times New Roman"/>
                <w:b/>
                <w:sz w:val="18"/>
                <w:lang w:val="en-US"/>
              </w:rPr>
              <w:t>Attribute</w:t>
            </w:r>
          </w:p>
        </w:tc>
        <w:tc>
          <w:tcPr>
            <w:tcW w:w="1000" w:type="dxa"/>
            <w:tcBorders>
              <w:bottom w:val="single" w:sz="4" w:space="0" w:color="auto"/>
            </w:tcBorders>
            <w:tcMar>
              <w:top w:w="20" w:type="dxa"/>
              <w:left w:w="75" w:type="dxa"/>
              <w:bottom w:w="20" w:type="dxa"/>
              <w:right w:w="75" w:type="dxa"/>
            </w:tcMar>
          </w:tcPr>
          <w:p w14:paraId="77461D85"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57E77A11"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c>
          <w:tcPr>
            <w:tcW w:w="1000" w:type="dxa"/>
            <w:tcBorders>
              <w:bottom w:val="single" w:sz="4" w:space="0" w:color="auto"/>
            </w:tcBorders>
            <w:tcMar>
              <w:top w:w="20" w:type="dxa"/>
              <w:left w:w="75" w:type="dxa"/>
              <w:bottom w:w="20" w:type="dxa"/>
              <w:right w:w="75" w:type="dxa"/>
            </w:tcMar>
          </w:tcPr>
          <w:p w14:paraId="6642B6AA"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28668574"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c>
          <w:tcPr>
            <w:tcW w:w="1000" w:type="dxa"/>
            <w:tcBorders>
              <w:bottom w:val="single" w:sz="4" w:space="0" w:color="auto"/>
            </w:tcBorders>
            <w:tcMar>
              <w:top w:w="20" w:type="dxa"/>
              <w:left w:w="75" w:type="dxa"/>
              <w:bottom w:w="20" w:type="dxa"/>
              <w:right w:w="75" w:type="dxa"/>
            </w:tcMar>
          </w:tcPr>
          <w:p w14:paraId="001A89FD"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152C5008"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c>
          <w:tcPr>
            <w:tcW w:w="1000" w:type="dxa"/>
            <w:tcBorders>
              <w:bottom w:val="single" w:sz="4" w:space="0" w:color="auto"/>
            </w:tcBorders>
            <w:tcMar>
              <w:top w:w="20" w:type="dxa"/>
              <w:left w:w="75" w:type="dxa"/>
              <w:bottom w:w="20" w:type="dxa"/>
              <w:right w:w="75" w:type="dxa"/>
            </w:tcMar>
          </w:tcPr>
          <w:p w14:paraId="001A89FD" w14:textId="77777777" w:rsidR="00832A7E" w:rsidRPr="00594BFA" w:rsidRDefault="00000000">
            <w:pPr>
              <w:spacing w:before="20" w:after="20" w:line="240" w:lineRule="auto"/>
              <w:rPr>
                <w:lang w:val="en-US"/>
              </w:rPr>
            </w:pPr>
            <w:r w:rsidRPr="00594BFA">
              <w:rPr>
                <w:rFonts w:ascii="Times New Roman" w:hAnsi="Times New Roman"/>
                <w:b/>
                <w:sz w:val="18"/>
                <w:lang w:val="en-US"/>
              </w:rPr>
              <w:t>Coef.</w:t>
            </w:r>
          </w:p>
        </w:tc>
        <w:tc>
          <w:tcPr>
            <w:tcW w:w="900" w:type="dxa"/>
            <w:tcBorders>
              <w:bottom w:val="single" w:sz="4" w:space="0" w:color="auto"/>
            </w:tcBorders>
            <w:tcMar>
              <w:top w:w="20" w:type="dxa"/>
              <w:left w:w="75" w:type="dxa"/>
              <w:bottom w:w="20" w:type="dxa"/>
              <w:right w:w="75" w:type="dxa"/>
            </w:tcMar>
          </w:tcPr>
          <w:p w14:paraId="152C5008" w14:textId="77777777" w:rsidR="00832A7E" w:rsidRPr="00594BFA" w:rsidRDefault="00000000">
            <w:pPr>
              <w:spacing w:before="20" w:after="20" w:line="240" w:lineRule="auto"/>
              <w:rPr>
                <w:lang w:val="en-US"/>
              </w:rPr>
            </w:pPr>
            <w:r w:rsidRPr="00594BFA">
              <w:rPr>
                <w:rFonts w:ascii="Times New Roman" w:hAnsi="Times New Roman"/>
                <w:b/>
                <w:sz w:val="18"/>
                <w:lang w:val="en-US"/>
              </w:rPr>
              <w:t>MWTP</w:t>
            </w:r>
          </w:p>
        </w:tc>
      </w:tr>
      <w:tr w:rsidR="00832A7E" w:rsidRPr="00594BFA" w14:paraId="09A29AD6" w14:textId="77777777">
        <w:tc>
          <w:tcPr>
            <w:tcW w:w="2700" w:type="dxa"/>
            <w:tcBorders>
              <w:top w:val="single" w:sz="4" w:space="0" w:color="auto"/>
            </w:tcBorders>
            <w:tcMar>
              <w:top w:w="20" w:type="dxa"/>
              <w:left w:w="75" w:type="dxa"/>
              <w:bottom w:w="20" w:type="dxa"/>
              <w:right w:w="75" w:type="dxa"/>
            </w:tcMar>
          </w:tcPr>
          <w:p w14:paraId="07CA9AC3" w14:textId="77777777" w:rsidR="00832A7E" w:rsidRPr="00594BFA" w:rsidRDefault="00000000">
            <w:pPr>
              <w:spacing w:before="20" w:after="20" w:line="240" w:lineRule="auto"/>
              <w:rPr>
                <w:lang w:val="en-US"/>
              </w:rPr>
            </w:pPr>
            <w:r w:rsidRPr="00594BFA">
              <w:rPr>
                <w:rFonts w:ascii="Times New Roman" w:hAnsi="Times New Roman"/>
                <w:sz w:val="18"/>
                <w:lang w:val="en-US"/>
              </w:rPr>
              <w:t>Green space: 5 km (vs 15 km)</w:t>
            </w:r>
          </w:p>
        </w:tc>
        <w:tc>
          <w:tcPr>
            <w:tcW w:w="1000" w:type="dxa"/>
            <w:tcBorders>
              <w:top w:val="single" w:sz="4" w:space="0" w:color="auto"/>
            </w:tcBorders>
            <w:tcMar>
              <w:top w:w="20" w:type="dxa"/>
              <w:left w:w="75" w:type="dxa"/>
              <w:bottom w:w="20" w:type="dxa"/>
              <w:right w:w="75" w:type="dxa"/>
            </w:tcMar>
          </w:tcPr>
          <w:p w14:paraId="029FED15" w14:textId="77777777" w:rsidR="00832A7E" w:rsidRPr="00594BFA" w:rsidRDefault="00000000">
            <w:pPr>
              <w:spacing w:before="20" w:after="20" w:line="240" w:lineRule="auto"/>
              <w:rPr>
                <w:lang w:val="en-US"/>
              </w:rPr>
            </w:pPr>
            <w:r w:rsidRPr="00594BFA">
              <w:rPr>
                <w:rFonts w:ascii="Times New Roman" w:hAnsi="Times New Roman"/>
                <w:sz w:val="18"/>
                <w:lang w:val="en-US"/>
              </w:rPr>
              <w:t>-0.11</w:t>
            </w:r>
          </w:p>
        </w:tc>
        <w:tc>
          <w:tcPr>
            <w:tcW w:w="900" w:type="dxa"/>
            <w:tcBorders>
              <w:top w:val="single" w:sz="4" w:space="0" w:color="auto"/>
            </w:tcBorders>
            <w:tcMar>
              <w:top w:w="20" w:type="dxa"/>
              <w:left w:w="75" w:type="dxa"/>
              <w:bottom w:w="20" w:type="dxa"/>
              <w:right w:w="75" w:type="dxa"/>
            </w:tcMar>
          </w:tcPr>
          <w:p w14:paraId="4C56E19F" w14:textId="77777777" w:rsidR="00832A7E" w:rsidRPr="00594BFA" w:rsidRDefault="00000000">
            <w:pPr>
              <w:spacing w:before="20" w:after="20" w:line="240" w:lineRule="auto"/>
              <w:rPr>
                <w:lang w:val="en-US"/>
              </w:rPr>
            </w:pPr>
            <w:r w:rsidRPr="00594BFA">
              <w:rPr>
                <w:rFonts w:ascii="Times New Roman" w:hAnsi="Times New Roman"/>
                <w:sz w:val="18"/>
                <w:lang w:val="en-US"/>
              </w:rPr>
              <w:t>-35</w:t>
            </w:r>
          </w:p>
        </w:tc>
        <w:tc>
          <w:tcPr>
            <w:tcW w:w="1000" w:type="dxa"/>
            <w:tcBorders>
              <w:top w:val="single" w:sz="4" w:space="0" w:color="auto"/>
            </w:tcBorders>
            <w:tcMar>
              <w:top w:w="20" w:type="dxa"/>
              <w:left w:w="75" w:type="dxa"/>
              <w:bottom w:w="20" w:type="dxa"/>
              <w:right w:w="75" w:type="dxa"/>
            </w:tcMar>
          </w:tcPr>
          <w:p w14:paraId="3C1A63EF" w14:textId="77777777" w:rsidR="00832A7E" w:rsidRPr="00594BFA" w:rsidRDefault="00000000">
            <w:pPr>
              <w:spacing w:before="20" w:after="20" w:line="240" w:lineRule="auto"/>
              <w:rPr>
                <w:lang w:val="en-US"/>
              </w:rPr>
            </w:pPr>
            <w:r w:rsidRPr="00594BFA">
              <w:rPr>
                <w:rFonts w:ascii="Times New Roman" w:hAnsi="Times New Roman"/>
                <w:sz w:val="18"/>
                <w:lang w:val="en-US"/>
              </w:rPr>
              <w:t>2.07***</w:t>
            </w:r>
          </w:p>
        </w:tc>
        <w:tc>
          <w:tcPr>
            <w:tcW w:w="900" w:type="dxa"/>
            <w:tcBorders>
              <w:top w:val="single" w:sz="4" w:space="0" w:color="auto"/>
            </w:tcBorders>
            <w:tcMar>
              <w:top w:w="20" w:type="dxa"/>
              <w:left w:w="75" w:type="dxa"/>
              <w:bottom w:w="20" w:type="dxa"/>
              <w:right w:w="75" w:type="dxa"/>
            </w:tcMar>
          </w:tcPr>
          <w:p w14:paraId="5B78AA21" w14:textId="77777777" w:rsidR="00832A7E" w:rsidRPr="00594BFA" w:rsidRDefault="00000000">
            <w:pPr>
              <w:spacing w:before="20" w:after="20" w:line="240" w:lineRule="auto"/>
              <w:rPr>
                <w:lang w:val="en-US"/>
              </w:rPr>
            </w:pPr>
            <w:r w:rsidRPr="00594BFA">
              <w:rPr>
                <w:rFonts w:ascii="Times New Roman" w:hAnsi="Times New Roman"/>
                <w:sz w:val="18"/>
                <w:lang w:val="en-US"/>
              </w:rPr>
              <w:t>593</w:t>
            </w:r>
          </w:p>
        </w:tc>
        <w:tc>
          <w:tcPr>
            <w:tcW w:w="1000" w:type="dxa"/>
            <w:tcBorders>
              <w:top w:val="single" w:sz="4" w:space="0" w:color="auto"/>
            </w:tcBorders>
            <w:tcMar>
              <w:top w:w="20" w:type="dxa"/>
              <w:left w:w="75" w:type="dxa"/>
              <w:bottom w:w="20" w:type="dxa"/>
              <w:right w:w="75" w:type="dxa"/>
            </w:tcMar>
          </w:tcPr>
          <w:p w14:paraId="3F2399D1" w14:textId="77777777" w:rsidR="00832A7E" w:rsidRPr="00594BFA" w:rsidRDefault="00000000">
            <w:pPr>
              <w:spacing w:before="20" w:after="20" w:line="240" w:lineRule="auto"/>
              <w:rPr>
                <w:lang w:val="en-US"/>
              </w:rPr>
            </w:pPr>
            <w:r w:rsidRPr="00594BFA">
              <w:rPr>
                <w:rFonts w:ascii="Times New Roman" w:hAnsi="Times New Roman"/>
                <w:sz w:val="18"/>
                <w:lang w:val="en-US"/>
              </w:rPr>
              <w:t>0.13</w:t>
            </w:r>
          </w:p>
        </w:tc>
        <w:tc>
          <w:tcPr>
            <w:tcW w:w="900" w:type="dxa"/>
            <w:tcBorders>
              <w:top w:val="single" w:sz="4" w:space="0" w:color="auto"/>
            </w:tcBorders>
            <w:tcMar>
              <w:top w:w="20" w:type="dxa"/>
              <w:left w:w="75" w:type="dxa"/>
              <w:bottom w:w="20" w:type="dxa"/>
              <w:right w:w="75" w:type="dxa"/>
            </w:tcMar>
          </w:tcPr>
          <w:p w14:paraId="53D0BAFF" w14:textId="77777777" w:rsidR="00832A7E" w:rsidRPr="00594BFA" w:rsidRDefault="00000000">
            <w:pPr>
              <w:spacing w:before="20" w:after="20" w:line="240" w:lineRule="auto"/>
              <w:rPr>
                <w:lang w:val="en-US"/>
              </w:rPr>
            </w:pPr>
            <w:r w:rsidRPr="00594BFA">
              <w:rPr>
                <w:rFonts w:ascii="Times New Roman" w:hAnsi="Times New Roman"/>
                <w:sz w:val="18"/>
                <w:lang w:val="en-US"/>
              </w:rPr>
              <w:t>8</w:t>
            </w:r>
          </w:p>
        </w:tc>
        <w:tc>
          <w:tcPr>
            <w:tcW w:w="1000" w:type="dxa"/>
            <w:tcBorders>
              <w:top w:val="single" w:sz="4" w:space="0" w:color="auto"/>
            </w:tcBorders>
            <w:tcMar>
              <w:top w:w="20" w:type="dxa"/>
              <w:left w:w="75" w:type="dxa"/>
              <w:bottom w:w="20" w:type="dxa"/>
              <w:right w:w="75" w:type="dxa"/>
            </w:tcMar>
          </w:tcPr>
          <w:p w14:paraId="3F2399D1" w14:textId="77777777" w:rsidR="00832A7E" w:rsidRPr="00594BFA" w:rsidRDefault="00000000">
            <w:pPr>
              <w:spacing w:before="20" w:after="20" w:line="240" w:lineRule="auto"/>
              <w:rPr>
                <w:lang w:val="en-US"/>
              </w:rPr>
            </w:pPr>
            <w:r w:rsidRPr="00594BFA">
              <w:rPr>
                <w:rFonts w:ascii="Times New Roman" w:hAnsi="Times New Roman"/>
                <w:sz w:val="18"/>
                <w:lang w:val="en-US"/>
              </w:rPr>
              <w:t>0.84***</w:t>
            </w:r>
          </w:p>
        </w:tc>
        <w:tc>
          <w:tcPr>
            <w:tcW w:w="900" w:type="dxa"/>
            <w:tcBorders>
              <w:top w:val="single" w:sz="4" w:space="0" w:color="auto"/>
            </w:tcBorders>
            <w:tcMar>
              <w:top w:w="20" w:type="dxa"/>
              <w:left w:w="75" w:type="dxa"/>
              <w:bottom w:w="20" w:type="dxa"/>
              <w:right w:w="75" w:type="dxa"/>
            </w:tcMar>
          </w:tcPr>
          <w:p w14:paraId="53D0BAFF" w14:textId="77777777" w:rsidR="00832A7E" w:rsidRPr="00594BFA" w:rsidRDefault="00000000">
            <w:pPr>
              <w:spacing w:before="20" w:after="20" w:line="240" w:lineRule="auto"/>
              <w:rPr>
                <w:lang w:val="en-US"/>
              </w:rPr>
            </w:pPr>
            <w:r w:rsidRPr="00594BFA">
              <w:rPr>
                <w:rFonts w:ascii="Times New Roman" w:hAnsi="Times New Roman"/>
                <w:sz w:val="18"/>
                <w:lang w:val="en-US"/>
              </w:rPr>
              <w:t>244</w:t>
            </w:r>
          </w:p>
        </w:tc>
      </w:tr>
      <w:tr w:rsidR="00832A7E" w:rsidRPr="00594BFA" w14:paraId="43D053C6" w14:textId="77777777">
        <w:tc>
          <w:tcPr>
            <w:tcW w:w="2700" w:type="dxa"/>
            <w:tcMar>
              <w:top w:w="20" w:type="dxa"/>
              <w:left w:w="75" w:type="dxa"/>
              <w:bottom w:w="20" w:type="dxa"/>
              <w:right w:w="75" w:type="dxa"/>
            </w:tcMar>
          </w:tcPr>
          <w:p w14:paraId="3E1AC12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371FFD1" w14:textId="77777777" w:rsidR="00832A7E" w:rsidRPr="00594BFA" w:rsidRDefault="00000000">
            <w:pPr>
              <w:spacing w:before="20" w:after="20" w:line="240" w:lineRule="auto"/>
              <w:rPr>
                <w:lang w:val="en-US"/>
              </w:rPr>
            </w:pPr>
            <w:r w:rsidRPr="00594BFA">
              <w:rPr>
                <w:rFonts w:ascii="Times New Roman" w:hAnsi="Times New Roman"/>
                <w:sz w:val="18"/>
                <w:lang w:val="en-US"/>
              </w:rPr>
              <w:t>(0.17)</w:t>
            </w:r>
          </w:p>
        </w:tc>
        <w:tc>
          <w:tcPr>
            <w:tcW w:w="900" w:type="dxa"/>
            <w:tcMar>
              <w:top w:w="20" w:type="dxa"/>
              <w:left w:w="75" w:type="dxa"/>
              <w:bottom w:w="20" w:type="dxa"/>
              <w:right w:w="75" w:type="dxa"/>
            </w:tcMar>
          </w:tcPr>
          <w:p w14:paraId="676FC34C"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5A43AA9" w14:textId="77777777" w:rsidR="00832A7E" w:rsidRPr="00594BFA" w:rsidRDefault="00000000">
            <w:pPr>
              <w:spacing w:before="20" w:after="20" w:line="240" w:lineRule="auto"/>
              <w:rPr>
                <w:lang w:val="en-US"/>
              </w:rPr>
            </w:pPr>
            <w:r w:rsidRPr="00594BFA">
              <w:rPr>
                <w:rFonts w:ascii="Times New Roman" w:hAnsi="Times New Roman"/>
                <w:sz w:val="18"/>
                <w:lang w:val="en-US"/>
              </w:rPr>
              <w:t>(0.20)</w:t>
            </w:r>
          </w:p>
        </w:tc>
        <w:tc>
          <w:tcPr>
            <w:tcW w:w="900" w:type="dxa"/>
            <w:tcMar>
              <w:top w:w="20" w:type="dxa"/>
              <w:left w:w="75" w:type="dxa"/>
              <w:bottom w:w="20" w:type="dxa"/>
              <w:right w:w="75" w:type="dxa"/>
            </w:tcMar>
          </w:tcPr>
          <w:p w14:paraId="486B4F7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7D57667"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332C4142"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7D57667" w14:textId="77777777" w:rsidR="00832A7E" w:rsidRPr="00594BFA" w:rsidRDefault="00000000">
            <w:pPr>
              <w:spacing w:before="20" w:after="20" w:line="240" w:lineRule="auto"/>
              <w:rPr>
                <w:lang w:val="en-US"/>
              </w:rPr>
            </w:pPr>
            <w:r w:rsidRPr="00594BFA">
              <w:rPr>
                <w:rFonts w:ascii="Times New Roman" w:hAnsi="Times New Roman"/>
                <w:sz w:val="18"/>
                <w:lang w:val="en-US"/>
              </w:rPr>
              <w:t>(0.12)</w:t>
            </w:r>
          </w:p>
        </w:tc>
        <w:tc>
          <w:tcPr>
            <w:tcW w:w="900" w:type="dxa"/>
            <w:tcMar>
              <w:top w:w="20" w:type="dxa"/>
              <w:left w:w="75" w:type="dxa"/>
              <w:bottom w:w="20" w:type="dxa"/>
              <w:right w:w="75" w:type="dxa"/>
            </w:tcMar>
          </w:tcPr>
          <w:p w14:paraId="332C4142" w14:textId="77777777" w:rsidR="00832A7E" w:rsidRPr="00594BFA" w:rsidRDefault="00832A7E">
            <w:pPr>
              <w:spacing w:before="20" w:after="20" w:line="240" w:lineRule="auto"/>
              <w:rPr>
                <w:lang w:val="en-US"/>
              </w:rPr>
            </w:pPr>
          </w:p>
        </w:tc>
      </w:tr>
      <w:tr w:rsidR="00832A7E" w:rsidRPr="00594BFA" w14:paraId="5040D8DE" w14:textId="77777777">
        <w:tc>
          <w:tcPr>
            <w:tcW w:w="2700" w:type="dxa"/>
            <w:tcMar>
              <w:top w:w="20" w:type="dxa"/>
              <w:left w:w="75" w:type="dxa"/>
              <w:bottom w:w="20" w:type="dxa"/>
              <w:right w:w="75" w:type="dxa"/>
            </w:tcMar>
          </w:tcPr>
          <w:p w14:paraId="2A2AA1C2" w14:textId="77777777" w:rsidR="00832A7E" w:rsidRPr="00594BFA" w:rsidRDefault="00000000">
            <w:pPr>
              <w:spacing w:before="20" w:after="20" w:line="240" w:lineRule="auto"/>
              <w:rPr>
                <w:lang w:val="en-US"/>
              </w:rPr>
            </w:pPr>
            <w:r w:rsidRPr="00594BFA">
              <w:rPr>
                <w:rFonts w:ascii="Times New Roman" w:hAnsi="Times New Roman"/>
                <w:sz w:val="18"/>
                <w:lang w:val="en-US"/>
              </w:rPr>
              <w:t>Green space: 500 m (vs 15 km)</w:t>
            </w:r>
          </w:p>
        </w:tc>
        <w:tc>
          <w:tcPr>
            <w:tcW w:w="1000" w:type="dxa"/>
            <w:tcMar>
              <w:top w:w="20" w:type="dxa"/>
              <w:left w:w="75" w:type="dxa"/>
              <w:bottom w:w="20" w:type="dxa"/>
              <w:right w:w="75" w:type="dxa"/>
            </w:tcMar>
          </w:tcPr>
          <w:p w14:paraId="408C4640" w14:textId="77777777" w:rsidR="00832A7E" w:rsidRPr="00594BFA" w:rsidRDefault="00000000">
            <w:pPr>
              <w:spacing w:before="20" w:after="20" w:line="240" w:lineRule="auto"/>
              <w:rPr>
                <w:lang w:val="en-US"/>
              </w:rPr>
            </w:pPr>
            <w:r w:rsidRPr="00594BFA">
              <w:rPr>
                <w:rFonts w:ascii="Times New Roman" w:hAnsi="Times New Roman"/>
                <w:sz w:val="18"/>
                <w:lang w:val="en-US"/>
              </w:rPr>
              <w:t>0.78***</w:t>
            </w:r>
          </w:p>
        </w:tc>
        <w:tc>
          <w:tcPr>
            <w:tcW w:w="900" w:type="dxa"/>
            <w:tcMar>
              <w:top w:w="20" w:type="dxa"/>
              <w:left w:w="75" w:type="dxa"/>
              <w:bottom w:w="20" w:type="dxa"/>
              <w:right w:w="75" w:type="dxa"/>
            </w:tcMar>
          </w:tcPr>
          <w:p w14:paraId="606FD69F" w14:textId="77777777" w:rsidR="00832A7E" w:rsidRPr="00594BFA" w:rsidRDefault="00000000">
            <w:pPr>
              <w:spacing w:before="20" w:after="20" w:line="240" w:lineRule="auto"/>
              <w:rPr>
                <w:lang w:val="en-US"/>
              </w:rPr>
            </w:pPr>
            <w:r w:rsidRPr="00594BFA">
              <w:rPr>
                <w:rFonts w:ascii="Times New Roman" w:hAnsi="Times New Roman"/>
                <w:sz w:val="18"/>
                <w:lang w:val="en-US"/>
              </w:rPr>
              <w:t>246</w:t>
            </w:r>
          </w:p>
        </w:tc>
        <w:tc>
          <w:tcPr>
            <w:tcW w:w="1000" w:type="dxa"/>
            <w:tcMar>
              <w:top w:w="20" w:type="dxa"/>
              <w:left w:w="75" w:type="dxa"/>
              <w:bottom w:w="20" w:type="dxa"/>
              <w:right w:w="75" w:type="dxa"/>
            </w:tcMar>
          </w:tcPr>
          <w:p w14:paraId="3D8975A4" w14:textId="77777777" w:rsidR="00832A7E" w:rsidRPr="00594BFA" w:rsidRDefault="00000000">
            <w:pPr>
              <w:spacing w:before="20" w:after="20" w:line="240" w:lineRule="auto"/>
              <w:rPr>
                <w:lang w:val="en-US"/>
              </w:rPr>
            </w:pPr>
            <w:r w:rsidRPr="00594BFA">
              <w:rPr>
                <w:rFonts w:ascii="Times New Roman" w:hAnsi="Times New Roman"/>
                <w:sz w:val="18"/>
                <w:lang w:val="en-US"/>
              </w:rPr>
              <w:t>3.74***</w:t>
            </w:r>
          </w:p>
        </w:tc>
        <w:tc>
          <w:tcPr>
            <w:tcW w:w="900" w:type="dxa"/>
            <w:tcMar>
              <w:top w:w="20" w:type="dxa"/>
              <w:left w:w="75" w:type="dxa"/>
              <w:bottom w:w="20" w:type="dxa"/>
              <w:right w:w="75" w:type="dxa"/>
            </w:tcMar>
          </w:tcPr>
          <w:p w14:paraId="5D72F349" w14:textId="77777777" w:rsidR="00832A7E" w:rsidRPr="00594BFA" w:rsidRDefault="00000000">
            <w:pPr>
              <w:spacing w:before="20" w:after="20" w:line="240" w:lineRule="auto"/>
              <w:rPr>
                <w:lang w:val="en-US"/>
              </w:rPr>
            </w:pPr>
            <w:r w:rsidRPr="00594BFA">
              <w:rPr>
                <w:rFonts w:ascii="Times New Roman" w:hAnsi="Times New Roman"/>
                <w:sz w:val="18"/>
                <w:lang w:val="en-US"/>
              </w:rPr>
              <w:t>1070</w:t>
            </w:r>
          </w:p>
        </w:tc>
        <w:tc>
          <w:tcPr>
            <w:tcW w:w="1000" w:type="dxa"/>
            <w:tcMar>
              <w:top w:w="20" w:type="dxa"/>
              <w:left w:w="75" w:type="dxa"/>
              <w:bottom w:w="20" w:type="dxa"/>
              <w:right w:w="75" w:type="dxa"/>
            </w:tcMar>
          </w:tcPr>
          <w:p w14:paraId="1DEC2824" w14:textId="77777777" w:rsidR="00832A7E" w:rsidRPr="00594BFA" w:rsidRDefault="00000000">
            <w:pPr>
              <w:spacing w:before="20" w:after="20" w:line="240" w:lineRule="auto"/>
              <w:rPr>
                <w:lang w:val="en-US"/>
              </w:rPr>
            </w:pPr>
            <w:r w:rsidRPr="00594BFA">
              <w:rPr>
                <w:rFonts w:ascii="Times New Roman" w:hAnsi="Times New Roman"/>
                <w:sz w:val="18"/>
                <w:lang w:val="en-US"/>
              </w:rPr>
              <w:t>1.30***</w:t>
            </w:r>
          </w:p>
        </w:tc>
        <w:tc>
          <w:tcPr>
            <w:tcW w:w="900" w:type="dxa"/>
            <w:tcMar>
              <w:top w:w="20" w:type="dxa"/>
              <w:left w:w="75" w:type="dxa"/>
              <w:bottom w:w="20" w:type="dxa"/>
              <w:right w:w="75" w:type="dxa"/>
            </w:tcMar>
          </w:tcPr>
          <w:p w14:paraId="07CCA0C8" w14:textId="77777777" w:rsidR="00832A7E" w:rsidRPr="00594BFA" w:rsidRDefault="00000000">
            <w:pPr>
              <w:spacing w:before="20" w:after="20" w:line="240" w:lineRule="auto"/>
              <w:rPr>
                <w:lang w:val="en-US"/>
              </w:rPr>
            </w:pPr>
            <w:r w:rsidRPr="00594BFA">
              <w:rPr>
                <w:rFonts w:ascii="Times New Roman" w:hAnsi="Times New Roman"/>
                <w:sz w:val="18"/>
                <w:lang w:val="en-US"/>
              </w:rPr>
              <w:t>86</w:t>
            </w:r>
          </w:p>
        </w:tc>
        <w:tc>
          <w:tcPr>
            <w:tcW w:w="1000" w:type="dxa"/>
            <w:tcMar>
              <w:top w:w="20" w:type="dxa"/>
              <w:left w:w="75" w:type="dxa"/>
              <w:bottom w:w="20" w:type="dxa"/>
              <w:right w:w="75" w:type="dxa"/>
            </w:tcMar>
          </w:tcPr>
          <w:p w14:paraId="1DEC2824" w14:textId="77777777" w:rsidR="00832A7E" w:rsidRPr="00594BFA" w:rsidRDefault="00000000">
            <w:pPr>
              <w:spacing w:before="20" w:after="20" w:line="240" w:lineRule="auto"/>
              <w:rPr>
                <w:lang w:val="en-US"/>
              </w:rPr>
            </w:pPr>
            <w:r w:rsidRPr="00594BFA">
              <w:rPr>
                <w:rFonts w:ascii="Times New Roman" w:hAnsi="Times New Roman"/>
                <w:sz w:val="18"/>
                <w:lang w:val="en-US"/>
              </w:rPr>
              <w:t>0.68***</w:t>
            </w:r>
          </w:p>
        </w:tc>
        <w:tc>
          <w:tcPr>
            <w:tcW w:w="900" w:type="dxa"/>
            <w:tcMar>
              <w:top w:w="20" w:type="dxa"/>
              <w:left w:w="75" w:type="dxa"/>
              <w:bottom w:w="20" w:type="dxa"/>
              <w:right w:w="75" w:type="dxa"/>
            </w:tcMar>
          </w:tcPr>
          <w:p w14:paraId="07CCA0C8" w14:textId="77777777" w:rsidR="00832A7E" w:rsidRPr="00594BFA" w:rsidRDefault="00000000">
            <w:pPr>
              <w:spacing w:before="20" w:after="20" w:line="240" w:lineRule="auto"/>
              <w:rPr>
                <w:lang w:val="en-US"/>
              </w:rPr>
            </w:pPr>
            <w:r w:rsidRPr="00594BFA">
              <w:rPr>
                <w:rFonts w:ascii="Times New Roman" w:hAnsi="Times New Roman"/>
                <w:sz w:val="18"/>
                <w:lang w:val="en-US"/>
              </w:rPr>
              <w:t>198</w:t>
            </w:r>
          </w:p>
        </w:tc>
      </w:tr>
      <w:tr w:rsidR="00832A7E" w:rsidRPr="00594BFA" w14:paraId="568A6F70" w14:textId="77777777">
        <w:tc>
          <w:tcPr>
            <w:tcW w:w="2700" w:type="dxa"/>
            <w:tcMar>
              <w:top w:w="20" w:type="dxa"/>
              <w:left w:w="75" w:type="dxa"/>
              <w:bottom w:w="20" w:type="dxa"/>
              <w:right w:w="75" w:type="dxa"/>
            </w:tcMar>
          </w:tcPr>
          <w:p w14:paraId="62CCB00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18A3EFB"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F9F0AB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36BA92F" w14:textId="77777777" w:rsidR="00832A7E" w:rsidRPr="00594BFA" w:rsidRDefault="00000000">
            <w:pPr>
              <w:spacing w:before="20" w:after="20" w:line="240" w:lineRule="auto"/>
              <w:rPr>
                <w:lang w:val="en-US"/>
              </w:rPr>
            </w:pPr>
            <w:r w:rsidRPr="00594BFA">
              <w:rPr>
                <w:rFonts w:ascii="Times New Roman" w:hAnsi="Times New Roman"/>
                <w:sz w:val="18"/>
                <w:lang w:val="en-US"/>
              </w:rPr>
              <w:t>(0.26)</w:t>
            </w:r>
          </w:p>
        </w:tc>
        <w:tc>
          <w:tcPr>
            <w:tcW w:w="900" w:type="dxa"/>
            <w:tcMar>
              <w:top w:w="20" w:type="dxa"/>
              <w:left w:w="75" w:type="dxa"/>
              <w:bottom w:w="20" w:type="dxa"/>
              <w:right w:w="75" w:type="dxa"/>
            </w:tcMar>
          </w:tcPr>
          <w:p w14:paraId="34465694"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97431D4" w14:textId="77777777" w:rsidR="00832A7E" w:rsidRPr="00594BFA" w:rsidRDefault="00000000">
            <w:pPr>
              <w:spacing w:before="20" w:after="20" w:line="240" w:lineRule="auto"/>
              <w:rPr>
                <w:lang w:val="en-US"/>
              </w:rPr>
            </w:pPr>
            <w:r w:rsidRPr="00594BFA">
              <w:rPr>
                <w:rFonts w:ascii="Times New Roman" w:hAnsi="Times New Roman"/>
                <w:sz w:val="18"/>
                <w:lang w:val="en-US"/>
              </w:rPr>
              <w:t>(0.28)</w:t>
            </w:r>
          </w:p>
        </w:tc>
        <w:tc>
          <w:tcPr>
            <w:tcW w:w="900" w:type="dxa"/>
            <w:tcMar>
              <w:top w:w="20" w:type="dxa"/>
              <w:left w:w="75" w:type="dxa"/>
              <w:bottom w:w="20" w:type="dxa"/>
              <w:right w:w="75" w:type="dxa"/>
            </w:tcMar>
          </w:tcPr>
          <w:p w14:paraId="49A83F1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97431D4" w14:textId="77777777" w:rsidR="00832A7E" w:rsidRPr="00594BFA" w:rsidRDefault="00000000">
            <w:pPr>
              <w:spacing w:before="20" w:after="20" w:line="240" w:lineRule="auto"/>
              <w:rPr>
                <w:lang w:val="en-US"/>
              </w:rPr>
            </w:pPr>
            <w:r w:rsidRPr="00594BFA">
              <w:rPr>
                <w:rFonts w:ascii="Times New Roman" w:hAnsi="Times New Roman"/>
                <w:sz w:val="18"/>
                <w:lang w:val="en-US"/>
              </w:rPr>
              <w:t>(0.15)</w:t>
            </w:r>
          </w:p>
        </w:tc>
        <w:tc>
          <w:tcPr>
            <w:tcW w:w="900" w:type="dxa"/>
            <w:tcMar>
              <w:top w:w="20" w:type="dxa"/>
              <w:left w:w="75" w:type="dxa"/>
              <w:bottom w:w="20" w:type="dxa"/>
              <w:right w:w="75" w:type="dxa"/>
            </w:tcMar>
          </w:tcPr>
          <w:p w14:paraId="49A83F1F" w14:textId="77777777" w:rsidR="00832A7E" w:rsidRPr="00594BFA" w:rsidRDefault="00832A7E">
            <w:pPr>
              <w:spacing w:before="20" w:after="20" w:line="240" w:lineRule="auto"/>
              <w:rPr>
                <w:lang w:val="en-US"/>
              </w:rPr>
            </w:pPr>
          </w:p>
        </w:tc>
      </w:tr>
      <w:tr w:rsidR="00832A7E" w:rsidRPr="00594BFA" w14:paraId="0DEB2B3A" w14:textId="77777777">
        <w:tc>
          <w:tcPr>
            <w:tcW w:w="2700" w:type="dxa"/>
            <w:tcMar>
              <w:top w:w="20" w:type="dxa"/>
              <w:left w:w="75" w:type="dxa"/>
              <w:bottom w:w="20" w:type="dxa"/>
              <w:right w:w="75" w:type="dxa"/>
            </w:tcMar>
          </w:tcPr>
          <w:p w14:paraId="17E1FA1A" w14:textId="77777777" w:rsidR="00832A7E" w:rsidRPr="00594BFA" w:rsidRDefault="00000000">
            <w:pPr>
              <w:spacing w:before="20" w:after="20" w:line="240" w:lineRule="auto"/>
              <w:rPr>
                <w:lang w:val="en-US"/>
              </w:rPr>
            </w:pPr>
            <w:r w:rsidRPr="00594BFA">
              <w:rPr>
                <w:rFonts w:ascii="Times New Roman" w:hAnsi="Times New Roman"/>
                <w:sz w:val="18"/>
                <w:lang w:val="en-US"/>
              </w:rPr>
              <w:t>Shops: 5 km (vs 15 km)</w:t>
            </w:r>
          </w:p>
        </w:tc>
        <w:tc>
          <w:tcPr>
            <w:tcW w:w="1000" w:type="dxa"/>
            <w:tcMar>
              <w:top w:w="20" w:type="dxa"/>
              <w:left w:w="75" w:type="dxa"/>
              <w:bottom w:w="20" w:type="dxa"/>
              <w:right w:w="75" w:type="dxa"/>
            </w:tcMar>
          </w:tcPr>
          <w:p w14:paraId="534465D3" w14:textId="77777777" w:rsidR="00832A7E" w:rsidRPr="00594BFA" w:rsidRDefault="00000000">
            <w:pPr>
              <w:spacing w:before="20" w:after="20" w:line="240" w:lineRule="auto"/>
              <w:rPr>
                <w:lang w:val="en-US"/>
              </w:rPr>
            </w:pPr>
            <w:r w:rsidRPr="00594BFA">
              <w:rPr>
                <w:rFonts w:ascii="Times New Roman" w:hAnsi="Times New Roman"/>
                <w:sz w:val="18"/>
                <w:lang w:val="en-US"/>
              </w:rPr>
              <w:t>0.70***</w:t>
            </w:r>
          </w:p>
        </w:tc>
        <w:tc>
          <w:tcPr>
            <w:tcW w:w="900" w:type="dxa"/>
            <w:tcMar>
              <w:top w:w="20" w:type="dxa"/>
              <w:left w:w="75" w:type="dxa"/>
              <w:bottom w:w="20" w:type="dxa"/>
              <w:right w:w="75" w:type="dxa"/>
            </w:tcMar>
          </w:tcPr>
          <w:p w14:paraId="02033A34" w14:textId="77777777" w:rsidR="00832A7E" w:rsidRPr="00594BFA" w:rsidRDefault="00000000">
            <w:pPr>
              <w:spacing w:before="20" w:after="20" w:line="240" w:lineRule="auto"/>
              <w:rPr>
                <w:lang w:val="en-US"/>
              </w:rPr>
            </w:pPr>
            <w:r w:rsidRPr="00594BFA">
              <w:rPr>
                <w:rFonts w:ascii="Times New Roman" w:hAnsi="Times New Roman"/>
                <w:sz w:val="18"/>
                <w:lang w:val="en-US"/>
              </w:rPr>
              <w:t>218</w:t>
            </w:r>
          </w:p>
        </w:tc>
        <w:tc>
          <w:tcPr>
            <w:tcW w:w="1000" w:type="dxa"/>
            <w:tcMar>
              <w:top w:w="20" w:type="dxa"/>
              <w:left w:w="75" w:type="dxa"/>
              <w:bottom w:w="20" w:type="dxa"/>
              <w:right w:w="75" w:type="dxa"/>
            </w:tcMar>
          </w:tcPr>
          <w:p w14:paraId="50DC9B9B" w14:textId="77777777" w:rsidR="00832A7E" w:rsidRPr="00594BFA" w:rsidRDefault="00000000">
            <w:pPr>
              <w:spacing w:before="20" w:after="20" w:line="240" w:lineRule="auto"/>
              <w:rPr>
                <w:lang w:val="en-US"/>
              </w:rPr>
            </w:pPr>
            <w:r w:rsidRPr="00594BFA">
              <w:rPr>
                <w:rFonts w:ascii="Times New Roman" w:hAnsi="Times New Roman"/>
                <w:sz w:val="18"/>
                <w:lang w:val="en-US"/>
              </w:rPr>
              <w:t>0.22</w:t>
            </w:r>
          </w:p>
        </w:tc>
        <w:tc>
          <w:tcPr>
            <w:tcW w:w="900" w:type="dxa"/>
            <w:tcMar>
              <w:top w:w="20" w:type="dxa"/>
              <w:left w:w="75" w:type="dxa"/>
              <w:bottom w:w="20" w:type="dxa"/>
              <w:right w:w="75" w:type="dxa"/>
            </w:tcMar>
          </w:tcPr>
          <w:p w14:paraId="3A4A646D" w14:textId="77777777" w:rsidR="00832A7E" w:rsidRPr="00594BFA" w:rsidRDefault="00000000">
            <w:pPr>
              <w:spacing w:before="20" w:after="20" w:line="240" w:lineRule="auto"/>
              <w:rPr>
                <w:lang w:val="en-US"/>
              </w:rPr>
            </w:pPr>
            <w:r w:rsidRPr="00594BFA">
              <w:rPr>
                <w:rFonts w:ascii="Times New Roman" w:hAnsi="Times New Roman"/>
                <w:sz w:val="18"/>
                <w:lang w:val="en-US"/>
              </w:rPr>
              <w:t>62</w:t>
            </w:r>
          </w:p>
        </w:tc>
        <w:tc>
          <w:tcPr>
            <w:tcW w:w="1000" w:type="dxa"/>
            <w:tcMar>
              <w:top w:w="20" w:type="dxa"/>
              <w:left w:w="75" w:type="dxa"/>
              <w:bottom w:w="20" w:type="dxa"/>
              <w:right w:w="75" w:type="dxa"/>
            </w:tcMar>
          </w:tcPr>
          <w:p w14:paraId="52FB6F48" w14:textId="77777777" w:rsidR="00832A7E" w:rsidRPr="00594BFA" w:rsidRDefault="00000000">
            <w:pPr>
              <w:spacing w:before="20" w:after="20" w:line="240" w:lineRule="auto"/>
              <w:rPr>
                <w:lang w:val="en-US"/>
              </w:rPr>
            </w:pPr>
            <w:r w:rsidRPr="00594BFA">
              <w:rPr>
                <w:rFonts w:ascii="Times New Roman" w:hAnsi="Times New Roman"/>
                <w:sz w:val="18"/>
                <w:lang w:val="en-US"/>
              </w:rPr>
              <w:t>1.08***</w:t>
            </w:r>
          </w:p>
        </w:tc>
        <w:tc>
          <w:tcPr>
            <w:tcW w:w="900" w:type="dxa"/>
            <w:tcMar>
              <w:top w:w="20" w:type="dxa"/>
              <w:left w:w="75" w:type="dxa"/>
              <w:bottom w:w="20" w:type="dxa"/>
              <w:right w:w="75" w:type="dxa"/>
            </w:tcMar>
          </w:tcPr>
          <w:p w14:paraId="12E8F427" w14:textId="77777777" w:rsidR="00832A7E" w:rsidRPr="00594BFA" w:rsidRDefault="00000000">
            <w:pPr>
              <w:spacing w:before="20" w:after="20" w:line="240" w:lineRule="auto"/>
              <w:rPr>
                <w:lang w:val="en-US"/>
              </w:rPr>
            </w:pPr>
            <w:r w:rsidRPr="00594BFA">
              <w:rPr>
                <w:rFonts w:ascii="Times New Roman" w:hAnsi="Times New Roman"/>
                <w:sz w:val="18"/>
                <w:lang w:val="en-US"/>
              </w:rPr>
              <w:t>71</w:t>
            </w:r>
          </w:p>
        </w:tc>
        <w:tc>
          <w:tcPr>
            <w:tcW w:w="1000" w:type="dxa"/>
            <w:tcMar>
              <w:top w:w="20" w:type="dxa"/>
              <w:left w:w="75" w:type="dxa"/>
              <w:bottom w:w="20" w:type="dxa"/>
              <w:right w:w="75" w:type="dxa"/>
            </w:tcMar>
          </w:tcPr>
          <w:p w14:paraId="52FB6F48" w14:textId="77777777" w:rsidR="00832A7E" w:rsidRPr="00594BFA" w:rsidRDefault="00000000">
            <w:pPr>
              <w:spacing w:before="20" w:after="20" w:line="240" w:lineRule="auto"/>
              <w:rPr>
                <w:lang w:val="en-US"/>
              </w:rPr>
            </w:pPr>
            <w:r w:rsidRPr="00594BFA">
              <w:rPr>
                <w:rFonts w:ascii="Times New Roman" w:hAnsi="Times New Roman"/>
                <w:sz w:val="18"/>
                <w:lang w:val="en-US"/>
              </w:rPr>
              <w:t>1.23***</w:t>
            </w:r>
          </w:p>
        </w:tc>
        <w:tc>
          <w:tcPr>
            <w:tcW w:w="900" w:type="dxa"/>
            <w:tcMar>
              <w:top w:w="20" w:type="dxa"/>
              <w:left w:w="75" w:type="dxa"/>
              <w:bottom w:w="20" w:type="dxa"/>
              <w:right w:w="75" w:type="dxa"/>
            </w:tcMar>
          </w:tcPr>
          <w:p w14:paraId="12E8F427" w14:textId="77777777" w:rsidR="00832A7E" w:rsidRPr="00594BFA" w:rsidRDefault="00000000">
            <w:pPr>
              <w:spacing w:before="20" w:after="20" w:line="240" w:lineRule="auto"/>
              <w:rPr>
                <w:lang w:val="en-US"/>
              </w:rPr>
            </w:pPr>
            <w:r w:rsidRPr="00594BFA">
              <w:rPr>
                <w:rFonts w:ascii="Times New Roman" w:hAnsi="Times New Roman"/>
                <w:sz w:val="18"/>
                <w:lang w:val="en-US"/>
              </w:rPr>
              <w:t>357</w:t>
            </w:r>
          </w:p>
        </w:tc>
      </w:tr>
      <w:tr w:rsidR="00832A7E" w:rsidRPr="00594BFA" w14:paraId="0D1AFD33" w14:textId="77777777">
        <w:tc>
          <w:tcPr>
            <w:tcW w:w="2700" w:type="dxa"/>
            <w:tcMar>
              <w:top w:w="20" w:type="dxa"/>
              <w:left w:w="75" w:type="dxa"/>
              <w:bottom w:w="20" w:type="dxa"/>
              <w:right w:w="75" w:type="dxa"/>
            </w:tcMar>
          </w:tcPr>
          <w:p w14:paraId="11E6063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08A5EE0" w14:textId="77777777" w:rsidR="00832A7E" w:rsidRPr="00594BFA" w:rsidRDefault="00000000">
            <w:pPr>
              <w:spacing w:before="20" w:after="20" w:line="240" w:lineRule="auto"/>
              <w:rPr>
                <w:lang w:val="en-US"/>
              </w:rPr>
            </w:pPr>
            <w:r w:rsidRPr="00594BFA">
              <w:rPr>
                <w:rFonts w:ascii="Times New Roman" w:hAnsi="Times New Roman"/>
                <w:sz w:val="18"/>
                <w:lang w:val="en-US"/>
              </w:rPr>
              <w:t>(0.17)</w:t>
            </w:r>
          </w:p>
        </w:tc>
        <w:tc>
          <w:tcPr>
            <w:tcW w:w="900" w:type="dxa"/>
            <w:tcMar>
              <w:top w:w="20" w:type="dxa"/>
              <w:left w:w="75" w:type="dxa"/>
              <w:bottom w:w="20" w:type="dxa"/>
              <w:right w:w="75" w:type="dxa"/>
            </w:tcMar>
          </w:tcPr>
          <w:p w14:paraId="176695D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58FF4A2"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0EA8D14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D71763E" w14:textId="77777777" w:rsidR="00832A7E" w:rsidRPr="00594BFA" w:rsidRDefault="00000000">
            <w:pPr>
              <w:spacing w:before="20" w:after="20" w:line="240" w:lineRule="auto"/>
              <w:rPr>
                <w:lang w:val="en-US"/>
              </w:rPr>
            </w:pPr>
            <w:r w:rsidRPr="00594BFA">
              <w:rPr>
                <w:rFonts w:ascii="Times New Roman" w:hAnsi="Times New Roman"/>
                <w:sz w:val="18"/>
                <w:lang w:val="en-US"/>
              </w:rPr>
              <w:t>(0.32)</w:t>
            </w:r>
          </w:p>
        </w:tc>
        <w:tc>
          <w:tcPr>
            <w:tcW w:w="900" w:type="dxa"/>
            <w:tcMar>
              <w:top w:w="20" w:type="dxa"/>
              <w:left w:w="75" w:type="dxa"/>
              <w:bottom w:w="20" w:type="dxa"/>
              <w:right w:w="75" w:type="dxa"/>
            </w:tcMar>
          </w:tcPr>
          <w:p w14:paraId="04D2267B"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D71763E"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4D2267B" w14:textId="77777777" w:rsidR="00832A7E" w:rsidRPr="00594BFA" w:rsidRDefault="00832A7E">
            <w:pPr>
              <w:spacing w:before="20" w:after="20" w:line="240" w:lineRule="auto"/>
              <w:rPr>
                <w:lang w:val="en-US"/>
              </w:rPr>
            </w:pPr>
          </w:p>
        </w:tc>
      </w:tr>
      <w:tr w:rsidR="00832A7E" w:rsidRPr="00594BFA" w14:paraId="784545C4" w14:textId="77777777">
        <w:tc>
          <w:tcPr>
            <w:tcW w:w="2700" w:type="dxa"/>
            <w:tcMar>
              <w:top w:w="20" w:type="dxa"/>
              <w:left w:w="75" w:type="dxa"/>
              <w:bottom w:w="20" w:type="dxa"/>
              <w:right w:w="75" w:type="dxa"/>
            </w:tcMar>
          </w:tcPr>
          <w:p w14:paraId="5F705010" w14:textId="77777777" w:rsidR="00832A7E" w:rsidRPr="00594BFA" w:rsidRDefault="00000000">
            <w:pPr>
              <w:spacing w:before="20" w:after="20" w:line="240" w:lineRule="auto"/>
              <w:rPr>
                <w:lang w:val="en-US"/>
              </w:rPr>
            </w:pPr>
            <w:r w:rsidRPr="00594BFA">
              <w:rPr>
                <w:rFonts w:ascii="Times New Roman" w:hAnsi="Times New Roman"/>
                <w:sz w:val="18"/>
                <w:lang w:val="en-US"/>
              </w:rPr>
              <w:t>Shops: 500 m (vs 15 km)</w:t>
            </w:r>
          </w:p>
        </w:tc>
        <w:tc>
          <w:tcPr>
            <w:tcW w:w="1000" w:type="dxa"/>
            <w:tcMar>
              <w:top w:w="20" w:type="dxa"/>
              <w:left w:w="75" w:type="dxa"/>
              <w:bottom w:w="20" w:type="dxa"/>
              <w:right w:w="75" w:type="dxa"/>
            </w:tcMar>
          </w:tcPr>
          <w:p w14:paraId="72BC5B0A" w14:textId="77777777" w:rsidR="00832A7E" w:rsidRPr="00594BFA" w:rsidRDefault="00000000">
            <w:pPr>
              <w:spacing w:before="20" w:after="20" w:line="240" w:lineRule="auto"/>
              <w:rPr>
                <w:lang w:val="en-US"/>
              </w:rPr>
            </w:pPr>
            <w:r w:rsidRPr="00594BFA">
              <w:rPr>
                <w:rFonts w:ascii="Times New Roman" w:hAnsi="Times New Roman"/>
                <w:sz w:val="18"/>
                <w:lang w:val="en-US"/>
              </w:rPr>
              <w:t>3.94***</w:t>
            </w:r>
          </w:p>
        </w:tc>
        <w:tc>
          <w:tcPr>
            <w:tcW w:w="900" w:type="dxa"/>
            <w:tcMar>
              <w:top w:w="20" w:type="dxa"/>
              <w:left w:w="75" w:type="dxa"/>
              <w:bottom w:w="20" w:type="dxa"/>
              <w:right w:w="75" w:type="dxa"/>
            </w:tcMar>
          </w:tcPr>
          <w:p w14:paraId="3EFD77AF" w14:textId="77777777" w:rsidR="00832A7E" w:rsidRPr="00594BFA" w:rsidRDefault="00000000">
            <w:pPr>
              <w:spacing w:before="20" w:after="20" w:line="240" w:lineRule="auto"/>
              <w:rPr>
                <w:lang w:val="en-US"/>
              </w:rPr>
            </w:pPr>
            <w:r w:rsidRPr="00594BFA">
              <w:rPr>
                <w:rFonts w:ascii="Times New Roman" w:hAnsi="Times New Roman"/>
                <w:sz w:val="18"/>
                <w:lang w:val="en-US"/>
              </w:rPr>
              <w:t>1238</w:t>
            </w:r>
          </w:p>
        </w:tc>
        <w:tc>
          <w:tcPr>
            <w:tcW w:w="1000" w:type="dxa"/>
            <w:tcMar>
              <w:top w:w="20" w:type="dxa"/>
              <w:left w:w="75" w:type="dxa"/>
              <w:bottom w:w="20" w:type="dxa"/>
              <w:right w:w="75" w:type="dxa"/>
            </w:tcMar>
          </w:tcPr>
          <w:p w14:paraId="1CE54187" w14:textId="77777777" w:rsidR="00832A7E" w:rsidRPr="00594BFA" w:rsidRDefault="00000000">
            <w:pPr>
              <w:spacing w:before="20" w:after="20" w:line="240" w:lineRule="auto"/>
              <w:rPr>
                <w:lang w:val="en-US"/>
              </w:rPr>
            </w:pPr>
            <w:r w:rsidRPr="00594BFA">
              <w:rPr>
                <w:rFonts w:ascii="Times New Roman" w:hAnsi="Times New Roman"/>
                <w:sz w:val="18"/>
                <w:lang w:val="en-US"/>
              </w:rPr>
              <w:t>1.06***</w:t>
            </w:r>
          </w:p>
        </w:tc>
        <w:tc>
          <w:tcPr>
            <w:tcW w:w="900" w:type="dxa"/>
            <w:tcMar>
              <w:top w:w="20" w:type="dxa"/>
              <w:left w:w="75" w:type="dxa"/>
              <w:bottom w:w="20" w:type="dxa"/>
              <w:right w:w="75" w:type="dxa"/>
            </w:tcMar>
          </w:tcPr>
          <w:p w14:paraId="220FA06D" w14:textId="77777777" w:rsidR="00832A7E" w:rsidRPr="00594BFA" w:rsidRDefault="00000000">
            <w:pPr>
              <w:spacing w:before="20" w:after="20" w:line="240" w:lineRule="auto"/>
              <w:rPr>
                <w:lang w:val="en-US"/>
              </w:rPr>
            </w:pPr>
            <w:r w:rsidRPr="00594BFA">
              <w:rPr>
                <w:rFonts w:ascii="Times New Roman" w:hAnsi="Times New Roman"/>
                <w:sz w:val="18"/>
                <w:lang w:val="en-US"/>
              </w:rPr>
              <w:t>303</w:t>
            </w:r>
          </w:p>
        </w:tc>
        <w:tc>
          <w:tcPr>
            <w:tcW w:w="1000" w:type="dxa"/>
            <w:tcMar>
              <w:top w:w="20" w:type="dxa"/>
              <w:left w:w="75" w:type="dxa"/>
              <w:bottom w:w="20" w:type="dxa"/>
              <w:right w:w="75" w:type="dxa"/>
            </w:tcMar>
          </w:tcPr>
          <w:p w14:paraId="4C8A3AE8" w14:textId="77777777" w:rsidR="00832A7E" w:rsidRPr="00594BFA" w:rsidRDefault="00000000">
            <w:pPr>
              <w:spacing w:before="20" w:after="20" w:line="240" w:lineRule="auto"/>
              <w:rPr>
                <w:lang w:val="en-US"/>
              </w:rPr>
            </w:pPr>
            <w:r w:rsidRPr="00594BFA">
              <w:rPr>
                <w:rFonts w:ascii="Times New Roman" w:hAnsi="Times New Roman"/>
                <w:sz w:val="18"/>
                <w:lang w:val="en-US"/>
              </w:rPr>
              <w:t>2.95***</w:t>
            </w:r>
          </w:p>
        </w:tc>
        <w:tc>
          <w:tcPr>
            <w:tcW w:w="900" w:type="dxa"/>
            <w:tcMar>
              <w:top w:w="20" w:type="dxa"/>
              <w:left w:w="75" w:type="dxa"/>
              <w:bottom w:w="20" w:type="dxa"/>
              <w:right w:w="75" w:type="dxa"/>
            </w:tcMar>
          </w:tcPr>
          <w:p w14:paraId="6E02B0CB" w14:textId="77777777" w:rsidR="00832A7E" w:rsidRPr="00594BFA" w:rsidRDefault="00000000">
            <w:pPr>
              <w:spacing w:before="20" w:after="20" w:line="240" w:lineRule="auto"/>
              <w:rPr>
                <w:lang w:val="en-US"/>
              </w:rPr>
            </w:pPr>
            <w:r w:rsidRPr="00594BFA">
              <w:rPr>
                <w:rFonts w:ascii="Times New Roman" w:hAnsi="Times New Roman"/>
                <w:sz w:val="18"/>
                <w:lang w:val="en-US"/>
              </w:rPr>
              <w:t>195</w:t>
            </w:r>
          </w:p>
        </w:tc>
        <w:tc>
          <w:tcPr>
            <w:tcW w:w="1000" w:type="dxa"/>
            <w:tcMar>
              <w:top w:w="20" w:type="dxa"/>
              <w:left w:w="75" w:type="dxa"/>
              <w:bottom w:w="20" w:type="dxa"/>
              <w:right w:w="75" w:type="dxa"/>
            </w:tcMar>
          </w:tcPr>
          <w:p w14:paraId="4C8A3AE8" w14:textId="77777777" w:rsidR="00832A7E" w:rsidRPr="00594BFA" w:rsidRDefault="00000000">
            <w:pPr>
              <w:spacing w:before="20" w:after="20" w:line="240" w:lineRule="auto"/>
              <w:rPr>
                <w:lang w:val="en-US"/>
              </w:rPr>
            </w:pPr>
            <w:r w:rsidRPr="00594BFA">
              <w:rPr>
                <w:rFonts w:ascii="Times New Roman" w:hAnsi="Times New Roman"/>
                <w:sz w:val="18"/>
                <w:lang w:val="en-US"/>
              </w:rPr>
              <w:t>1.59***</w:t>
            </w:r>
          </w:p>
        </w:tc>
        <w:tc>
          <w:tcPr>
            <w:tcW w:w="900" w:type="dxa"/>
            <w:tcMar>
              <w:top w:w="20" w:type="dxa"/>
              <w:left w:w="75" w:type="dxa"/>
              <w:bottom w:w="20" w:type="dxa"/>
              <w:right w:w="75" w:type="dxa"/>
            </w:tcMar>
          </w:tcPr>
          <w:p w14:paraId="6E02B0CB" w14:textId="77777777" w:rsidR="00832A7E" w:rsidRPr="00594BFA" w:rsidRDefault="00000000">
            <w:pPr>
              <w:spacing w:before="20" w:after="20" w:line="240" w:lineRule="auto"/>
              <w:rPr>
                <w:lang w:val="en-US"/>
              </w:rPr>
            </w:pPr>
            <w:r w:rsidRPr="00594BFA">
              <w:rPr>
                <w:rFonts w:ascii="Times New Roman" w:hAnsi="Times New Roman"/>
                <w:sz w:val="18"/>
                <w:lang w:val="en-US"/>
              </w:rPr>
              <w:t>463</w:t>
            </w:r>
          </w:p>
        </w:tc>
      </w:tr>
      <w:tr w:rsidR="00832A7E" w:rsidRPr="00594BFA" w14:paraId="1674592C" w14:textId="77777777">
        <w:tc>
          <w:tcPr>
            <w:tcW w:w="2700" w:type="dxa"/>
            <w:tcMar>
              <w:top w:w="20" w:type="dxa"/>
              <w:left w:w="75" w:type="dxa"/>
              <w:bottom w:w="20" w:type="dxa"/>
              <w:right w:w="75" w:type="dxa"/>
            </w:tcMar>
          </w:tcPr>
          <w:p w14:paraId="1492714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511195FA" w14:textId="77777777" w:rsidR="00832A7E" w:rsidRPr="00594BFA" w:rsidRDefault="00000000">
            <w:pPr>
              <w:spacing w:before="20" w:after="20" w:line="240" w:lineRule="auto"/>
              <w:rPr>
                <w:lang w:val="en-US"/>
              </w:rPr>
            </w:pPr>
            <w:r w:rsidRPr="00594BFA">
              <w:rPr>
                <w:rFonts w:ascii="Times New Roman" w:hAnsi="Times New Roman"/>
                <w:sz w:val="18"/>
                <w:lang w:val="en-US"/>
              </w:rPr>
              <w:t>(0.29)</w:t>
            </w:r>
          </w:p>
        </w:tc>
        <w:tc>
          <w:tcPr>
            <w:tcW w:w="900" w:type="dxa"/>
            <w:tcMar>
              <w:top w:w="20" w:type="dxa"/>
              <w:left w:w="75" w:type="dxa"/>
              <w:bottom w:w="20" w:type="dxa"/>
              <w:right w:w="75" w:type="dxa"/>
            </w:tcMar>
          </w:tcPr>
          <w:p w14:paraId="2AB36D17"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06CD9F5"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2AF2543D"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D965F89" w14:textId="77777777" w:rsidR="00832A7E" w:rsidRPr="00594BFA" w:rsidRDefault="00000000">
            <w:pPr>
              <w:spacing w:before="20" w:after="20" w:line="240" w:lineRule="auto"/>
              <w:rPr>
                <w:lang w:val="en-US"/>
              </w:rPr>
            </w:pPr>
            <w:r w:rsidRPr="00594BFA">
              <w:rPr>
                <w:rFonts w:ascii="Times New Roman" w:hAnsi="Times New Roman"/>
                <w:sz w:val="18"/>
                <w:lang w:val="en-US"/>
              </w:rPr>
              <w:t>(0.43)</w:t>
            </w:r>
          </w:p>
        </w:tc>
        <w:tc>
          <w:tcPr>
            <w:tcW w:w="900" w:type="dxa"/>
            <w:tcMar>
              <w:top w:w="20" w:type="dxa"/>
              <w:left w:w="75" w:type="dxa"/>
              <w:bottom w:w="20" w:type="dxa"/>
              <w:right w:w="75" w:type="dxa"/>
            </w:tcMar>
          </w:tcPr>
          <w:p w14:paraId="7CDBC72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D965F89" w14:textId="77777777" w:rsidR="00832A7E" w:rsidRPr="00594BFA" w:rsidRDefault="00000000">
            <w:pPr>
              <w:spacing w:before="20" w:after="20" w:line="240" w:lineRule="auto"/>
              <w:rPr>
                <w:lang w:val="en-US"/>
              </w:rPr>
            </w:pPr>
            <w:r w:rsidRPr="00594BFA">
              <w:rPr>
                <w:rFonts w:ascii="Times New Roman" w:hAnsi="Times New Roman"/>
                <w:sz w:val="18"/>
                <w:lang w:val="en-US"/>
              </w:rPr>
              <w:t>(0.12)</w:t>
            </w:r>
          </w:p>
        </w:tc>
        <w:tc>
          <w:tcPr>
            <w:tcW w:w="900" w:type="dxa"/>
            <w:tcMar>
              <w:top w:w="20" w:type="dxa"/>
              <w:left w:w="75" w:type="dxa"/>
              <w:bottom w:w="20" w:type="dxa"/>
              <w:right w:w="75" w:type="dxa"/>
            </w:tcMar>
          </w:tcPr>
          <w:p w14:paraId="7CDBC729" w14:textId="77777777" w:rsidR="00832A7E" w:rsidRPr="00594BFA" w:rsidRDefault="00832A7E">
            <w:pPr>
              <w:spacing w:before="20" w:after="20" w:line="240" w:lineRule="auto"/>
              <w:rPr>
                <w:lang w:val="en-US"/>
              </w:rPr>
            </w:pPr>
          </w:p>
        </w:tc>
      </w:tr>
      <w:tr w:rsidR="00832A7E" w:rsidRPr="00594BFA" w14:paraId="77905AEE" w14:textId="77777777">
        <w:tc>
          <w:tcPr>
            <w:tcW w:w="2700" w:type="dxa"/>
            <w:tcMar>
              <w:top w:w="20" w:type="dxa"/>
              <w:left w:w="75" w:type="dxa"/>
              <w:bottom w:w="20" w:type="dxa"/>
              <w:right w:w="75" w:type="dxa"/>
            </w:tcMar>
          </w:tcPr>
          <w:p w14:paraId="088DA868" w14:textId="77777777" w:rsidR="00832A7E" w:rsidRPr="00594BFA" w:rsidRDefault="00000000">
            <w:pPr>
              <w:spacing w:before="20" w:after="20" w:line="240" w:lineRule="auto"/>
              <w:rPr>
                <w:lang w:val="en-US"/>
              </w:rPr>
            </w:pPr>
            <w:r w:rsidRPr="00594BFA">
              <w:rPr>
                <w:rFonts w:ascii="Times New Roman" w:hAnsi="Times New Roman"/>
                <w:sz w:val="18"/>
                <w:lang w:val="en-US"/>
              </w:rPr>
              <w:t xml:space="preserve">Transit </w:t>
            </w:r>
            <w:proofErr w:type="gramStart"/>
            <w:r w:rsidRPr="00594BFA">
              <w:rPr>
                <w:rFonts w:ascii="Times New Roman" w:hAnsi="Times New Roman"/>
                <w:sz w:val="18"/>
                <w:lang w:val="en-US"/>
              </w:rPr>
              <w:t>stop</w:t>
            </w:r>
            <w:proofErr w:type="gramEnd"/>
            <w:r w:rsidRPr="00594BFA">
              <w:rPr>
                <w:rFonts w:ascii="Times New Roman" w:hAnsi="Times New Roman"/>
                <w:sz w:val="18"/>
                <w:lang w:val="en-US"/>
              </w:rPr>
              <w:t>: 600 m (vs 900 m)</w:t>
            </w:r>
          </w:p>
        </w:tc>
        <w:tc>
          <w:tcPr>
            <w:tcW w:w="1000" w:type="dxa"/>
            <w:tcMar>
              <w:top w:w="20" w:type="dxa"/>
              <w:left w:w="75" w:type="dxa"/>
              <w:bottom w:w="20" w:type="dxa"/>
              <w:right w:w="75" w:type="dxa"/>
            </w:tcMar>
          </w:tcPr>
          <w:p w14:paraId="3D8252D5" w14:textId="77777777" w:rsidR="00832A7E" w:rsidRPr="00594BFA" w:rsidRDefault="00000000">
            <w:pPr>
              <w:spacing w:before="20" w:after="20" w:line="240" w:lineRule="auto"/>
              <w:rPr>
                <w:lang w:val="en-US"/>
              </w:rPr>
            </w:pPr>
            <w:r w:rsidRPr="00594BFA">
              <w:rPr>
                <w:rFonts w:ascii="Times New Roman" w:hAnsi="Times New Roman"/>
                <w:sz w:val="18"/>
                <w:lang w:val="en-US"/>
              </w:rPr>
              <w:t>0.21</w:t>
            </w:r>
          </w:p>
        </w:tc>
        <w:tc>
          <w:tcPr>
            <w:tcW w:w="900" w:type="dxa"/>
            <w:tcMar>
              <w:top w:w="20" w:type="dxa"/>
              <w:left w:w="75" w:type="dxa"/>
              <w:bottom w:w="20" w:type="dxa"/>
              <w:right w:w="75" w:type="dxa"/>
            </w:tcMar>
          </w:tcPr>
          <w:p w14:paraId="4BB07FEF" w14:textId="77777777" w:rsidR="00832A7E" w:rsidRPr="00594BFA" w:rsidRDefault="00000000">
            <w:pPr>
              <w:spacing w:before="20" w:after="20" w:line="240" w:lineRule="auto"/>
              <w:rPr>
                <w:lang w:val="en-US"/>
              </w:rPr>
            </w:pPr>
            <w:r w:rsidRPr="00594BFA">
              <w:rPr>
                <w:rFonts w:ascii="Times New Roman" w:hAnsi="Times New Roman"/>
                <w:sz w:val="18"/>
                <w:lang w:val="en-US"/>
              </w:rPr>
              <w:t>65</w:t>
            </w:r>
          </w:p>
        </w:tc>
        <w:tc>
          <w:tcPr>
            <w:tcW w:w="1000" w:type="dxa"/>
            <w:tcMar>
              <w:top w:w="20" w:type="dxa"/>
              <w:left w:w="75" w:type="dxa"/>
              <w:bottom w:w="20" w:type="dxa"/>
              <w:right w:w="75" w:type="dxa"/>
            </w:tcMar>
          </w:tcPr>
          <w:p w14:paraId="4D28C366" w14:textId="77777777" w:rsidR="00832A7E" w:rsidRPr="00594BFA" w:rsidRDefault="00000000">
            <w:pPr>
              <w:spacing w:before="20" w:after="20" w:line="240" w:lineRule="auto"/>
              <w:rPr>
                <w:lang w:val="en-US"/>
              </w:rPr>
            </w:pPr>
            <w:r w:rsidRPr="00594BFA">
              <w:rPr>
                <w:rFonts w:ascii="Times New Roman" w:hAnsi="Times New Roman"/>
                <w:sz w:val="18"/>
                <w:lang w:val="en-US"/>
              </w:rPr>
              <w:t>-0.45*</w:t>
            </w:r>
          </w:p>
        </w:tc>
        <w:tc>
          <w:tcPr>
            <w:tcW w:w="900" w:type="dxa"/>
            <w:tcMar>
              <w:top w:w="20" w:type="dxa"/>
              <w:left w:w="75" w:type="dxa"/>
              <w:bottom w:w="20" w:type="dxa"/>
              <w:right w:w="75" w:type="dxa"/>
            </w:tcMar>
          </w:tcPr>
          <w:p w14:paraId="2FDCF626" w14:textId="77777777" w:rsidR="00832A7E" w:rsidRPr="00594BFA" w:rsidRDefault="00000000">
            <w:pPr>
              <w:spacing w:before="20" w:after="20" w:line="240" w:lineRule="auto"/>
              <w:rPr>
                <w:lang w:val="en-US"/>
              </w:rPr>
            </w:pPr>
            <w:r w:rsidRPr="00594BFA">
              <w:rPr>
                <w:rFonts w:ascii="Times New Roman" w:hAnsi="Times New Roman"/>
                <w:sz w:val="18"/>
                <w:lang w:val="en-US"/>
              </w:rPr>
              <w:t>-129</w:t>
            </w:r>
          </w:p>
        </w:tc>
        <w:tc>
          <w:tcPr>
            <w:tcW w:w="1000" w:type="dxa"/>
            <w:tcMar>
              <w:top w:w="20" w:type="dxa"/>
              <w:left w:w="75" w:type="dxa"/>
              <w:bottom w:w="20" w:type="dxa"/>
              <w:right w:w="75" w:type="dxa"/>
            </w:tcMar>
          </w:tcPr>
          <w:p w14:paraId="4ADBDE54" w14:textId="77777777" w:rsidR="00832A7E" w:rsidRPr="00594BFA" w:rsidRDefault="00000000">
            <w:pPr>
              <w:spacing w:before="20" w:after="20" w:line="240" w:lineRule="auto"/>
              <w:rPr>
                <w:lang w:val="en-US"/>
              </w:rPr>
            </w:pPr>
            <w:r w:rsidRPr="00594BFA">
              <w:rPr>
                <w:rFonts w:ascii="Times New Roman" w:hAnsi="Times New Roman"/>
                <w:sz w:val="18"/>
                <w:lang w:val="en-US"/>
              </w:rPr>
              <w:t>0.67*</w:t>
            </w:r>
          </w:p>
        </w:tc>
        <w:tc>
          <w:tcPr>
            <w:tcW w:w="900" w:type="dxa"/>
            <w:tcMar>
              <w:top w:w="20" w:type="dxa"/>
              <w:left w:w="75" w:type="dxa"/>
              <w:bottom w:w="20" w:type="dxa"/>
              <w:right w:w="75" w:type="dxa"/>
            </w:tcMar>
          </w:tcPr>
          <w:p w14:paraId="6FED2424" w14:textId="77777777" w:rsidR="00832A7E" w:rsidRPr="00594BFA" w:rsidRDefault="00000000">
            <w:pPr>
              <w:spacing w:before="20" w:after="20" w:line="240" w:lineRule="auto"/>
              <w:rPr>
                <w:lang w:val="en-US"/>
              </w:rPr>
            </w:pPr>
            <w:r w:rsidRPr="00594BFA">
              <w:rPr>
                <w:rFonts w:ascii="Times New Roman" w:hAnsi="Times New Roman"/>
                <w:sz w:val="18"/>
                <w:lang w:val="en-US"/>
              </w:rPr>
              <w:t>44</w:t>
            </w:r>
          </w:p>
        </w:tc>
        <w:tc>
          <w:tcPr>
            <w:tcW w:w="1000" w:type="dxa"/>
            <w:tcMar>
              <w:top w:w="20" w:type="dxa"/>
              <w:left w:w="75" w:type="dxa"/>
              <w:bottom w:w="20" w:type="dxa"/>
              <w:right w:w="75" w:type="dxa"/>
            </w:tcMar>
          </w:tcPr>
          <w:p w14:paraId="4ADBDE54" w14:textId="77777777" w:rsidR="00832A7E" w:rsidRPr="00594BFA" w:rsidRDefault="00000000">
            <w:pPr>
              <w:spacing w:before="20" w:after="20" w:line="240" w:lineRule="auto"/>
              <w:rPr>
                <w:lang w:val="en-US"/>
              </w:rPr>
            </w:pPr>
            <w:r w:rsidRPr="00594BFA">
              <w:rPr>
                <w:rFonts w:ascii="Times New Roman" w:hAnsi="Times New Roman"/>
                <w:sz w:val="18"/>
                <w:lang w:val="en-US"/>
              </w:rPr>
              <w:t>0.76***</w:t>
            </w:r>
          </w:p>
        </w:tc>
        <w:tc>
          <w:tcPr>
            <w:tcW w:w="900" w:type="dxa"/>
            <w:tcMar>
              <w:top w:w="20" w:type="dxa"/>
              <w:left w:w="75" w:type="dxa"/>
              <w:bottom w:w="20" w:type="dxa"/>
              <w:right w:w="75" w:type="dxa"/>
            </w:tcMar>
          </w:tcPr>
          <w:p w14:paraId="6FED2424" w14:textId="77777777" w:rsidR="00832A7E" w:rsidRPr="00594BFA" w:rsidRDefault="00000000">
            <w:pPr>
              <w:spacing w:before="20" w:after="20" w:line="240" w:lineRule="auto"/>
              <w:rPr>
                <w:lang w:val="en-US"/>
              </w:rPr>
            </w:pPr>
            <w:r w:rsidRPr="00594BFA">
              <w:rPr>
                <w:rFonts w:ascii="Times New Roman" w:hAnsi="Times New Roman"/>
                <w:sz w:val="18"/>
                <w:lang w:val="en-US"/>
              </w:rPr>
              <w:t>223</w:t>
            </w:r>
          </w:p>
        </w:tc>
      </w:tr>
      <w:tr w:rsidR="00832A7E" w:rsidRPr="00594BFA" w14:paraId="36E69B7E" w14:textId="77777777">
        <w:tc>
          <w:tcPr>
            <w:tcW w:w="2700" w:type="dxa"/>
            <w:tcMar>
              <w:top w:w="20" w:type="dxa"/>
              <w:left w:w="75" w:type="dxa"/>
              <w:bottom w:w="20" w:type="dxa"/>
              <w:right w:w="75" w:type="dxa"/>
            </w:tcMar>
          </w:tcPr>
          <w:p w14:paraId="77FD655A"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4F262881"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05ECAB9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63807C33" w14:textId="77777777" w:rsidR="00832A7E" w:rsidRPr="00594BFA" w:rsidRDefault="00000000">
            <w:pPr>
              <w:spacing w:before="20" w:after="20" w:line="240" w:lineRule="auto"/>
              <w:rPr>
                <w:lang w:val="en-US"/>
              </w:rPr>
            </w:pPr>
            <w:r w:rsidRPr="00594BFA">
              <w:rPr>
                <w:rFonts w:ascii="Times New Roman" w:hAnsi="Times New Roman"/>
                <w:sz w:val="18"/>
                <w:lang w:val="en-US"/>
              </w:rPr>
              <w:t>(0.21)</w:t>
            </w:r>
          </w:p>
        </w:tc>
        <w:tc>
          <w:tcPr>
            <w:tcW w:w="900" w:type="dxa"/>
            <w:tcMar>
              <w:top w:w="20" w:type="dxa"/>
              <w:left w:w="75" w:type="dxa"/>
              <w:bottom w:w="20" w:type="dxa"/>
              <w:right w:w="75" w:type="dxa"/>
            </w:tcMar>
          </w:tcPr>
          <w:p w14:paraId="5329AC62"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0C70F1C" w14:textId="77777777" w:rsidR="00832A7E" w:rsidRPr="00594BFA" w:rsidRDefault="00000000">
            <w:pPr>
              <w:spacing w:before="20" w:after="20" w:line="240" w:lineRule="auto"/>
              <w:rPr>
                <w:lang w:val="en-US"/>
              </w:rPr>
            </w:pPr>
            <w:r w:rsidRPr="00594BFA">
              <w:rPr>
                <w:rFonts w:ascii="Times New Roman" w:hAnsi="Times New Roman"/>
                <w:sz w:val="18"/>
                <w:lang w:val="en-US"/>
              </w:rPr>
              <w:t>(0.28)</w:t>
            </w:r>
          </w:p>
        </w:tc>
        <w:tc>
          <w:tcPr>
            <w:tcW w:w="900" w:type="dxa"/>
            <w:tcMar>
              <w:top w:w="20" w:type="dxa"/>
              <w:left w:w="75" w:type="dxa"/>
              <w:bottom w:w="20" w:type="dxa"/>
              <w:right w:w="75" w:type="dxa"/>
            </w:tcMar>
          </w:tcPr>
          <w:p w14:paraId="6F9B610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0C70F1C" w14:textId="77777777" w:rsidR="00832A7E" w:rsidRPr="00594BFA" w:rsidRDefault="00000000">
            <w:pPr>
              <w:spacing w:before="20" w:after="20" w:line="240" w:lineRule="auto"/>
              <w:rPr>
                <w:lang w:val="en-US"/>
              </w:rPr>
            </w:pPr>
            <w:r w:rsidRPr="00594BFA">
              <w:rPr>
                <w:rFonts w:ascii="Times New Roman" w:hAnsi="Times New Roman"/>
                <w:sz w:val="18"/>
                <w:lang w:val="en-US"/>
              </w:rPr>
              <w:t>(0.17)</w:t>
            </w:r>
          </w:p>
        </w:tc>
        <w:tc>
          <w:tcPr>
            <w:tcW w:w="900" w:type="dxa"/>
            <w:tcMar>
              <w:top w:w="20" w:type="dxa"/>
              <w:left w:w="75" w:type="dxa"/>
              <w:bottom w:w="20" w:type="dxa"/>
              <w:right w:w="75" w:type="dxa"/>
            </w:tcMar>
          </w:tcPr>
          <w:p w14:paraId="6F9B6109" w14:textId="77777777" w:rsidR="00832A7E" w:rsidRPr="00594BFA" w:rsidRDefault="00832A7E">
            <w:pPr>
              <w:spacing w:before="20" w:after="20" w:line="240" w:lineRule="auto"/>
              <w:rPr>
                <w:lang w:val="en-US"/>
              </w:rPr>
            </w:pPr>
          </w:p>
        </w:tc>
      </w:tr>
      <w:tr w:rsidR="00832A7E" w:rsidRPr="00594BFA" w14:paraId="02DA68E1" w14:textId="77777777">
        <w:tc>
          <w:tcPr>
            <w:tcW w:w="2700" w:type="dxa"/>
            <w:tcMar>
              <w:top w:w="20" w:type="dxa"/>
              <w:left w:w="75" w:type="dxa"/>
              <w:bottom w:w="20" w:type="dxa"/>
              <w:right w:w="75" w:type="dxa"/>
            </w:tcMar>
          </w:tcPr>
          <w:p w14:paraId="47E81481" w14:textId="77777777" w:rsidR="00832A7E" w:rsidRPr="00594BFA" w:rsidRDefault="00000000">
            <w:pPr>
              <w:spacing w:before="20" w:after="20" w:line="240" w:lineRule="auto"/>
              <w:rPr>
                <w:lang w:val="en-US"/>
              </w:rPr>
            </w:pPr>
            <w:r w:rsidRPr="00594BFA">
              <w:rPr>
                <w:rFonts w:ascii="Times New Roman" w:hAnsi="Times New Roman"/>
                <w:sz w:val="18"/>
                <w:lang w:val="en-US"/>
              </w:rPr>
              <w:t xml:space="preserve">Transit </w:t>
            </w:r>
            <w:proofErr w:type="gramStart"/>
            <w:r w:rsidRPr="00594BFA">
              <w:rPr>
                <w:rFonts w:ascii="Times New Roman" w:hAnsi="Times New Roman"/>
                <w:sz w:val="18"/>
                <w:lang w:val="en-US"/>
              </w:rPr>
              <w:t>stop</w:t>
            </w:r>
            <w:proofErr w:type="gramEnd"/>
            <w:r w:rsidRPr="00594BFA">
              <w:rPr>
                <w:rFonts w:ascii="Times New Roman" w:hAnsi="Times New Roman"/>
                <w:sz w:val="18"/>
                <w:lang w:val="en-US"/>
              </w:rPr>
              <w:t>: 300 m (vs 900 m)</w:t>
            </w:r>
          </w:p>
        </w:tc>
        <w:tc>
          <w:tcPr>
            <w:tcW w:w="1000" w:type="dxa"/>
            <w:tcMar>
              <w:top w:w="20" w:type="dxa"/>
              <w:left w:w="75" w:type="dxa"/>
              <w:bottom w:w="20" w:type="dxa"/>
              <w:right w:w="75" w:type="dxa"/>
            </w:tcMar>
          </w:tcPr>
          <w:p w14:paraId="2D6769A3" w14:textId="77777777" w:rsidR="00832A7E" w:rsidRPr="00594BFA" w:rsidRDefault="00000000">
            <w:pPr>
              <w:spacing w:before="20" w:after="20" w:line="240" w:lineRule="auto"/>
              <w:rPr>
                <w:lang w:val="en-US"/>
              </w:rPr>
            </w:pPr>
            <w:r w:rsidRPr="00594BFA">
              <w:rPr>
                <w:rFonts w:ascii="Times New Roman" w:hAnsi="Times New Roman"/>
                <w:sz w:val="18"/>
                <w:lang w:val="en-US"/>
              </w:rPr>
              <w:t>0.80***</w:t>
            </w:r>
          </w:p>
        </w:tc>
        <w:tc>
          <w:tcPr>
            <w:tcW w:w="900" w:type="dxa"/>
            <w:tcMar>
              <w:top w:w="20" w:type="dxa"/>
              <w:left w:w="75" w:type="dxa"/>
              <w:bottom w:w="20" w:type="dxa"/>
              <w:right w:w="75" w:type="dxa"/>
            </w:tcMar>
          </w:tcPr>
          <w:p w14:paraId="734C64B5" w14:textId="77777777" w:rsidR="00832A7E" w:rsidRPr="00594BFA" w:rsidRDefault="00000000">
            <w:pPr>
              <w:spacing w:before="20" w:after="20" w:line="240" w:lineRule="auto"/>
              <w:rPr>
                <w:lang w:val="en-US"/>
              </w:rPr>
            </w:pPr>
            <w:r w:rsidRPr="00594BFA">
              <w:rPr>
                <w:rFonts w:ascii="Times New Roman" w:hAnsi="Times New Roman"/>
                <w:sz w:val="18"/>
                <w:lang w:val="en-US"/>
              </w:rPr>
              <w:t>252</w:t>
            </w:r>
          </w:p>
        </w:tc>
        <w:tc>
          <w:tcPr>
            <w:tcW w:w="1000" w:type="dxa"/>
            <w:tcMar>
              <w:top w:w="20" w:type="dxa"/>
              <w:left w:w="75" w:type="dxa"/>
              <w:bottom w:w="20" w:type="dxa"/>
              <w:right w:w="75" w:type="dxa"/>
            </w:tcMar>
          </w:tcPr>
          <w:p w14:paraId="54C0736E" w14:textId="77777777" w:rsidR="00832A7E" w:rsidRPr="00594BFA" w:rsidRDefault="00000000">
            <w:pPr>
              <w:spacing w:before="20" w:after="20" w:line="240" w:lineRule="auto"/>
              <w:rPr>
                <w:lang w:val="en-US"/>
              </w:rPr>
            </w:pPr>
            <w:r w:rsidRPr="00594BFA">
              <w:rPr>
                <w:rFonts w:ascii="Times New Roman" w:hAnsi="Times New Roman"/>
                <w:sz w:val="18"/>
                <w:lang w:val="en-US"/>
              </w:rPr>
              <w:t>1.32***</w:t>
            </w:r>
          </w:p>
        </w:tc>
        <w:tc>
          <w:tcPr>
            <w:tcW w:w="900" w:type="dxa"/>
            <w:tcMar>
              <w:top w:w="20" w:type="dxa"/>
              <w:left w:w="75" w:type="dxa"/>
              <w:bottom w:w="20" w:type="dxa"/>
              <w:right w:w="75" w:type="dxa"/>
            </w:tcMar>
          </w:tcPr>
          <w:p w14:paraId="76193094" w14:textId="77777777" w:rsidR="00832A7E" w:rsidRPr="00594BFA" w:rsidRDefault="00000000">
            <w:pPr>
              <w:spacing w:before="20" w:after="20" w:line="240" w:lineRule="auto"/>
              <w:rPr>
                <w:lang w:val="en-US"/>
              </w:rPr>
            </w:pPr>
            <w:r w:rsidRPr="00594BFA">
              <w:rPr>
                <w:rFonts w:ascii="Times New Roman" w:hAnsi="Times New Roman"/>
                <w:sz w:val="18"/>
                <w:lang w:val="en-US"/>
              </w:rPr>
              <w:t>379</w:t>
            </w:r>
          </w:p>
        </w:tc>
        <w:tc>
          <w:tcPr>
            <w:tcW w:w="1000" w:type="dxa"/>
            <w:tcMar>
              <w:top w:w="20" w:type="dxa"/>
              <w:left w:w="75" w:type="dxa"/>
              <w:bottom w:w="20" w:type="dxa"/>
              <w:right w:w="75" w:type="dxa"/>
            </w:tcMar>
          </w:tcPr>
          <w:p w14:paraId="3F699401" w14:textId="77777777" w:rsidR="00832A7E" w:rsidRPr="00594BFA" w:rsidRDefault="00000000">
            <w:pPr>
              <w:spacing w:before="20" w:after="20" w:line="240" w:lineRule="auto"/>
              <w:rPr>
                <w:lang w:val="en-US"/>
              </w:rPr>
            </w:pPr>
            <w:r w:rsidRPr="00594BFA">
              <w:rPr>
                <w:rFonts w:ascii="Times New Roman" w:hAnsi="Times New Roman"/>
                <w:sz w:val="18"/>
                <w:lang w:val="en-US"/>
              </w:rPr>
              <w:t>0.64***</w:t>
            </w:r>
          </w:p>
        </w:tc>
        <w:tc>
          <w:tcPr>
            <w:tcW w:w="900" w:type="dxa"/>
            <w:tcMar>
              <w:top w:w="20" w:type="dxa"/>
              <w:left w:w="75" w:type="dxa"/>
              <w:bottom w:w="20" w:type="dxa"/>
              <w:right w:w="75" w:type="dxa"/>
            </w:tcMar>
          </w:tcPr>
          <w:p w14:paraId="505FB61D" w14:textId="77777777" w:rsidR="00832A7E" w:rsidRPr="00594BFA" w:rsidRDefault="00000000">
            <w:pPr>
              <w:spacing w:before="20" w:after="20" w:line="240" w:lineRule="auto"/>
              <w:rPr>
                <w:lang w:val="en-US"/>
              </w:rPr>
            </w:pPr>
            <w:r w:rsidRPr="00594BFA">
              <w:rPr>
                <w:rFonts w:ascii="Times New Roman" w:hAnsi="Times New Roman"/>
                <w:sz w:val="18"/>
                <w:lang w:val="en-US"/>
              </w:rPr>
              <w:t>43</w:t>
            </w:r>
          </w:p>
        </w:tc>
        <w:tc>
          <w:tcPr>
            <w:tcW w:w="1000" w:type="dxa"/>
            <w:tcMar>
              <w:top w:w="20" w:type="dxa"/>
              <w:left w:w="75" w:type="dxa"/>
              <w:bottom w:w="20" w:type="dxa"/>
              <w:right w:w="75" w:type="dxa"/>
            </w:tcMar>
          </w:tcPr>
          <w:p w14:paraId="3F699401" w14:textId="77777777" w:rsidR="00832A7E" w:rsidRPr="00594BFA" w:rsidRDefault="00000000">
            <w:pPr>
              <w:spacing w:before="20" w:after="20" w:line="240" w:lineRule="auto"/>
              <w:rPr>
                <w:lang w:val="en-US"/>
              </w:rPr>
            </w:pPr>
            <w:r w:rsidRPr="00594BFA">
              <w:rPr>
                <w:rFonts w:ascii="Times New Roman" w:hAnsi="Times New Roman"/>
                <w:sz w:val="18"/>
                <w:lang w:val="en-US"/>
              </w:rPr>
              <w:t>0.77***</w:t>
            </w:r>
          </w:p>
        </w:tc>
        <w:tc>
          <w:tcPr>
            <w:tcW w:w="900" w:type="dxa"/>
            <w:tcMar>
              <w:top w:w="20" w:type="dxa"/>
              <w:left w:w="75" w:type="dxa"/>
              <w:bottom w:w="20" w:type="dxa"/>
              <w:right w:w="75" w:type="dxa"/>
            </w:tcMar>
          </w:tcPr>
          <w:p w14:paraId="505FB61D" w14:textId="77777777" w:rsidR="00832A7E" w:rsidRPr="00594BFA" w:rsidRDefault="00000000">
            <w:pPr>
              <w:spacing w:before="20" w:after="20" w:line="240" w:lineRule="auto"/>
              <w:rPr>
                <w:lang w:val="en-US"/>
              </w:rPr>
            </w:pPr>
            <w:r w:rsidRPr="00594BFA">
              <w:rPr>
                <w:rFonts w:ascii="Times New Roman" w:hAnsi="Times New Roman"/>
                <w:sz w:val="18"/>
                <w:lang w:val="en-US"/>
              </w:rPr>
              <w:t>226</w:t>
            </w:r>
          </w:p>
        </w:tc>
      </w:tr>
      <w:tr w:rsidR="00832A7E" w:rsidRPr="00594BFA" w14:paraId="00883C01" w14:textId="77777777">
        <w:tc>
          <w:tcPr>
            <w:tcW w:w="2700" w:type="dxa"/>
            <w:tcMar>
              <w:top w:w="20" w:type="dxa"/>
              <w:left w:w="75" w:type="dxa"/>
              <w:bottom w:w="20" w:type="dxa"/>
              <w:right w:w="75" w:type="dxa"/>
            </w:tcMar>
          </w:tcPr>
          <w:p w14:paraId="0FF63A4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7425CA7F" w14:textId="77777777" w:rsidR="00832A7E" w:rsidRPr="00594BFA" w:rsidRDefault="00000000">
            <w:pPr>
              <w:spacing w:before="20" w:after="20" w:line="240" w:lineRule="auto"/>
              <w:rPr>
                <w:lang w:val="en-US"/>
              </w:rPr>
            </w:pPr>
            <w:r w:rsidRPr="00594BFA">
              <w:rPr>
                <w:rFonts w:ascii="Times New Roman" w:hAnsi="Times New Roman"/>
                <w:sz w:val="18"/>
                <w:lang w:val="en-US"/>
              </w:rPr>
              <w:t>(0.15)</w:t>
            </w:r>
          </w:p>
        </w:tc>
        <w:tc>
          <w:tcPr>
            <w:tcW w:w="900" w:type="dxa"/>
            <w:tcMar>
              <w:top w:w="20" w:type="dxa"/>
              <w:left w:w="75" w:type="dxa"/>
              <w:bottom w:w="20" w:type="dxa"/>
              <w:right w:w="75" w:type="dxa"/>
            </w:tcMar>
          </w:tcPr>
          <w:p w14:paraId="68D656C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1CC1F2F"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0ED51077"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1EE5562A"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5F2744D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1EE5562A" w14:textId="77777777" w:rsidR="00832A7E" w:rsidRPr="00594BFA" w:rsidRDefault="00000000">
            <w:pPr>
              <w:spacing w:before="20" w:after="20" w:line="240" w:lineRule="auto"/>
              <w:rPr>
                <w:lang w:val="en-US"/>
              </w:rPr>
            </w:pPr>
            <w:r w:rsidRPr="00594BFA">
              <w:rPr>
                <w:rFonts w:ascii="Times New Roman" w:hAnsi="Times New Roman"/>
                <w:sz w:val="18"/>
                <w:lang w:val="en-US"/>
              </w:rPr>
              <w:t>(0.15)</w:t>
            </w:r>
          </w:p>
        </w:tc>
        <w:tc>
          <w:tcPr>
            <w:tcW w:w="900" w:type="dxa"/>
            <w:tcMar>
              <w:top w:w="20" w:type="dxa"/>
              <w:left w:w="75" w:type="dxa"/>
              <w:bottom w:w="20" w:type="dxa"/>
              <w:right w:w="75" w:type="dxa"/>
            </w:tcMar>
          </w:tcPr>
          <w:p w14:paraId="5F2744D3" w14:textId="77777777" w:rsidR="00832A7E" w:rsidRPr="00594BFA" w:rsidRDefault="00832A7E">
            <w:pPr>
              <w:spacing w:before="20" w:after="20" w:line="240" w:lineRule="auto"/>
              <w:rPr>
                <w:lang w:val="en-US"/>
              </w:rPr>
            </w:pPr>
          </w:p>
        </w:tc>
      </w:tr>
      <w:tr w:rsidR="00832A7E" w:rsidRPr="00594BFA" w14:paraId="5B57997E" w14:textId="77777777">
        <w:tc>
          <w:tcPr>
            <w:tcW w:w="2700" w:type="dxa"/>
            <w:tcMar>
              <w:top w:w="20" w:type="dxa"/>
              <w:left w:w="75" w:type="dxa"/>
              <w:bottom w:w="20" w:type="dxa"/>
              <w:right w:w="75" w:type="dxa"/>
            </w:tcMar>
          </w:tcPr>
          <w:p w14:paraId="0572B4AE" w14:textId="77777777" w:rsidR="00832A7E" w:rsidRPr="00594BFA" w:rsidRDefault="00000000">
            <w:pPr>
              <w:spacing w:before="20" w:after="20" w:line="240" w:lineRule="auto"/>
              <w:rPr>
                <w:lang w:val="en-US"/>
              </w:rPr>
            </w:pPr>
            <w:r w:rsidRPr="00594BFA">
              <w:rPr>
                <w:rFonts w:ascii="Times New Roman" w:hAnsi="Times New Roman"/>
                <w:sz w:val="18"/>
                <w:lang w:val="en-US"/>
              </w:rPr>
              <w:t>Parking: reserved garage (vs none)</w:t>
            </w:r>
          </w:p>
        </w:tc>
        <w:tc>
          <w:tcPr>
            <w:tcW w:w="1000" w:type="dxa"/>
            <w:tcMar>
              <w:top w:w="20" w:type="dxa"/>
              <w:left w:w="75" w:type="dxa"/>
              <w:bottom w:w="20" w:type="dxa"/>
              <w:right w:w="75" w:type="dxa"/>
            </w:tcMar>
          </w:tcPr>
          <w:p w14:paraId="1C8A212D" w14:textId="77777777" w:rsidR="00832A7E" w:rsidRPr="00594BFA" w:rsidRDefault="00000000">
            <w:pPr>
              <w:spacing w:before="20" w:after="20" w:line="240" w:lineRule="auto"/>
              <w:rPr>
                <w:lang w:val="en-US"/>
              </w:rPr>
            </w:pPr>
            <w:r w:rsidRPr="00594BFA">
              <w:rPr>
                <w:rFonts w:ascii="Times New Roman" w:hAnsi="Times New Roman"/>
                <w:sz w:val="18"/>
                <w:lang w:val="en-US"/>
              </w:rPr>
              <w:t>1.42***</w:t>
            </w:r>
          </w:p>
        </w:tc>
        <w:tc>
          <w:tcPr>
            <w:tcW w:w="900" w:type="dxa"/>
            <w:tcMar>
              <w:top w:w="20" w:type="dxa"/>
              <w:left w:w="75" w:type="dxa"/>
              <w:bottom w:w="20" w:type="dxa"/>
              <w:right w:w="75" w:type="dxa"/>
            </w:tcMar>
          </w:tcPr>
          <w:p w14:paraId="7A276F87" w14:textId="77777777" w:rsidR="00832A7E" w:rsidRPr="00594BFA" w:rsidRDefault="00000000">
            <w:pPr>
              <w:spacing w:before="20" w:after="20" w:line="240" w:lineRule="auto"/>
              <w:rPr>
                <w:lang w:val="en-US"/>
              </w:rPr>
            </w:pPr>
            <w:r w:rsidRPr="00594BFA">
              <w:rPr>
                <w:rFonts w:ascii="Times New Roman" w:hAnsi="Times New Roman"/>
                <w:sz w:val="18"/>
                <w:lang w:val="en-US"/>
              </w:rPr>
              <w:t>444</w:t>
            </w:r>
          </w:p>
        </w:tc>
        <w:tc>
          <w:tcPr>
            <w:tcW w:w="1000" w:type="dxa"/>
            <w:tcMar>
              <w:top w:w="20" w:type="dxa"/>
              <w:left w:w="75" w:type="dxa"/>
              <w:bottom w:w="20" w:type="dxa"/>
              <w:right w:w="75" w:type="dxa"/>
            </w:tcMar>
          </w:tcPr>
          <w:p w14:paraId="55EE8717" w14:textId="77777777" w:rsidR="00832A7E" w:rsidRPr="00594BFA" w:rsidRDefault="00000000">
            <w:pPr>
              <w:spacing w:before="20" w:after="20" w:line="240" w:lineRule="auto"/>
              <w:rPr>
                <w:lang w:val="en-US"/>
              </w:rPr>
            </w:pPr>
            <w:r w:rsidRPr="00594BFA">
              <w:rPr>
                <w:rFonts w:ascii="Times New Roman" w:hAnsi="Times New Roman"/>
                <w:sz w:val="18"/>
                <w:lang w:val="en-US"/>
              </w:rPr>
              <w:t>0.82***</w:t>
            </w:r>
          </w:p>
        </w:tc>
        <w:tc>
          <w:tcPr>
            <w:tcW w:w="900" w:type="dxa"/>
            <w:tcMar>
              <w:top w:w="20" w:type="dxa"/>
              <w:left w:w="75" w:type="dxa"/>
              <w:bottom w:w="20" w:type="dxa"/>
              <w:right w:w="75" w:type="dxa"/>
            </w:tcMar>
          </w:tcPr>
          <w:p w14:paraId="3AC154F3" w14:textId="77777777" w:rsidR="00832A7E" w:rsidRPr="00594BFA" w:rsidRDefault="00000000">
            <w:pPr>
              <w:spacing w:before="20" w:after="20" w:line="240" w:lineRule="auto"/>
              <w:rPr>
                <w:lang w:val="en-US"/>
              </w:rPr>
            </w:pPr>
            <w:r w:rsidRPr="00594BFA">
              <w:rPr>
                <w:rFonts w:ascii="Times New Roman" w:hAnsi="Times New Roman"/>
                <w:sz w:val="18"/>
                <w:lang w:val="en-US"/>
              </w:rPr>
              <w:t>235</w:t>
            </w:r>
          </w:p>
        </w:tc>
        <w:tc>
          <w:tcPr>
            <w:tcW w:w="1000" w:type="dxa"/>
            <w:tcMar>
              <w:top w:w="20" w:type="dxa"/>
              <w:left w:w="75" w:type="dxa"/>
              <w:bottom w:w="20" w:type="dxa"/>
              <w:right w:w="75" w:type="dxa"/>
            </w:tcMar>
          </w:tcPr>
          <w:p w14:paraId="25E4AEB8" w14:textId="77777777" w:rsidR="00832A7E" w:rsidRPr="00594BFA" w:rsidRDefault="00000000">
            <w:pPr>
              <w:spacing w:before="20" w:after="20" w:line="240" w:lineRule="auto"/>
              <w:rPr>
                <w:lang w:val="en-US"/>
              </w:rPr>
            </w:pPr>
            <w:r w:rsidRPr="00594BFA">
              <w:rPr>
                <w:rFonts w:ascii="Times New Roman" w:hAnsi="Times New Roman"/>
                <w:sz w:val="18"/>
                <w:lang w:val="en-US"/>
              </w:rPr>
              <w:t>0.51*</w:t>
            </w:r>
          </w:p>
        </w:tc>
        <w:tc>
          <w:tcPr>
            <w:tcW w:w="900" w:type="dxa"/>
            <w:tcMar>
              <w:top w:w="20" w:type="dxa"/>
              <w:left w:w="75" w:type="dxa"/>
              <w:bottom w:w="20" w:type="dxa"/>
              <w:right w:w="75" w:type="dxa"/>
            </w:tcMar>
          </w:tcPr>
          <w:p w14:paraId="510F8469" w14:textId="77777777" w:rsidR="00832A7E" w:rsidRPr="00594BFA" w:rsidRDefault="00000000">
            <w:pPr>
              <w:spacing w:before="20" w:after="20" w:line="240" w:lineRule="auto"/>
              <w:rPr>
                <w:lang w:val="en-US"/>
              </w:rPr>
            </w:pPr>
            <w:r w:rsidRPr="00594BFA">
              <w:rPr>
                <w:rFonts w:ascii="Times New Roman" w:hAnsi="Times New Roman"/>
                <w:sz w:val="18"/>
                <w:lang w:val="en-US"/>
              </w:rPr>
              <w:t>33</w:t>
            </w:r>
          </w:p>
        </w:tc>
        <w:tc>
          <w:tcPr>
            <w:tcW w:w="1000" w:type="dxa"/>
            <w:tcMar>
              <w:top w:w="20" w:type="dxa"/>
              <w:left w:w="75" w:type="dxa"/>
              <w:bottom w:w="20" w:type="dxa"/>
              <w:right w:w="75" w:type="dxa"/>
            </w:tcMar>
          </w:tcPr>
          <w:p w14:paraId="25E4AEB8" w14:textId="77777777" w:rsidR="00832A7E" w:rsidRPr="00594BFA" w:rsidRDefault="00000000">
            <w:pPr>
              <w:spacing w:before="20" w:after="20" w:line="240" w:lineRule="auto"/>
              <w:rPr>
                <w:lang w:val="en-US"/>
              </w:rPr>
            </w:pPr>
            <w:r w:rsidRPr="00594BFA">
              <w:rPr>
                <w:rFonts w:ascii="Times New Roman" w:hAnsi="Times New Roman"/>
                <w:sz w:val="18"/>
                <w:lang w:val="en-US"/>
              </w:rPr>
              <w:t>4.05***</w:t>
            </w:r>
          </w:p>
        </w:tc>
        <w:tc>
          <w:tcPr>
            <w:tcW w:w="900" w:type="dxa"/>
            <w:tcMar>
              <w:top w:w="20" w:type="dxa"/>
              <w:left w:w="75" w:type="dxa"/>
              <w:bottom w:w="20" w:type="dxa"/>
              <w:right w:w="75" w:type="dxa"/>
            </w:tcMar>
          </w:tcPr>
          <w:p w14:paraId="510F8469" w14:textId="77777777" w:rsidR="00832A7E" w:rsidRPr="00594BFA" w:rsidRDefault="00000000">
            <w:pPr>
              <w:spacing w:before="20" w:after="20" w:line="240" w:lineRule="auto"/>
              <w:rPr>
                <w:lang w:val="en-US"/>
              </w:rPr>
            </w:pPr>
            <w:r w:rsidRPr="00594BFA">
              <w:rPr>
                <w:rFonts w:ascii="Times New Roman" w:hAnsi="Times New Roman"/>
                <w:sz w:val="18"/>
                <w:lang w:val="en-US"/>
              </w:rPr>
              <w:t>1179</w:t>
            </w:r>
          </w:p>
        </w:tc>
      </w:tr>
      <w:tr w:rsidR="00832A7E" w:rsidRPr="00594BFA" w14:paraId="6C3EFC0F" w14:textId="77777777">
        <w:tc>
          <w:tcPr>
            <w:tcW w:w="2700" w:type="dxa"/>
            <w:tcMar>
              <w:top w:w="20" w:type="dxa"/>
              <w:left w:w="75" w:type="dxa"/>
              <w:bottom w:w="20" w:type="dxa"/>
              <w:right w:w="75" w:type="dxa"/>
            </w:tcMar>
          </w:tcPr>
          <w:p w14:paraId="4AA85F7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8628F1A"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3818A77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4DE7ED1" w14:textId="77777777" w:rsidR="00832A7E" w:rsidRPr="00594BFA" w:rsidRDefault="00000000">
            <w:pPr>
              <w:spacing w:before="20" w:after="20" w:line="240" w:lineRule="auto"/>
              <w:rPr>
                <w:lang w:val="en-US"/>
              </w:rPr>
            </w:pPr>
            <w:r w:rsidRPr="00594BFA">
              <w:rPr>
                <w:rFonts w:ascii="Times New Roman" w:hAnsi="Times New Roman"/>
                <w:sz w:val="18"/>
                <w:lang w:val="en-US"/>
              </w:rPr>
              <w:t>(0.19)</w:t>
            </w:r>
          </w:p>
        </w:tc>
        <w:tc>
          <w:tcPr>
            <w:tcW w:w="900" w:type="dxa"/>
            <w:tcMar>
              <w:top w:w="20" w:type="dxa"/>
              <w:left w:w="75" w:type="dxa"/>
              <w:bottom w:w="20" w:type="dxa"/>
              <w:right w:w="75" w:type="dxa"/>
            </w:tcMar>
          </w:tcPr>
          <w:p w14:paraId="06B3DCF0"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D2FA1D4"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67601628"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D2FA1D4" w14:textId="77777777" w:rsidR="00832A7E" w:rsidRPr="00594BFA" w:rsidRDefault="00000000">
            <w:pPr>
              <w:spacing w:before="20" w:after="20" w:line="240" w:lineRule="auto"/>
              <w:rPr>
                <w:lang w:val="en-US"/>
              </w:rPr>
            </w:pPr>
            <w:r w:rsidRPr="00594BFA">
              <w:rPr>
                <w:rFonts w:ascii="Times New Roman" w:hAnsi="Times New Roman"/>
                <w:sz w:val="18"/>
                <w:lang w:val="en-US"/>
              </w:rPr>
              <w:t>(0.23)</w:t>
            </w:r>
          </w:p>
        </w:tc>
        <w:tc>
          <w:tcPr>
            <w:tcW w:w="900" w:type="dxa"/>
            <w:tcMar>
              <w:top w:w="20" w:type="dxa"/>
              <w:left w:w="75" w:type="dxa"/>
              <w:bottom w:w="20" w:type="dxa"/>
              <w:right w:w="75" w:type="dxa"/>
            </w:tcMar>
          </w:tcPr>
          <w:p w14:paraId="67601628" w14:textId="77777777" w:rsidR="00832A7E" w:rsidRPr="00594BFA" w:rsidRDefault="00832A7E">
            <w:pPr>
              <w:spacing w:before="20" w:after="20" w:line="240" w:lineRule="auto"/>
              <w:rPr>
                <w:lang w:val="en-US"/>
              </w:rPr>
            </w:pPr>
          </w:p>
        </w:tc>
      </w:tr>
      <w:tr w:rsidR="00832A7E" w:rsidRPr="00594BFA" w14:paraId="681302A1" w14:textId="77777777">
        <w:tc>
          <w:tcPr>
            <w:tcW w:w="2700" w:type="dxa"/>
            <w:tcMar>
              <w:top w:w="20" w:type="dxa"/>
              <w:left w:w="75" w:type="dxa"/>
              <w:bottom w:w="20" w:type="dxa"/>
              <w:right w:w="75" w:type="dxa"/>
            </w:tcMar>
          </w:tcPr>
          <w:p w14:paraId="4758AB22" w14:textId="77777777" w:rsidR="00832A7E" w:rsidRPr="00594BFA" w:rsidRDefault="00000000">
            <w:pPr>
              <w:spacing w:before="20" w:after="20" w:line="240" w:lineRule="auto"/>
              <w:rPr>
                <w:lang w:val="en-US"/>
              </w:rPr>
            </w:pPr>
            <w:r w:rsidRPr="00594BFA">
              <w:rPr>
                <w:rFonts w:ascii="Times New Roman" w:hAnsi="Times New Roman"/>
                <w:sz w:val="18"/>
                <w:lang w:val="en-US"/>
              </w:rPr>
              <w:t>Parking: reserved space (vs none)</w:t>
            </w:r>
          </w:p>
        </w:tc>
        <w:tc>
          <w:tcPr>
            <w:tcW w:w="1000" w:type="dxa"/>
            <w:tcMar>
              <w:top w:w="20" w:type="dxa"/>
              <w:left w:w="75" w:type="dxa"/>
              <w:bottom w:w="20" w:type="dxa"/>
              <w:right w:w="75" w:type="dxa"/>
            </w:tcMar>
          </w:tcPr>
          <w:p w14:paraId="2FAA0F8B" w14:textId="77777777" w:rsidR="00832A7E" w:rsidRPr="00594BFA" w:rsidRDefault="00000000">
            <w:pPr>
              <w:spacing w:before="20" w:after="20" w:line="240" w:lineRule="auto"/>
              <w:rPr>
                <w:lang w:val="en-US"/>
              </w:rPr>
            </w:pPr>
            <w:r w:rsidRPr="00594BFA">
              <w:rPr>
                <w:rFonts w:ascii="Times New Roman" w:hAnsi="Times New Roman"/>
                <w:sz w:val="18"/>
                <w:lang w:val="en-US"/>
              </w:rPr>
              <w:t>1.10***</w:t>
            </w:r>
          </w:p>
        </w:tc>
        <w:tc>
          <w:tcPr>
            <w:tcW w:w="900" w:type="dxa"/>
            <w:tcMar>
              <w:top w:w="20" w:type="dxa"/>
              <w:left w:w="75" w:type="dxa"/>
              <w:bottom w:w="20" w:type="dxa"/>
              <w:right w:w="75" w:type="dxa"/>
            </w:tcMar>
          </w:tcPr>
          <w:p w14:paraId="2A231952" w14:textId="77777777" w:rsidR="00832A7E" w:rsidRPr="00594BFA" w:rsidRDefault="00000000">
            <w:pPr>
              <w:spacing w:before="20" w:after="20" w:line="240" w:lineRule="auto"/>
              <w:rPr>
                <w:lang w:val="en-US"/>
              </w:rPr>
            </w:pPr>
            <w:r w:rsidRPr="00594BFA">
              <w:rPr>
                <w:rFonts w:ascii="Times New Roman" w:hAnsi="Times New Roman"/>
                <w:sz w:val="18"/>
                <w:lang w:val="en-US"/>
              </w:rPr>
              <w:t>345</w:t>
            </w:r>
          </w:p>
        </w:tc>
        <w:tc>
          <w:tcPr>
            <w:tcW w:w="1000" w:type="dxa"/>
            <w:tcMar>
              <w:top w:w="20" w:type="dxa"/>
              <w:left w:w="75" w:type="dxa"/>
              <w:bottom w:w="20" w:type="dxa"/>
              <w:right w:w="75" w:type="dxa"/>
            </w:tcMar>
          </w:tcPr>
          <w:p w14:paraId="1F8F1FC1" w14:textId="77777777" w:rsidR="00832A7E" w:rsidRPr="00594BFA" w:rsidRDefault="00000000">
            <w:pPr>
              <w:spacing w:before="20" w:after="20" w:line="240" w:lineRule="auto"/>
              <w:rPr>
                <w:lang w:val="en-US"/>
              </w:rPr>
            </w:pPr>
            <w:r w:rsidRPr="00594BFA">
              <w:rPr>
                <w:rFonts w:ascii="Times New Roman" w:hAnsi="Times New Roman"/>
                <w:sz w:val="18"/>
                <w:lang w:val="en-US"/>
              </w:rPr>
              <w:t>0.61**</w:t>
            </w:r>
          </w:p>
        </w:tc>
        <w:tc>
          <w:tcPr>
            <w:tcW w:w="900" w:type="dxa"/>
            <w:tcMar>
              <w:top w:w="20" w:type="dxa"/>
              <w:left w:w="75" w:type="dxa"/>
              <w:bottom w:w="20" w:type="dxa"/>
              <w:right w:w="75" w:type="dxa"/>
            </w:tcMar>
          </w:tcPr>
          <w:p w14:paraId="50C1F518" w14:textId="77777777" w:rsidR="00832A7E" w:rsidRPr="00594BFA" w:rsidRDefault="00000000">
            <w:pPr>
              <w:spacing w:before="20" w:after="20" w:line="240" w:lineRule="auto"/>
              <w:rPr>
                <w:lang w:val="en-US"/>
              </w:rPr>
            </w:pPr>
            <w:r w:rsidRPr="00594BFA">
              <w:rPr>
                <w:rFonts w:ascii="Times New Roman" w:hAnsi="Times New Roman"/>
                <w:sz w:val="18"/>
                <w:lang w:val="en-US"/>
              </w:rPr>
              <w:t>174</w:t>
            </w:r>
          </w:p>
        </w:tc>
        <w:tc>
          <w:tcPr>
            <w:tcW w:w="1000" w:type="dxa"/>
            <w:tcMar>
              <w:top w:w="20" w:type="dxa"/>
              <w:left w:w="75" w:type="dxa"/>
              <w:bottom w:w="20" w:type="dxa"/>
              <w:right w:w="75" w:type="dxa"/>
            </w:tcMar>
          </w:tcPr>
          <w:p w14:paraId="3BE48C96" w14:textId="77777777" w:rsidR="00832A7E" w:rsidRPr="00594BFA" w:rsidRDefault="00000000">
            <w:pPr>
              <w:spacing w:before="20" w:after="20" w:line="240" w:lineRule="auto"/>
              <w:rPr>
                <w:lang w:val="en-US"/>
              </w:rPr>
            </w:pPr>
            <w:r w:rsidRPr="00594BFA">
              <w:rPr>
                <w:rFonts w:ascii="Times New Roman" w:hAnsi="Times New Roman"/>
                <w:sz w:val="18"/>
                <w:lang w:val="en-US"/>
              </w:rPr>
              <w:t>0.51</w:t>
            </w:r>
          </w:p>
        </w:tc>
        <w:tc>
          <w:tcPr>
            <w:tcW w:w="900" w:type="dxa"/>
            <w:tcMar>
              <w:top w:w="20" w:type="dxa"/>
              <w:left w:w="75" w:type="dxa"/>
              <w:bottom w:w="20" w:type="dxa"/>
              <w:right w:w="75" w:type="dxa"/>
            </w:tcMar>
          </w:tcPr>
          <w:p w14:paraId="49F21B6D" w14:textId="77777777" w:rsidR="00832A7E" w:rsidRPr="00594BFA" w:rsidRDefault="00000000">
            <w:pPr>
              <w:spacing w:before="20" w:after="20" w:line="240" w:lineRule="auto"/>
              <w:rPr>
                <w:lang w:val="en-US"/>
              </w:rPr>
            </w:pPr>
            <w:r w:rsidRPr="00594BFA">
              <w:rPr>
                <w:rFonts w:ascii="Times New Roman" w:hAnsi="Times New Roman"/>
                <w:sz w:val="18"/>
                <w:lang w:val="en-US"/>
              </w:rPr>
              <w:t>34</w:t>
            </w:r>
          </w:p>
        </w:tc>
        <w:tc>
          <w:tcPr>
            <w:tcW w:w="1000" w:type="dxa"/>
            <w:tcMar>
              <w:top w:w="20" w:type="dxa"/>
              <w:left w:w="75" w:type="dxa"/>
              <w:bottom w:w="20" w:type="dxa"/>
              <w:right w:w="75" w:type="dxa"/>
            </w:tcMar>
          </w:tcPr>
          <w:p w14:paraId="3BE48C96" w14:textId="77777777" w:rsidR="00832A7E" w:rsidRPr="00594BFA" w:rsidRDefault="00000000">
            <w:pPr>
              <w:spacing w:before="20" w:after="20" w:line="240" w:lineRule="auto"/>
              <w:rPr>
                <w:lang w:val="en-US"/>
              </w:rPr>
            </w:pPr>
            <w:r w:rsidRPr="00594BFA">
              <w:rPr>
                <w:rFonts w:ascii="Times New Roman" w:hAnsi="Times New Roman"/>
                <w:sz w:val="18"/>
                <w:lang w:val="en-US"/>
              </w:rPr>
              <w:t>3.44***</w:t>
            </w:r>
          </w:p>
        </w:tc>
        <w:tc>
          <w:tcPr>
            <w:tcW w:w="900" w:type="dxa"/>
            <w:tcMar>
              <w:top w:w="20" w:type="dxa"/>
              <w:left w:w="75" w:type="dxa"/>
              <w:bottom w:w="20" w:type="dxa"/>
              <w:right w:w="75" w:type="dxa"/>
            </w:tcMar>
          </w:tcPr>
          <w:p w14:paraId="49F21B6D" w14:textId="77777777" w:rsidR="00832A7E" w:rsidRPr="00594BFA" w:rsidRDefault="00000000">
            <w:pPr>
              <w:spacing w:before="20" w:after="20" w:line="240" w:lineRule="auto"/>
              <w:rPr>
                <w:lang w:val="en-US"/>
              </w:rPr>
            </w:pPr>
            <w:r w:rsidRPr="00594BFA">
              <w:rPr>
                <w:rFonts w:ascii="Times New Roman" w:hAnsi="Times New Roman"/>
                <w:sz w:val="18"/>
                <w:lang w:val="en-US"/>
              </w:rPr>
              <w:t>1002</w:t>
            </w:r>
          </w:p>
        </w:tc>
      </w:tr>
      <w:tr w:rsidR="00832A7E" w:rsidRPr="00594BFA" w14:paraId="41ED8D8A" w14:textId="77777777">
        <w:tc>
          <w:tcPr>
            <w:tcW w:w="2700" w:type="dxa"/>
            <w:tcMar>
              <w:top w:w="20" w:type="dxa"/>
              <w:left w:w="75" w:type="dxa"/>
              <w:bottom w:w="20" w:type="dxa"/>
              <w:right w:w="75" w:type="dxa"/>
            </w:tcMar>
          </w:tcPr>
          <w:p w14:paraId="3C58D91E"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78E2CB0" w14:textId="77777777" w:rsidR="00832A7E" w:rsidRPr="00594BFA" w:rsidRDefault="00000000">
            <w:pPr>
              <w:spacing w:before="20" w:after="20" w:line="240" w:lineRule="auto"/>
              <w:rPr>
                <w:lang w:val="en-US"/>
              </w:rPr>
            </w:pPr>
            <w:r w:rsidRPr="00594BFA">
              <w:rPr>
                <w:rFonts w:ascii="Times New Roman" w:hAnsi="Times New Roman"/>
                <w:sz w:val="18"/>
                <w:lang w:val="en-US"/>
              </w:rPr>
              <w:t>(0.18)</w:t>
            </w:r>
          </w:p>
        </w:tc>
        <w:tc>
          <w:tcPr>
            <w:tcW w:w="900" w:type="dxa"/>
            <w:tcMar>
              <w:top w:w="20" w:type="dxa"/>
              <w:left w:w="75" w:type="dxa"/>
              <w:bottom w:w="20" w:type="dxa"/>
              <w:right w:w="75" w:type="dxa"/>
            </w:tcMar>
          </w:tcPr>
          <w:p w14:paraId="64553F24"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56434CD" w14:textId="77777777" w:rsidR="00832A7E" w:rsidRPr="00594BFA" w:rsidRDefault="00000000">
            <w:pPr>
              <w:spacing w:before="20" w:after="20" w:line="240" w:lineRule="auto"/>
              <w:rPr>
                <w:lang w:val="en-US"/>
              </w:rPr>
            </w:pPr>
            <w:r w:rsidRPr="00594BFA">
              <w:rPr>
                <w:rFonts w:ascii="Times New Roman" w:hAnsi="Times New Roman"/>
                <w:sz w:val="18"/>
                <w:lang w:val="en-US"/>
              </w:rPr>
              <w:t>(0.22)</w:t>
            </w:r>
          </w:p>
        </w:tc>
        <w:tc>
          <w:tcPr>
            <w:tcW w:w="900" w:type="dxa"/>
            <w:tcMar>
              <w:top w:w="20" w:type="dxa"/>
              <w:left w:w="75" w:type="dxa"/>
              <w:bottom w:w="20" w:type="dxa"/>
              <w:right w:w="75" w:type="dxa"/>
            </w:tcMar>
          </w:tcPr>
          <w:p w14:paraId="604A6573"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122E9D6" w14:textId="77777777" w:rsidR="00832A7E" w:rsidRPr="00594BFA" w:rsidRDefault="00000000">
            <w:pPr>
              <w:spacing w:before="20" w:after="20" w:line="240" w:lineRule="auto"/>
              <w:rPr>
                <w:lang w:val="en-US"/>
              </w:rPr>
            </w:pPr>
            <w:r w:rsidRPr="00594BFA">
              <w:rPr>
                <w:rFonts w:ascii="Times New Roman" w:hAnsi="Times New Roman"/>
                <w:sz w:val="18"/>
                <w:lang w:val="en-US"/>
              </w:rPr>
              <w:t>(0.26)</w:t>
            </w:r>
          </w:p>
        </w:tc>
        <w:tc>
          <w:tcPr>
            <w:tcW w:w="900" w:type="dxa"/>
            <w:tcMar>
              <w:top w:w="20" w:type="dxa"/>
              <w:left w:w="75" w:type="dxa"/>
              <w:bottom w:w="20" w:type="dxa"/>
              <w:right w:w="75" w:type="dxa"/>
            </w:tcMar>
          </w:tcPr>
          <w:p w14:paraId="53717049"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2122E9D6" w14:textId="77777777" w:rsidR="00832A7E" w:rsidRPr="00594BFA" w:rsidRDefault="00000000">
            <w:pPr>
              <w:spacing w:before="20" w:after="20" w:line="240" w:lineRule="auto"/>
              <w:rPr>
                <w:lang w:val="en-US"/>
              </w:rPr>
            </w:pPr>
            <w:r w:rsidRPr="00594BFA">
              <w:rPr>
                <w:rFonts w:ascii="Times New Roman" w:hAnsi="Times New Roman"/>
                <w:sz w:val="18"/>
                <w:lang w:val="en-US"/>
              </w:rPr>
              <w:t>(0.20)</w:t>
            </w:r>
          </w:p>
        </w:tc>
        <w:tc>
          <w:tcPr>
            <w:tcW w:w="900" w:type="dxa"/>
            <w:tcMar>
              <w:top w:w="20" w:type="dxa"/>
              <w:left w:w="75" w:type="dxa"/>
              <w:bottom w:w="20" w:type="dxa"/>
              <w:right w:w="75" w:type="dxa"/>
            </w:tcMar>
          </w:tcPr>
          <w:p w14:paraId="53717049" w14:textId="77777777" w:rsidR="00832A7E" w:rsidRPr="00594BFA" w:rsidRDefault="00832A7E">
            <w:pPr>
              <w:spacing w:before="20" w:after="20" w:line="240" w:lineRule="auto"/>
              <w:rPr>
                <w:lang w:val="en-US"/>
              </w:rPr>
            </w:pPr>
          </w:p>
        </w:tc>
      </w:tr>
      <w:tr w:rsidR="00832A7E" w:rsidRPr="00594BFA" w14:paraId="4E842487" w14:textId="77777777">
        <w:tc>
          <w:tcPr>
            <w:tcW w:w="2700" w:type="dxa"/>
            <w:tcMar>
              <w:top w:w="20" w:type="dxa"/>
              <w:left w:w="75" w:type="dxa"/>
              <w:bottom w:w="20" w:type="dxa"/>
              <w:right w:w="75" w:type="dxa"/>
            </w:tcMar>
          </w:tcPr>
          <w:p w14:paraId="515BCBFC" w14:textId="77777777" w:rsidR="00832A7E" w:rsidRPr="00594BFA" w:rsidRDefault="00000000">
            <w:pPr>
              <w:spacing w:before="20" w:after="20" w:line="240" w:lineRule="auto"/>
              <w:rPr>
                <w:lang w:val="en-US"/>
              </w:rPr>
            </w:pPr>
            <w:r w:rsidRPr="00594BFA">
              <w:rPr>
                <w:rFonts w:ascii="Times New Roman" w:hAnsi="Times New Roman"/>
                <w:sz w:val="18"/>
                <w:lang w:val="en-US"/>
              </w:rPr>
              <w:t>Price</w:t>
            </w:r>
          </w:p>
        </w:tc>
        <w:tc>
          <w:tcPr>
            <w:tcW w:w="1000" w:type="dxa"/>
            <w:tcMar>
              <w:top w:w="20" w:type="dxa"/>
              <w:left w:w="75" w:type="dxa"/>
              <w:bottom w:w="20" w:type="dxa"/>
              <w:right w:w="75" w:type="dxa"/>
            </w:tcMar>
          </w:tcPr>
          <w:p w14:paraId="49AD6F1E" w14:textId="77777777" w:rsidR="00832A7E" w:rsidRPr="00594BFA" w:rsidRDefault="00000000">
            <w:pPr>
              <w:spacing w:before="20" w:after="20" w:line="240" w:lineRule="auto"/>
              <w:rPr>
                <w:lang w:val="en-US"/>
              </w:rPr>
            </w:pPr>
            <w:r w:rsidRPr="00594BFA">
              <w:rPr>
                <w:rFonts w:ascii="Times New Roman" w:hAnsi="Times New Roman"/>
                <w:sz w:val="18"/>
                <w:lang w:val="en-US"/>
              </w:rPr>
              <w:t>-2.87***</w:t>
            </w:r>
          </w:p>
        </w:tc>
        <w:tc>
          <w:tcPr>
            <w:tcW w:w="900" w:type="dxa"/>
            <w:tcMar>
              <w:top w:w="20" w:type="dxa"/>
              <w:left w:w="75" w:type="dxa"/>
              <w:bottom w:w="20" w:type="dxa"/>
              <w:right w:w="75" w:type="dxa"/>
            </w:tcMar>
          </w:tcPr>
          <w:p w14:paraId="1D8CB34F"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39C79645" w14:textId="77777777" w:rsidR="00832A7E" w:rsidRPr="00594BFA" w:rsidRDefault="00000000">
            <w:pPr>
              <w:spacing w:before="20" w:after="20" w:line="240" w:lineRule="auto"/>
              <w:rPr>
                <w:lang w:val="en-US"/>
              </w:rPr>
            </w:pPr>
            <w:r w:rsidRPr="00594BFA">
              <w:rPr>
                <w:rFonts w:ascii="Times New Roman" w:hAnsi="Times New Roman"/>
                <w:sz w:val="18"/>
                <w:lang w:val="en-US"/>
              </w:rPr>
              <w:t>-3.15***</w:t>
            </w:r>
          </w:p>
        </w:tc>
        <w:tc>
          <w:tcPr>
            <w:tcW w:w="900" w:type="dxa"/>
            <w:tcMar>
              <w:top w:w="20" w:type="dxa"/>
              <w:left w:w="75" w:type="dxa"/>
              <w:bottom w:w="20" w:type="dxa"/>
              <w:right w:w="75" w:type="dxa"/>
            </w:tcMar>
          </w:tcPr>
          <w:p w14:paraId="38DCB43A"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5FAE2C6" w14:textId="77777777" w:rsidR="00832A7E" w:rsidRPr="00594BFA" w:rsidRDefault="00000000">
            <w:pPr>
              <w:spacing w:before="20" w:after="20" w:line="240" w:lineRule="auto"/>
              <w:rPr>
                <w:lang w:val="en-US"/>
              </w:rPr>
            </w:pPr>
            <w:r w:rsidRPr="00594BFA">
              <w:rPr>
                <w:rFonts w:ascii="Times New Roman" w:hAnsi="Times New Roman"/>
                <w:sz w:val="18"/>
                <w:lang w:val="en-US"/>
              </w:rPr>
              <w:t>-13.64***</w:t>
            </w:r>
          </w:p>
        </w:tc>
        <w:tc>
          <w:tcPr>
            <w:tcW w:w="900" w:type="dxa"/>
            <w:tcMar>
              <w:top w:w="20" w:type="dxa"/>
              <w:left w:w="75" w:type="dxa"/>
              <w:bottom w:w="20" w:type="dxa"/>
              <w:right w:w="75" w:type="dxa"/>
            </w:tcMar>
          </w:tcPr>
          <w:p w14:paraId="04DA8745" w14:textId="77777777" w:rsidR="00832A7E" w:rsidRPr="00594BFA" w:rsidRDefault="00832A7E">
            <w:pPr>
              <w:spacing w:before="20" w:after="20" w:line="240" w:lineRule="auto"/>
              <w:rPr>
                <w:lang w:val="en-US"/>
              </w:rPr>
            </w:pPr>
          </w:p>
        </w:tc>
        <w:tc>
          <w:tcPr>
            <w:tcW w:w="1000" w:type="dxa"/>
            <w:tcMar>
              <w:top w:w="20" w:type="dxa"/>
              <w:left w:w="75" w:type="dxa"/>
              <w:bottom w:w="20" w:type="dxa"/>
              <w:right w:w="75" w:type="dxa"/>
            </w:tcMar>
          </w:tcPr>
          <w:p w14:paraId="05FAE2C6" w14:textId="77777777" w:rsidR="00832A7E" w:rsidRPr="00594BFA" w:rsidRDefault="00000000">
            <w:pPr>
              <w:spacing w:before="20" w:after="20" w:line="240" w:lineRule="auto"/>
              <w:rPr>
                <w:lang w:val="en-US"/>
              </w:rPr>
            </w:pPr>
            <w:r w:rsidRPr="00594BFA">
              <w:rPr>
                <w:rFonts w:ascii="Times New Roman" w:hAnsi="Times New Roman"/>
                <w:sz w:val="18"/>
                <w:lang w:val="en-US"/>
              </w:rPr>
              <w:t>-3.09***</w:t>
            </w:r>
          </w:p>
        </w:tc>
        <w:tc>
          <w:tcPr>
            <w:tcW w:w="900" w:type="dxa"/>
            <w:tcMar>
              <w:top w:w="20" w:type="dxa"/>
              <w:left w:w="75" w:type="dxa"/>
              <w:bottom w:w="20" w:type="dxa"/>
              <w:right w:w="75" w:type="dxa"/>
            </w:tcMar>
          </w:tcPr>
          <w:p w14:paraId="04DA8745" w14:textId="77777777" w:rsidR="00832A7E" w:rsidRPr="00594BFA" w:rsidRDefault="00832A7E">
            <w:pPr>
              <w:spacing w:before="20" w:after="20" w:line="240" w:lineRule="auto"/>
              <w:rPr>
                <w:lang w:val="en-US"/>
              </w:rPr>
            </w:pPr>
          </w:p>
        </w:tc>
      </w:tr>
      <w:tr w:rsidR="00832A7E" w:rsidRPr="00594BFA" w14:paraId="1C302069" w14:textId="77777777">
        <w:tc>
          <w:tcPr>
            <w:tcW w:w="2700" w:type="dxa"/>
            <w:tcMar>
              <w:top w:w="20" w:type="dxa"/>
              <w:left w:w="75" w:type="dxa"/>
              <w:bottom w:w="20" w:type="dxa"/>
              <w:right w:w="75" w:type="dxa"/>
            </w:tcMar>
          </w:tcPr>
          <w:p w14:paraId="3E7A2D4E" w14:textId="77777777" w:rsidR="00832A7E" w:rsidRPr="00594BFA" w:rsidRDefault="00832A7E">
            <w:pPr>
              <w:rPr>
                <w:lang w:val="en-US"/>
              </w:rPr>
            </w:pPr>
          </w:p>
        </w:tc>
        <w:tc>
          <w:tcPr>
            <w:tcW w:w="1000" w:type="dxa"/>
            <w:tcMar>
              <w:top w:w="20" w:type="dxa"/>
              <w:left w:w="75" w:type="dxa"/>
              <w:bottom w:w="20" w:type="dxa"/>
              <w:right w:w="75" w:type="dxa"/>
            </w:tcMar>
          </w:tcPr>
          <w:p w14:paraId="7028D024" w14:textId="77777777" w:rsidR="00832A7E" w:rsidRPr="00594BFA" w:rsidRDefault="00000000">
            <w:pPr>
              <w:spacing w:before="20" w:after="20" w:line="240" w:lineRule="auto"/>
              <w:rPr>
                <w:lang w:val="en-US"/>
              </w:rPr>
            </w:pPr>
            <w:r w:rsidRPr="00594BFA">
              <w:rPr>
                <w:rFonts w:ascii="Times New Roman" w:hAnsi="Times New Roman"/>
                <w:sz w:val="18"/>
                <w:lang w:val="en-US"/>
              </w:rPr>
              <w:t>(0.71)</w:t>
            </w:r>
          </w:p>
        </w:tc>
        <w:tc>
          <w:tcPr>
            <w:tcW w:w="900" w:type="dxa"/>
            <w:tcMar>
              <w:top w:w="20" w:type="dxa"/>
              <w:left w:w="75" w:type="dxa"/>
              <w:bottom w:w="20" w:type="dxa"/>
              <w:right w:w="75" w:type="dxa"/>
            </w:tcMar>
          </w:tcPr>
          <w:p w14:paraId="68C5E7DE" w14:textId="77777777" w:rsidR="00832A7E" w:rsidRPr="00594BFA" w:rsidRDefault="00832A7E">
            <w:pPr>
              <w:rPr>
                <w:lang w:val="en-US"/>
              </w:rPr>
            </w:pPr>
          </w:p>
        </w:tc>
        <w:tc>
          <w:tcPr>
            <w:tcW w:w="1000" w:type="dxa"/>
            <w:tcMar>
              <w:top w:w="20" w:type="dxa"/>
              <w:left w:w="75" w:type="dxa"/>
              <w:bottom w:w="20" w:type="dxa"/>
              <w:right w:w="75" w:type="dxa"/>
            </w:tcMar>
          </w:tcPr>
          <w:p w14:paraId="0B5D13FB" w14:textId="77777777" w:rsidR="00832A7E" w:rsidRPr="00594BFA" w:rsidRDefault="00000000">
            <w:pPr>
              <w:spacing w:before="20" w:after="20" w:line="240" w:lineRule="auto"/>
              <w:rPr>
                <w:lang w:val="en-US"/>
              </w:rPr>
            </w:pPr>
            <w:r w:rsidRPr="00594BFA">
              <w:rPr>
                <w:rFonts w:ascii="Times New Roman" w:hAnsi="Times New Roman"/>
                <w:sz w:val="18"/>
                <w:lang w:val="en-US"/>
              </w:rPr>
              <w:t>(0.58)</w:t>
            </w:r>
          </w:p>
        </w:tc>
        <w:tc>
          <w:tcPr>
            <w:tcW w:w="900" w:type="dxa"/>
            <w:tcMar>
              <w:top w:w="20" w:type="dxa"/>
              <w:left w:w="75" w:type="dxa"/>
              <w:bottom w:w="20" w:type="dxa"/>
              <w:right w:w="75" w:type="dxa"/>
            </w:tcMar>
          </w:tcPr>
          <w:p w14:paraId="0CD43FFB" w14:textId="77777777" w:rsidR="00832A7E" w:rsidRPr="00594BFA" w:rsidRDefault="00832A7E">
            <w:pPr>
              <w:rPr>
                <w:lang w:val="en-US"/>
              </w:rPr>
            </w:pPr>
          </w:p>
        </w:tc>
        <w:tc>
          <w:tcPr>
            <w:tcW w:w="1000" w:type="dxa"/>
            <w:tcMar>
              <w:top w:w="20" w:type="dxa"/>
              <w:left w:w="75" w:type="dxa"/>
              <w:bottom w:w="20" w:type="dxa"/>
              <w:right w:w="75" w:type="dxa"/>
            </w:tcMar>
          </w:tcPr>
          <w:p w14:paraId="45A731B6" w14:textId="77777777" w:rsidR="00832A7E" w:rsidRPr="00594BFA" w:rsidRDefault="00000000">
            <w:pPr>
              <w:spacing w:before="20" w:after="20" w:line="240" w:lineRule="auto"/>
              <w:rPr>
                <w:lang w:val="en-US"/>
              </w:rPr>
            </w:pPr>
            <w:r w:rsidRPr="00594BFA">
              <w:rPr>
                <w:rFonts w:ascii="Times New Roman" w:hAnsi="Times New Roman"/>
                <w:sz w:val="18"/>
                <w:lang w:val="en-US"/>
              </w:rPr>
              <w:t>(2.32)</w:t>
            </w:r>
          </w:p>
        </w:tc>
        <w:tc>
          <w:tcPr>
            <w:tcW w:w="900" w:type="dxa"/>
            <w:tcMar>
              <w:top w:w="20" w:type="dxa"/>
              <w:left w:w="75" w:type="dxa"/>
              <w:bottom w:w="20" w:type="dxa"/>
              <w:right w:w="75" w:type="dxa"/>
            </w:tcMar>
          </w:tcPr>
          <w:p w14:paraId="3A2AEF6E" w14:textId="77777777" w:rsidR="00832A7E" w:rsidRPr="00594BFA" w:rsidRDefault="00832A7E">
            <w:pPr>
              <w:rPr>
                <w:lang w:val="en-US"/>
              </w:rPr>
            </w:pPr>
          </w:p>
        </w:tc>
        <w:tc>
          <w:tcPr>
            <w:tcW w:w="1000" w:type="dxa"/>
            <w:tcMar>
              <w:top w:w="20" w:type="dxa"/>
              <w:left w:w="75" w:type="dxa"/>
              <w:bottom w:w="20" w:type="dxa"/>
              <w:right w:w="75" w:type="dxa"/>
            </w:tcMar>
          </w:tcPr>
          <w:p w14:paraId="45A731B6" w14:textId="77777777" w:rsidR="00832A7E" w:rsidRPr="00594BFA" w:rsidRDefault="00000000">
            <w:pPr>
              <w:spacing w:before="20" w:after="20" w:line="240" w:lineRule="auto"/>
              <w:rPr>
                <w:lang w:val="en-US"/>
              </w:rPr>
            </w:pPr>
            <w:r w:rsidRPr="00594BFA">
              <w:rPr>
                <w:rFonts w:ascii="Times New Roman" w:hAnsi="Times New Roman"/>
                <w:sz w:val="18"/>
                <w:lang w:val="en-US"/>
              </w:rPr>
              <w:t>(0.34)</w:t>
            </w:r>
          </w:p>
        </w:tc>
        <w:tc>
          <w:tcPr>
            <w:tcW w:w="900" w:type="dxa"/>
            <w:tcMar>
              <w:top w:w="20" w:type="dxa"/>
              <w:left w:w="75" w:type="dxa"/>
              <w:bottom w:w="20" w:type="dxa"/>
              <w:right w:w="75" w:type="dxa"/>
            </w:tcMar>
          </w:tcPr>
          <w:p w14:paraId="3A2AEF6E" w14:textId="77777777" w:rsidR="00832A7E" w:rsidRPr="00594BFA" w:rsidRDefault="00832A7E">
            <w:pPr>
              <w:rPr>
                <w:lang w:val="en-US"/>
              </w:rPr>
            </w:pPr>
          </w:p>
        </w:tc>
      </w:tr>
      <w:tr w:rsidR="00832A7E" w:rsidRPr="00594BFA" w14:paraId="6CC81EE6" w14:textId="77777777">
        <w:tc>
          <w:tcPr>
            <w:tcW w:w="2700" w:type="dxa"/>
            <w:tcBorders>
              <w:top w:val="single" w:sz="4" w:space="0" w:color="auto"/>
              <w:bottom w:val="single" w:sz="4" w:space="0" w:color="auto"/>
            </w:tcBorders>
            <w:tcMar>
              <w:top w:w="20" w:type="dxa"/>
              <w:left w:w="75" w:type="dxa"/>
              <w:bottom w:w="20" w:type="dxa"/>
              <w:right w:w="75" w:type="dxa"/>
            </w:tcMar>
          </w:tcPr>
          <w:p w14:paraId="7D5820A0" w14:textId="77777777" w:rsidR="00832A7E" w:rsidRPr="00594BFA" w:rsidRDefault="00000000">
            <w:pPr>
              <w:spacing w:before="20" w:after="20" w:line="240" w:lineRule="auto"/>
              <w:rPr>
                <w:lang w:val="en-US"/>
              </w:rPr>
            </w:pPr>
            <w:r w:rsidRPr="00594BFA">
              <w:rPr>
                <w:rFonts w:ascii="Times New Roman" w:hAnsi="Times New Roman"/>
                <w:b/>
                <w:sz w:val="18"/>
                <w:lang w:val="en-US"/>
              </w:rPr>
              <w:t>Class share (%)</w:t>
            </w:r>
          </w:p>
        </w:tc>
        <w:tc>
          <w:tcPr>
            <w:tcW w:w="1000" w:type="dxa"/>
            <w:tcBorders>
              <w:top w:val="single" w:sz="4" w:space="0" w:color="auto"/>
              <w:bottom w:val="single" w:sz="4" w:space="0" w:color="auto"/>
            </w:tcBorders>
            <w:tcMar>
              <w:top w:w="20" w:type="dxa"/>
              <w:left w:w="75" w:type="dxa"/>
              <w:bottom w:w="20" w:type="dxa"/>
              <w:right w:w="75" w:type="dxa"/>
            </w:tcMar>
          </w:tcPr>
          <w:p w14:paraId="38E89B14" w14:textId="77777777" w:rsidR="00832A7E" w:rsidRPr="00594BFA" w:rsidRDefault="00000000">
            <w:pPr>
              <w:spacing w:before="20" w:after="20" w:line="240" w:lineRule="auto"/>
              <w:rPr>
                <w:lang w:val="en-US"/>
              </w:rPr>
            </w:pPr>
            <w:r w:rsidRPr="00594BFA">
              <w:rPr>
                <w:rFonts w:ascii="Times New Roman" w:hAnsi="Times New Roman"/>
                <w:b/>
                <w:sz w:val="18"/>
                <w:lang w:val="en-US"/>
              </w:rPr>
              <w:t>25.7</w:t>
            </w:r>
          </w:p>
        </w:tc>
        <w:tc>
          <w:tcPr>
            <w:tcW w:w="900" w:type="dxa"/>
            <w:tcBorders>
              <w:top w:val="single" w:sz="4" w:space="0" w:color="auto"/>
              <w:bottom w:val="single" w:sz="4" w:space="0" w:color="auto"/>
            </w:tcBorders>
            <w:tcMar>
              <w:top w:w="20" w:type="dxa"/>
              <w:left w:w="75" w:type="dxa"/>
              <w:bottom w:w="20" w:type="dxa"/>
              <w:right w:w="75" w:type="dxa"/>
            </w:tcMar>
          </w:tcPr>
          <w:p w14:paraId="4E9218F8"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55D4BF9A" w14:textId="77777777" w:rsidR="00832A7E" w:rsidRPr="00594BFA" w:rsidRDefault="00000000">
            <w:pPr>
              <w:spacing w:before="20" w:after="20" w:line="240" w:lineRule="auto"/>
              <w:rPr>
                <w:lang w:val="en-US"/>
              </w:rPr>
            </w:pPr>
            <w:r w:rsidRPr="00594BFA">
              <w:rPr>
                <w:rFonts w:ascii="Times New Roman" w:hAnsi="Times New Roman"/>
                <w:b/>
                <w:sz w:val="18"/>
                <w:lang w:val="en-US"/>
              </w:rPr>
              <w:t>22.1</w:t>
            </w:r>
          </w:p>
        </w:tc>
        <w:tc>
          <w:tcPr>
            <w:tcW w:w="900" w:type="dxa"/>
            <w:tcBorders>
              <w:top w:val="single" w:sz="4" w:space="0" w:color="auto"/>
              <w:bottom w:val="single" w:sz="4" w:space="0" w:color="auto"/>
            </w:tcBorders>
            <w:tcMar>
              <w:top w:w="20" w:type="dxa"/>
              <w:left w:w="75" w:type="dxa"/>
              <w:bottom w:w="20" w:type="dxa"/>
              <w:right w:w="75" w:type="dxa"/>
            </w:tcMar>
          </w:tcPr>
          <w:p w14:paraId="5DC76B28"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4666D32B" w14:textId="77777777" w:rsidR="00832A7E" w:rsidRPr="00594BFA" w:rsidRDefault="00000000">
            <w:pPr>
              <w:spacing w:before="20" w:after="20" w:line="240" w:lineRule="auto"/>
              <w:rPr>
                <w:lang w:val="en-US"/>
              </w:rPr>
            </w:pPr>
            <w:r w:rsidRPr="00594BFA">
              <w:rPr>
                <w:rFonts w:ascii="Times New Roman" w:hAnsi="Times New Roman"/>
                <w:b/>
                <w:sz w:val="18"/>
                <w:lang w:val="en-US"/>
              </w:rPr>
              <w:t>16.6</w:t>
            </w:r>
          </w:p>
        </w:tc>
        <w:tc>
          <w:tcPr>
            <w:tcW w:w="900" w:type="dxa"/>
            <w:tcBorders>
              <w:top w:val="single" w:sz="4" w:space="0" w:color="auto"/>
              <w:bottom w:val="single" w:sz="4" w:space="0" w:color="auto"/>
            </w:tcBorders>
            <w:tcMar>
              <w:top w:w="20" w:type="dxa"/>
              <w:left w:w="75" w:type="dxa"/>
              <w:bottom w:w="20" w:type="dxa"/>
              <w:right w:w="75" w:type="dxa"/>
            </w:tcMar>
          </w:tcPr>
          <w:p w14:paraId="71BFF933" w14:textId="77777777" w:rsidR="00832A7E" w:rsidRPr="00594BFA" w:rsidRDefault="00832A7E">
            <w:pPr>
              <w:spacing w:before="20" w:after="20" w:line="240" w:lineRule="auto"/>
              <w:rPr>
                <w:lang w:val="en-US"/>
              </w:rPr>
            </w:pPr>
          </w:p>
        </w:tc>
        <w:tc>
          <w:tcPr>
            <w:tcW w:w="1000" w:type="dxa"/>
            <w:tcBorders>
              <w:top w:val="single" w:sz="4" w:space="0" w:color="auto"/>
              <w:bottom w:val="single" w:sz="4" w:space="0" w:color="auto"/>
            </w:tcBorders>
            <w:tcMar>
              <w:top w:w="20" w:type="dxa"/>
              <w:left w:w="75" w:type="dxa"/>
              <w:bottom w:w="20" w:type="dxa"/>
              <w:right w:w="75" w:type="dxa"/>
            </w:tcMar>
          </w:tcPr>
          <w:p w14:paraId="4666D32B" w14:textId="77777777" w:rsidR="00832A7E" w:rsidRPr="00594BFA" w:rsidRDefault="00000000">
            <w:pPr>
              <w:spacing w:before="20" w:after="20" w:line="240" w:lineRule="auto"/>
              <w:rPr>
                <w:lang w:val="en-US"/>
              </w:rPr>
            </w:pPr>
            <w:r w:rsidRPr="00594BFA">
              <w:rPr>
                <w:rFonts w:ascii="Times New Roman" w:hAnsi="Times New Roman"/>
                <w:b/>
                <w:sz w:val="18"/>
                <w:lang w:val="en-US"/>
              </w:rPr>
              <w:t>35.6</w:t>
            </w:r>
          </w:p>
        </w:tc>
        <w:tc>
          <w:tcPr>
            <w:tcW w:w="900" w:type="dxa"/>
            <w:tcBorders>
              <w:top w:val="single" w:sz="4" w:space="0" w:color="auto"/>
              <w:bottom w:val="single" w:sz="4" w:space="0" w:color="auto"/>
            </w:tcBorders>
            <w:tcMar>
              <w:top w:w="20" w:type="dxa"/>
              <w:left w:w="75" w:type="dxa"/>
              <w:bottom w:w="20" w:type="dxa"/>
              <w:right w:w="75" w:type="dxa"/>
            </w:tcMar>
          </w:tcPr>
          <w:p w14:paraId="71BFF933" w14:textId="77777777" w:rsidR="00832A7E" w:rsidRPr="00594BFA" w:rsidRDefault="00832A7E">
            <w:pPr>
              <w:spacing w:before="20" w:after="20" w:line="240" w:lineRule="auto"/>
              <w:rPr>
                <w:lang w:val="en-US"/>
              </w:rPr>
            </w:pPr>
          </w:p>
        </w:tc>
      </w:tr>
      <w:tr w:rsidR="00832A7E" w:rsidRPr="00594BFA" w14:paraId="0C6F5A3B" w14:textId="77777777">
        <w:tc>
          <w:tcPr>
            <w:tcW w:w="8400" w:type="dxa"/>
            <w:gridSpan w:val="9"/>
            <w:tcBorders>
              <w:top w:val="single" w:sz="4" w:space="0" w:color="auto"/>
            </w:tcBorders>
          </w:tcPr>
          <w:p w14:paraId="545643AE" w14:textId="77777777" w:rsidR="00832A7E" w:rsidRPr="00594BFA" w:rsidRDefault="00000000">
            <w:pPr>
              <w:spacing w:before="20" w:after="20" w:line="240" w:lineRule="auto"/>
              <w:rPr>
                <w:lang w:val="en-US"/>
              </w:rPr>
            </w:pPr>
            <w:r w:rsidRPr="00594BFA">
              <w:rPr>
                <w:rFonts w:ascii="Times New Roman" w:hAnsi="Times New Roman"/>
                <w:sz w:val="16"/>
                <w:lang w:val="en-US"/>
              </w:rPr>
              <w:t xml:space="preserve">***p &lt; 0.001; **p &lt; 0.01; *p &lt; 0.05. Note: Latent class logit models estimated on the pooled sample (N = 957) using the </w:t>
            </w:r>
            <w:proofErr w:type="spellStart"/>
            <w:r w:rsidRPr="00594BFA">
              <w:rPr>
                <w:rFonts w:ascii="Times New Roman" w:hAnsi="Times New Roman"/>
                <w:sz w:val="16"/>
                <w:lang w:val="en-US"/>
              </w:rPr>
              <w:t>gmnl</w:t>
            </w:r>
            <w:proofErr w:type="spellEnd"/>
            <w:r w:rsidRPr="00594BFA">
              <w:rPr>
                <w:rFonts w:ascii="Times New Roman" w:hAnsi="Times New Roman"/>
                <w:sz w:val="16"/>
                <w:lang w:val="en-US"/>
              </w:rPr>
              <w:t xml:space="preserve"> package (</w:t>
            </w:r>
            <w:proofErr w:type="spellStart"/>
            <w:r w:rsidRPr="00594BFA">
              <w:rPr>
                <w:rFonts w:ascii="Times New Roman" w:hAnsi="Times New Roman"/>
                <w:sz w:val="16"/>
                <w:lang w:val="en-US"/>
              </w:rPr>
              <w:t>Sarrias</w:t>
            </w:r>
            <w:proofErr w:type="spellEnd"/>
            <w:r w:rsidRPr="00594BFA">
              <w:rPr>
                <w:rFonts w:ascii="Times New Roman" w:hAnsi="Times New Roman"/>
                <w:sz w:val="16"/>
                <w:lang w:val="en-US"/>
              </w:rPr>
              <w:t xml:space="preserve"> &amp; </w:t>
            </w:r>
            <w:proofErr w:type="spellStart"/>
            <w:r w:rsidRPr="00594BFA">
              <w:rPr>
                <w:rFonts w:ascii="Times New Roman" w:hAnsi="Times New Roman"/>
                <w:sz w:val="16"/>
                <w:lang w:val="en-US"/>
              </w:rPr>
              <w:t>Daziano</w:t>
            </w:r>
            <w:proofErr w:type="spellEnd"/>
            <w:r w:rsidRPr="00594BFA">
              <w:rPr>
                <w:rFonts w:ascii="Times New Roman" w:hAnsi="Times New Roman"/>
                <w:sz w:val="16"/>
                <w:lang w:val="en-US"/>
              </w:rPr>
              <w:t>, 2017); standard errors in parentheses. MWTP (marginal willingness-to-pay, SEK/month) calculated as -(coefficient/price coefficient) x 900 SEK (10% of the sample median planned monthly housing cost). Class shares are prior probabilities from the class-membership model.</w:t>
            </w:r>
          </w:p>
        </w:tc>
      </w:tr>
    </w:tbl>
    <w:p w14:paraId="26E5521E" w14:textId="77777777" w:rsidR="009C30EF" w:rsidRPr="00594BFA" w:rsidRDefault="009C30EF">
      <w:pPr>
        <w:rPr>
          <w:lang w:val="en-US"/>
        </w:rPr>
      </w:pPr>
    </w:p>
    <w:sectPr w:rsidR="009C30EF" w:rsidRPr="00594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24877960">
    <w:abstractNumId w:val="15"/>
  </w:num>
  <w:num w:numId="2" w16cid:durableId="1860048001">
    <w:abstractNumId w:val="19"/>
  </w:num>
  <w:num w:numId="3" w16cid:durableId="623737182">
    <w:abstractNumId w:val="1"/>
  </w:num>
  <w:num w:numId="4" w16cid:durableId="44957893">
    <w:abstractNumId w:val="2"/>
  </w:num>
  <w:num w:numId="5" w16cid:durableId="192544907">
    <w:abstractNumId w:val="3"/>
  </w:num>
  <w:num w:numId="6" w16cid:durableId="377433448">
    <w:abstractNumId w:val="4"/>
  </w:num>
  <w:num w:numId="7" w16cid:durableId="1033774096">
    <w:abstractNumId w:val="9"/>
  </w:num>
  <w:num w:numId="8" w16cid:durableId="1363818687">
    <w:abstractNumId w:val="5"/>
  </w:num>
  <w:num w:numId="9" w16cid:durableId="669218811">
    <w:abstractNumId w:val="7"/>
  </w:num>
  <w:num w:numId="10" w16cid:durableId="1902015547">
    <w:abstractNumId w:val="6"/>
  </w:num>
  <w:num w:numId="11" w16cid:durableId="1082482871">
    <w:abstractNumId w:val="10"/>
  </w:num>
  <w:num w:numId="12" w16cid:durableId="690110939">
    <w:abstractNumId w:val="8"/>
  </w:num>
  <w:num w:numId="13" w16cid:durableId="245385361">
    <w:abstractNumId w:val="17"/>
  </w:num>
  <w:num w:numId="14" w16cid:durableId="798180647">
    <w:abstractNumId w:val="20"/>
  </w:num>
  <w:num w:numId="15" w16cid:durableId="692267964">
    <w:abstractNumId w:val="14"/>
  </w:num>
  <w:num w:numId="16" w16cid:durableId="1710302642">
    <w:abstractNumId w:val="16"/>
  </w:num>
  <w:num w:numId="17" w16cid:durableId="80030162">
    <w:abstractNumId w:val="11"/>
  </w:num>
  <w:num w:numId="18" w16cid:durableId="1013073136">
    <w:abstractNumId w:val="0"/>
  </w:num>
  <w:num w:numId="19" w16cid:durableId="1490713044">
    <w:abstractNumId w:val="12"/>
  </w:num>
  <w:num w:numId="20" w16cid:durableId="572004450">
    <w:abstractNumId w:val="18"/>
  </w:num>
  <w:num w:numId="21" w16cid:durableId="468940963">
    <w:abstractNumId w:val="21"/>
  </w:num>
  <w:num w:numId="22" w16cid:durableId="1839226359">
    <w:abstractNumId w:val="22"/>
  </w:num>
  <w:num w:numId="23" w16cid:durableId="1870600706">
    <w:abstractNumId w:val="13"/>
  </w:num>
  <w:num w:numId="24" w16cid:durableId="12265738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A9"/>
    <w:rsid w:val="00010272"/>
    <w:rsid w:val="00050D21"/>
    <w:rsid w:val="00072029"/>
    <w:rsid w:val="00077773"/>
    <w:rsid w:val="00086BB9"/>
    <w:rsid w:val="0010134D"/>
    <w:rsid w:val="00234A41"/>
    <w:rsid w:val="00236DE7"/>
    <w:rsid w:val="00341F59"/>
    <w:rsid w:val="003620F2"/>
    <w:rsid w:val="0038260B"/>
    <w:rsid w:val="00391727"/>
    <w:rsid w:val="003A6AAB"/>
    <w:rsid w:val="00507931"/>
    <w:rsid w:val="00551D0B"/>
    <w:rsid w:val="00594BFA"/>
    <w:rsid w:val="006626B4"/>
    <w:rsid w:val="006E52AA"/>
    <w:rsid w:val="006F1C74"/>
    <w:rsid w:val="006F4ACA"/>
    <w:rsid w:val="00760DD8"/>
    <w:rsid w:val="007D40A8"/>
    <w:rsid w:val="00832A7E"/>
    <w:rsid w:val="00877718"/>
    <w:rsid w:val="008851D9"/>
    <w:rsid w:val="00887DAD"/>
    <w:rsid w:val="008B33CA"/>
    <w:rsid w:val="0099048C"/>
    <w:rsid w:val="009C30EF"/>
    <w:rsid w:val="00A830A9"/>
    <w:rsid w:val="00AB4186"/>
    <w:rsid w:val="00B14517"/>
    <w:rsid w:val="00B408A0"/>
    <w:rsid w:val="00B6514C"/>
    <w:rsid w:val="00C625AC"/>
    <w:rsid w:val="00CE78A1"/>
    <w:rsid w:val="00D15E4E"/>
    <w:rsid w:val="00D64E48"/>
    <w:rsid w:val="00DF2978"/>
    <w:rsid w:val="00E058F5"/>
    <w:rsid w:val="00E328C6"/>
    <w:rsid w:val="00EE48D3"/>
    <w:rsid w:val="00F55065"/>
    <w:rsid w:val="00F67333"/>
    <w:rsid w:val="00FC118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DD58"/>
  <w15:chartTrackingRefBased/>
  <w15:docId w15:val="{CA129908-7C88-41E3-AFDE-144A1A4C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83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83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83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83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3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83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83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A83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A9"/>
    <w:rPr>
      <w:rFonts w:eastAsiaTheme="majorEastAsia" w:cstheme="majorBidi"/>
      <w:color w:val="272727" w:themeColor="text1" w:themeTint="D8"/>
    </w:rPr>
  </w:style>
  <w:style w:type="paragraph" w:styleId="Title">
    <w:name w:val="Title"/>
    <w:basedOn w:val="Normal"/>
    <w:next w:val="Normal"/>
    <w:link w:val="TitleChar"/>
    <w:uiPriority w:val="10"/>
    <w:qFormat/>
    <w:rsid w:val="00A83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A9"/>
    <w:pPr>
      <w:spacing w:before="160"/>
      <w:jc w:val="center"/>
    </w:pPr>
    <w:rPr>
      <w:i/>
      <w:iCs/>
      <w:color w:val="404040" w:themeColor="text1" w:themeTint="BF"/>
    </w:rPr>
  </w:style>
  <w:style w:type="character" w:customStyle="1" w:styleId="QuoteChar">
    <w:name w:val="Quote Char"/>
    <w:basedOn w:val="DefaultParagraphFont"/>
    <w:link w:val="Quote"/>
    <w:uiPriority w:val="29"/>
    <w:rsid w:val="00A830A9"/>
    <w:rPr>
      <w:i/>
      <w:iCs/>
      <w:color w:val="404040" w:themeColor="text1" w:themeTint="BF"/>
    </w:rPr>
  </w:style>
  <w:style w:type="paragraph" w:styleId="ListParagraph">
    <w:name w:val="List Paragraph"/>
    <w:basedOn w:val="Normal"/>
    <w:uiPriority w:val="34"/>
    <w:qFormat/>
    <w:rsid w:val="00A830A9"/>
    <w:pPr>
      <w:ind w:left="720"/>
      <w:contextualSpacing/>
    </w:pPr>
  </w:style>
  <w:style w:type="character" w:styleId="IntenseEmphasis">
    <w:name w:val="Intense Emphasis"/>
    <w:basedOn w:val="DefaultParagraphFont"/>
    <w:uiPriority w:val="21"/>
    <w:qFormat/>
    <w:rsid w:val="00A830A9"/>
    <w:rPr>
      <w:i/>
      <w:iCs/>
      <w:color w:val="0F4761" w:themeColor="accent1" w:themeShade="BF"/>
    </w:rPr>
  </w:style>
  <w:style w:type="paragraph" w:styleId="IntenseQuote">
    <w:name w:val="Intense Quote"/>
    <w:basedOn w:val="Normal"/>
    <w:next w:val="Normal"/>
    <w:link w:val="IntenseQuoteChar"/>
    <w:uiPriority w:val="30"/>
    <w:qFormat/>
    <w:rsid w:val="00A83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A9"/>
    <w:rPr>
      <w:i/>
      <w:iCs/>
      <w:color w:val="0F4761" w:themeColor="accent1" w:themeShade="BF"/>
    </w:rPr>
  </w:style>
  <w:style w:type="character" w:styleId="IntenseReference">
    <w:name w:val="Intense Reference"/>
    <w:basedOn w:val="DefaultParagraphFont"/>
    <w:uiPriority w:val="32"/>
    <w:qFormat/>
    <w:rsid w:val="00A830A9"/>
    <w:rPr>
      <w:b/>
      <w:bCs/>
      <w:smallCaps/>
      <w:color w:val="0F4761" w:themeColor="accent1" w:themeShade="BF"/>
      <w:spacing w:val="5"/>
    </w:rPr>
  </w:style>
  <w:style w:type="numbering" w:customStyle="1" w:styleId="NoList1">
    <w:name w:val="No List1"/>
    <w:next w:val="NoList"/>
    <w:uiPriority w:val="99"/>
    <w:semiHidden/>
    <w:unhideWhenUsed/>
    <w:rsid w:val="00A830A9"/>
  </w:style>
  <w:style w:type="paragraph" w:customStyle="1" w:styleId="Articletitle">
    <w:name w:val="Article title"/>
    <w:basedOn w:val="Normal"/>
    <w:next w:val="Normal"/>
    <w:qFormat/>
    <w:rsid w:val="00A830A9"/>
    <w:pPr>
      <w:spacing w:after="120" w:line="360" w:lineRule="auto"/>
    </w:pPr>
    <w:rPr>
      <w:rFonts w:ascii="Times New Roman" w:eastAsia="Times New Roman" w:hAnsi="Times New Roman" w:cs="Times New Roman"/>
      <w:b/>
      <w:kern w:val="0"/>
      <w:sz w:val="28"/>
      <w:szCs w:val="24"/>
      <w:lang w:val="en-GB" w:eastAsia="en-GB"/>
      <w14:ligatures w14:val="none"/>
    </w:rPr>
  </w:style>
  <w:style w:type="paragraph" w:customStyle="1" w:styleId="Authornames">
    <w:name w:val="Author names"/>
    <w:basedOn w:val="Normal"/>
    <w:next w:val="Normal"/>
    <w:qFormat/>
    <w:rsid w:val="00A830A9"/>
    <w:pPr>
      <w:spacing w:before="240" w:after="0" w:line="360" w:lineRule="auto"/>
    </w:pPr>
    <w:rPr>
      <w:rFonts w:ascii="Times New Roman" w:eastAsia="Times New Roman" w:hAnsi="Times New Roman" w:cs="Times New Roman"/>
      <w:kern w:val="0"/>
      <w:sz w:val="28"/>
      <w:szCs w:val="24"/>
      <w:lang w:val="en-GB" w:eastAsia="en-GB"/>
      <w14:ligatures w14:val="none"/>
    </w:rPr>
  </w:style>
  <w:style w:type="paragraph" w:customStyle="1" w:styleId="Affiliation">
    <w:name w:val="Affiliation"/>
    <w:basedOn w:val="Normal"/>
    <w:qFormat/>
    <w:rsid w:val="00A830A9"/>
    <w:pPr>
      <w:spacing w:before="240" w:after="0" w:line="360" w:lineRule="auto"/>
    </w:pPr>
    <w:rPr>
      <w:rFonts w:ascii="Times New Roman" w:eastAsia="Times New Roman" w:hAnsi="Times New Roman" w:cs="Times New Roman"/>
      <w:i/>
      <w:kern w:val="0"/>
      <w:sz w:val="24"/>
      <w:szCs w:val="24"/>
      <w:lang w:val="en-GB" w:eastAsia="en-GB"/>
      <w14:ligatures w14:val="none"/>
    </w:rPr>
  </w:style>
  <w:style w:type="paragraph" w:customStyle="1" w:styleId="Receiveddates">
    <w:name w:val="Received dates"/>
    <w:basedOn w:val="Affiliation"/>
    <w:next w:val="Normal"/>
    <w:qFormat/>
    <w:rsid w:val="00A830A9"/>
  </w:style>
  <w:style w:type="paragraph" w:customStyle="1" w:styleId="Abstract">
    <w:name w:val="Abstract"/>
    <w:basedOn w:val="Normal"/>
    <w:next w:val="Keywords"/>
    <w:qFormat/>
    <w:rsid w:val="00A830A9"/>
    <w:pPr>
      <w:spacing w:before="360" w:after="30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Keywords">
    <w:name w:val="Keywords"/>
    <w:basedOn w:val="Normal"/>
    <w:next w:val="Paragraph"/>
    <w:qFormat/>
    <w:rsid w:val="00A830A9"/>
    <w:pPr>
      <w:spacing w:before="240" w:after="24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Correspondencedetails">
    <w:name w:val="Correspondence details"/>
    <w:basedOn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Displayedquotation">
    <w:name w:val="Displayed quotation"/>
    <w:basedOn w:val="Normal"/>
    <w:qFormat/>
    <w:rsid w:val="00A830A9"/>
    <w:pPr>
      <w:tabs>
        <w:tab w:val="left" w:pos="1077"/>
        <w:tab w:val="left" w:pos="1440"/>
        <w:tab w:val="left" w:pos="1797"/>
        <w:tab w:val="left" w:pos="2155"/>
        <w:tab w:val="left" w:pos="2512"/>
      </w:tabs>
      <w:spacing w:before="240" w:after="360" w:line="360" w:lineRule="auto"/>
      <w:ind w:left="709" w:right="425"/>
      <w:contextualSpacing/>
    </w:pPr>
    <w:rPr>
      <w:rFonts w:ascii="Times New Roman" w:eastAsia="Times New Roman" w:hAnsi="Times New Roman" w:cs="Times New Roman"/>
      <w:kern w:val="0"/>
      <w:szCs w:val="24"/>
      <w:lang w:val="en-GB" w:eastAsia="en-GB"/>
      <w14:ligatures w14:val="none"/>
    </w:rPr>
  </w:style>
  <w:style w:type="paragraph" w:customStyle="1" w:styleId="Numberedlist">
    <w:name w:val="Numbered list"/>
    <w:basedOn w:val="Paragraph"/>
    <w:next w:val="Paragraph"/>
    <w:qFormat/>
    <w:rsid w:val="00A830A9"/>
    <w:pPr>
      <w:widowControl/>
      <w:numPr>
        <w:numId w:val="13"/>
      </w:numPr>
      <w:spacing w:after="240"/>
      <w:contextualSpacing/>
    </w:pPr>
  </w:style>
  <w:style w:type="paragraph" w:customStyle="1" w:styleId="Displayedequation">
    <w:name w:val="Displayed equation"/>
    <w:basedOn w:val="Normal"/>
    <w:next w:val="Paragraph"/>
    <w:qFormat/>
    <w:rsid w:val="00A830A9"/>
    <w:pPr>
      <w:tabs>
        <w:tab w:val="center" w:pos="4253"/>
        <w:tab w:val="right" w:pos="8222"/>
      </w:tabs>
      <w:spacing w:before="240" w:after="240" w:line="480" w:lineRule="auto"/>
      <w:jc w:val="center"/>
    </w:pPr>
    <w:rPr>
      <w:rFonts w:ascii="Times New Roman" w:eastAsia="Times New Roman" w:hAnsi="Times New Roman" w:cs="Times New Roman"/>
      <w:kern w:val="0"/>
      <w:sz w:val="24"/>
      <w:szCs w:val="24"/>
      <w:lang w:val="en-GB" w:eastAsia="en-GB"/>
      <w14:ligatures w14:val="none"/>
    </w:rPr>
  </w:style>
  <w:style w:type="paragraph" w:customStyle="1" w:styleId="Acknowledgements">
    <w:name w:val="Acknowledgements"/>
    <w:basedOn w:val="Normal"/>
    <w:next w:val="Normal"/>
    <w:qFormat/>
    <w:rsid w:val="00A830A9"/>
    <w:pPr>
      <w:spacing w:before="120" w:after="0" w:line="360" w:lineRule="auto"/>
    </w:pPr>
    <w:rPr>
      <w:rFonts w:ascii="Times New Roman" w:eastAsia="Times New Roman" w:hAnsi="Times New Roman" w:cs="Times New Roman"/>
      <w:kern w:val="0"/>
      <w:szCs w:val="24"/>
      <w:lang w:val="en-GB" w:eastAsia="en-GB"/>
      <w14:ligatures w14:val="none"/>
    </w:rPr>
  </w:style>
  <w:style w:type="paragraph" w:customStyle="1" w:styleId="Tabletitle">
    <w:name w:val="Table title"/>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igurecaption">
    <w:name w:val="Figure caption"/>
    <w:basedOn w:val="Normal"/>
    <w:next w:val="Normal"/>
    <w:qFormat/>
    <w:rsid w:val="00A830A9"/>
    <w:pPr>
      <w:spacing w:before="240" w:after="0" w:line="360" w:lineRule="auto"/>
    </w:pPr>
    <w:rPr>
      <w:rFonts w:ascii="Times New Roman" w:eastAsia="Times New Roman" w:hAnsi="Times New Roman" w:cs="Times New Roman"/>
      <w:kern w:val="0"/>
      <w:sz w:val="24"/>
      <w:szCs w:val="24"/>
      <w:lang w:val="en-GB" w:eastAsia="en-GB"/>
      <w14:ligatures w14:val="none"/>
    </w:rPr>
  </w:style>
  <w:style w:type="paragraph" w:customStyle="1" w:styleId="Footnotes">
    <w:name w:val="Footnotes"/>
    <w:basedOn w:val="Normal"/>
    <w:qFormat/>
    <w:rsid w:val="00A830A9"/>
    <w:pPr>
      <w:spacing w:before="120" w:after="0" w:line="360" w:lineRule="auto"/>
      <w:ind w:left="482" w:hanging="482"/>
      <w:contextualSpacing/>
    </w:pPr>
    <w:rPr>
      <w:rFonts w:ascii="Times New Roman" w:eastAsia="Times New Roman" w:hAnsi="Times New Roman" w:cs="Times New Roman"/>
      <w:kern w:val="0"/>
      <w:szCs w:val="24"/>
      <w:lang w:val="en-GB" w:eastAsia="en-GB"/>
      <w14:ligatures w14:val="none"/>
    </w:rPr>
  </w:style>
  <w:style w:type="paragraph" w:customStyle="1" w:styleId="Notesoncontributors">
    <w:name w:val="Notes on contributors"/>
    <w:basedOn w:val="Normal"/>
    <w:qFormat/>
    <w:rsid w:val="00A830A9"/>
    <w:pPr>
      <w:spacing w:before="240" w:after="0" w:line="360" w:lineRule="auto"/>
    </w:pPr>
    <w:rPr>
      <w:rFonts w:ascii="Times New Roman" w:eastAsia="Times New Roman" w:hAnsi="Times New Roman" w:cs="Times New Roman"/>
      <w:kern w:val="0"/>
      <w:szCs w:val="24"/>
      <w:lang w:val="en-GB" w:eastAsia="en-GB"/>
      <w14:ligatures w14:val="none"/>
    </w:rPr>
  </w:style>
  <w:style w:type="paragraph" w:customStyle="1" w:styleId="Normalparagraphstyle">
    <w:name w:val="Normal paragraph style"/>
    <w:basedOn w:val="Normal"/>
    <w:next w:val="Normal"/>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Paragraph">
    <w:name w:val="Paragraph"/>
    <w:basedOn w:val="Normal"/>
    <w:next w:val="Newparagraph"/>
    <w:qFormat/>
    <w:rsid w:val="00A830A9"/>
    <w:pPr>
      <w:widowControl w:val="0"/>
      <w:spacing w:before="240"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Newparagraph">
    <w:name w:val="New paragraph"/>
    <w:basedOn w:val="Normal"/>
    <w:qFormat/>
    <w:rsid w:val="00A830A9"/>
    <w:pPr>
      <w:spacing w:after="0" w:line="480" w:lineRule="auto"/>
      <w:ind w:firstLine="720"/>
    </w:pPr>
    <w:rPr>
      <w:rFonts w:ascii="Times New Roman" w:eastAsia="Times New Roman" w:hAnsi="Times New Roman" w:cs="Times New Roman"/>
      <w:kern w:val="0"/>
      <w:sz w:val="24"/>
      <w:szCs w:val="24"/>
      <w:lang w:val="en-GB" w:eastAsia="en-GB"/>
      <w14:ligatures w14:val="none"/>
    </w:rPr>
  </w:style>
  <w:style w:type="paragraph" w:styleId="NormalIndent">
    <w:name w:val="Normal Indent"/>
    <w:basedOn w:val="Normal"/>
    <w:rsid w:val="00A830A9"/>
    <w:pPr>
      <w:spacing w:after="0" w:line="480" w:lineRule="auto"/>
      <w:ind w:left="720"/>
    </w:pPr>
    <w:rPr>
      <w:rFonts w:ascii="Times New Roman" w:eastAsia="Times New Roman" w:hAnsi="Times New Roman" w:cs="Times New Roman"/>
      <w:kern w:val="0"/>
      <w:sz w:val="24"/>
      <w:szCs w:val="24"/>
      <w:lang w:val="en-GB" w:eastAsia="en-GB"/>
      <w14:ligatures w14:val="none"/>
    </w:rPr>
  </w:style>
  <w:style w:type="paragraph" w:customStyle="1" w:styleId="References">
    <w:name w:val="References"/>
    <w:basedOn w:val="Normal"/>
    <w:qFormat/>
    <w:rsid w:val="00A830A9"/>
    <w:pPr>
      <w:spacing w:before="120" w:after="0" w:line="360" w:lineRule="auto"/>
      <w:ind w:left="720" w:hanging="720"/>
      <w:contextualSpacing/>
    </w:pPr>
    <w:rPr>
      <w:rFonts w:ascii="Times New Roman" w:eastAsia="Times New Roman" w:hAnsi="Times New Roman" w:cs="Times New Roman"/>
      <w:kern w:val="0"/>
      <w:sz w:val="24"/>
      <w:szCs w:val="24"/>
      <w:lang w:val="en-GB" w:eastAsia="en-GB"/>
      <w14:ligatures w14:val="none"/>
    </w:rPr>
  </w:style>
  <w:style w:type="paragraph" w:customStyle="1" w:styleId="Subjectcodes">
    <w:name w:val="Subject codes"/>
    <w:basedOn w:val="Keywords"/>
    <w:next w:val="Paragraph"/>
    <w:qFormat/>
    <w:rsid w:val="00A830A9"/>
  </w:style>
  <w:style w:type="paragraph" w:customStyle="1" w:styleId="Bulletedlist">
    <w:name w:val="Bulleted list"/>
    <w:basedOn w:val="Paragraph"/>
    <w:next w:val="Paragraph"/>
    <w:qFormat/>
    <w:rsid w:val="00A830A9"/>
    <w:pPr>
      <w:widowControl/>
      <w:numPr>
        <w:numId w:val="14"/>
      </w:numPr>
      <w:spacing w:after="240"/>
      <w:contextualSpacing/>
    </w:pPr>
  </w:style>
  <w:style w:type="paragraph" w:styleId="FootnoteText">
    <w:name w:val="footnote text"/>
    <w:basedOn w:val="Normal"/>
    <w:link w:val="Foot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FootnoteTextChar">
    <w:name w:val="Footnote Text Char"/>
    <w:basedOn w:val="DefaultParagraphFont"/>
    <w:link w:val="FootnoteText"/>
    <w:rsid w:val="00A830A9"/>
    <w:rPr>
      <w:rFonts w:ascii="Times New Roman" w:eastAsia="Times New Roman" w:hAnsi="Times New Roman" w:cs="Times New Roman"/>
      <w:kern w:val="0"/>
      <w:szCs w:val="20"/>
      <w:lang w:val="en-GB" w:eastAsia="en-GB"/>
      <w14:ligatures w14:val="none"/>
    </w:rPr>
  </w:style>
  <w:style w:type="character" w:styleId="FootnoteReference">
    <w:name w:val="footnote reference"/>
    <w:basedOn w:val="DefaultParagraphFont"/>
    <w:rsid w:val="00A830A9"/>
    <w:rPr>
      <w:vertAlign w:val="superscript"/>
    </w:rPr>
  </w:style>
  <w:style w:type="paragraph" w:styleId="EndnoteText">
    <w:name w:val="endnote text"/>
    <w:basedOn w:val="Normal"/>
    <w:link w:val="EndnoteTextChar"/>
    <w:autoRedefine/>
    <w:rsid w:val="00A830A9"/>
    <w:pPr>
      <w:spacing w:after="0" w:line="480" w:lineRule="auto"/>
      <w:ind w:left="284" w:hanging="284"/>
    </w:pPr>
    <w:rPr>
      <w:rFonts w:ascii="Times New Roman" w:eastAsia="Times New Roman" w:hAnsi="Times New Roman" w:cs="Times New Roman"/>
      <w:kern w:val="0"/>
      <w:szCs w:val="20"/>
      <w:lang w:val="en-GB" w:eastAsia="en-GB"/>
      <w14:ligatures w14:val="none"/>
    </w:rPr>
  </w:style>
  <w:style w:type="character" w:customStyle="1" w:styleId="EndnoteTextChar">
    <w:name w:val="Endnote Text Char"/>
    <w:basedOn w:val="DefaultParagraphFont"/>
    <w:link w:val="EndnoteText"/>
    <w:rsid w:val="00A830A9"/>
    <w:rPr>
      <w:rFonts w:ascii="Times New Roman" w:eastAsia="Times New Roman" w:hAnsi="Times New Roman" w:cs="Times New Roman"/>
      <w:kern w:val="0"/>
      <w:szCs w:val="20"/>
      <w:lang w:val="en-GB" w:eastAsia="en-GB"/>
      <w14:ligatures w14:val="none"/>
    </w:rPr>
  </w:style>
  <w:style w:type="character" w:styleId="EndnoteReference">
    <w:name w:val="endnote reference"/>
    <w:basedOn w:val="DefaultParagraphFont"/>
    <w:rsid w:val="00A830A9"/>
    <w:rPr>
      <w:vertAlign w:val="superscript"/>
    </w:rPr>
  </w:style>
  <w:style w:type="paragraph" w:styleId="Header">
    <w:name w:val="header"/>
    <w:basedOn w:val="Normal"/>
    <w:link w:val="HeaderChar"/>
    <w:rsid w:val="00A830A9"/>
    <w:pPr>
      <w:tabs>
        <w:tab w:val="center" w:pos="4320"/>
        <w:tab w:val="right" w:pos="8640"/>
      </w:tabs>
      <w:spacing w:after="12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HeaderChar">
    <w:name w:val="Header Char"/>
    <w:basedOn w:val="DefaultParagraphFont"/>
    <w:link w:val="Header"/>
    <w:rsid w:val="00A830A9"/>
    <w:rPr>
      <w:rFonts w:ascii="Times New Roman" w:eastAsia="Times New Roman" w:hAnsi="Times New Roman" w:cs="Times New Roman"/>
      <w:kern w:val="0"/>
      <w:sz w:val="24"/>
      <w:szCs w:val="24"/>
      <w:lang w:val="en-GB" w:eastAsia="en-GB"/>
      <w14:ligatures w14:val="none"/>
    </w:rPr>
  </w:style>
  <w:style w:type="paragraph" w:styleId="Footer">
    <w:name w:val="footer"/>
    <w:basedOn w:val="Normal"/>
    <w:link w:val="FooterChar"/>
    <w:rsid w:val="00A830A9"/>
    <w:pPr>
      <w:tabs>
        <w:tab w:val="center" w:pos="4320"/>
        <w:tab w:val="right" w:pos="8640"/>
      </w:tabs>
      <w:spacing w:before="240" w:after="0" w:line="240" w:lineRule="auto"/>
      <w:contextualSpacing/>
    </w:pPr>
    <w:rPr>
      <w:rFonts w:ascii="Times New Roman" w:eastAsia="Times New Roman" w:hAnsi="Times New Roman" w:cs="Times New Roman"/>
      <w:kern w:val="0"/>
      <w:sz w:val="24"/>
      <w:szCs w:val="24"/>
      <w:lang w:val="en-GB" w:eastAsia="en-GB"/>
      <w14:ligatures w14:val="none"/>
    </w:rPr>
  </w:style>
  <w:style w:type="character" w:customStyle="1" w:styleId="FooterChar">
    <w:name w:val="Footer Char"/>
    <w:basedOn w:val="DefaultParagraphFont"/>
    <w:link w:val="Footer"/>
    <w:rsid w:val="00A830A9"/>
    <w:rPr>
      <w:rFonts w:ascii="Times New Roman" w:eastAsia="Times New Roman" w:hAnsi="Times New Roman" w:cs="Times New Roman"/>
      <w:kern w:val="0"/>
      <w:sz w:val="24"/>
      <w:szCs w:val="24"/>
      <w:lang w:val="en-GB" w:eastAsia="en-GB"/>
      <w14:ligatures w14:val="none"/>
    </w:rPr>
  </w:style>
  <w:style w:type="paragraph" w:customStyle="1" w:styleId="Heading4Paragraph">
    <w:name w:val="Heading 4 + Paragraph"/>
    <w:basedOn w:val="Paragraph"/>
    <w:next w:val="Newparagraph"/>
    <w:qFormat/>
    <w:rsid w:val="00A830A9"/>
    <w:pPr>
      <w:widowControl/>
      <w:spacing w:before="360"/>
    </w:pPr>
  </w:style>
  <w:style w:type="character" w:customStyle="1" w:styleId="Hyperlink1">
    <w:name w:val="Hyperlink1"/>
    <w:basedOn w:val="DefaultParagraphFont"/>
    <w:uiPriority w:val="99"/>
    <w:unhideWhenUsed/>
    <w:rsid w:val="00A830A9"/>
    <w:rPr>
      <w:color w:val="0000FF"/>
      <w:u w:val="single"/>
    </w:rPr>
  </w:style>
  <w:style w:type="table" w:styleId="TableGrid">
    <w:name w:val="Table Grid"/>
    <w:basedOn w:val="TableNormal"/>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830A9"/>
    <w:rPr>
      <w:color w:val="605E5C"/>
      <w:shd w:val="clear" w:color="auto" w:fill="E1DFDD"/>
    </w:rPr>
  </w:style>
  <w:style w:type="table" w:customStyle="1" w:styleId="TableGridLight1">
    <w:name w:val="Table Grid Light1"/>
    <w:basedOn w:val="TableNormal"/>
    <w:next w:val="TableGridLight"/>
    <w:uiPriority w:val="40"/>
    <w:rsid w:val="00A830A9"/>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paragraph" w:styleId="NormalWeb">
    <w:name w:val="Normal (Web)"/>
    <w:basedOn w:val="Normal"/>
    <w:uiPriority w:val="99"/>
    <w:semiHidden/>
    <w:unhideWhenUsed/>
    <w:rsid w:val="00A830A9"/>
    <w:pPr>
      <w:spacing w:after="0" w:line="48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A830A9"/>
    <w:rPr>
      <w:b/>
      <w:bCs/>
    </w:rPr>
  </w:style>
  <w:style w:type="character" w:customStyle="1" w:styleId="whitespace-normal">
    <w:name w:val="whitespace-normal"/>
    <w:basedOn w:val="DefaultParagraphFont"/>
    <w:rsid w:val="00A830A9"/>
  </w:style>
  <w:style w:type="character" w:styleId="Hyperlink">
    <w:name w:val="Hyperlink"/>
    <w:basedOn w:val="DefaultParagraphFont"/>
    <w:uiPriority w:val="99"/>
    <w:unhideWhenUsed/>
    <w:rsid w:val="00A830A9"/>
    <w:rPr>
      <w:color w:val="467886" w:themeColor="hyperlink"/>
      <w:u w:val="single"/>
    </w:rPr>
  </w:style>
  <w:style w:type="table" w:styleId="TableGridLight">
    <w:name w:val="Grid Table Light"/>
    <w:basedOn w:val="TableNormal"/>
    <w:uiPriority w:val="40"/>
    <w:rsid w:val="00A830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8356/97892100196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77/0898264324127627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6EC70-8B20-4765-BC58-F859AAC5E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31</Pages>
  <Words>8034</Words>
  <Characters>45794</Characters>
  <Application>Microsoft Office Word</Application>
  <DocSecurity>0</DocSecurity>
  <Lines>381</Lines>
  <Paragraphs>107</Paragraphs>
  <ScaleCrop>false</ScaleCrop>
  <Company/>
  <LinksUpToDate>false</LinksUpToDate>
  <CharactersWithSpaces>53721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Christie</dc:creator>
  <cp:keywords/>
  <dc:description/>
  <cp:lastModifiedBy>Nick Christie</cp:lastModifiedBy>
  <cp:revision>24</cp:revision>
  <dcterms:created xsi:type="dcterms:W3CDTF">2026-05-12T12:22:00Z</dcterms:created>
  <dcterms:modified xsi:type="dcterms:W3CDTF">2026-08-12T10:15:00Z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id="2ynu2FG3"/&gt;&lt;style id="http://www.zotero.org/styles/apa" locale="en-US" hasBibliography="1" bibliographyStyleHasBeenSet="0"/&gt;&lt;prefs&gt;&lt;pref name="fieldType" value="Field"/&gt;&lt;pref name="automaticJournalA</vt:lpwstr>
  </property>
  <property fmtid="{D5CDD505-2E9C-101B-9397-08002B2CF9AE}" pid="3" name="ZOTERO_PREF_2">
    <vt:lpwstr>bbreviations" value="true"/&gt;&lt;/prefs&gt;&lt;/data&gt;</vt:lpwstr>
  </property>
</Properties>
</file>