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230B2" w14:textId="77777777" w:rsidR="00A830A9" w:rsidRPr="00A830A9" w:rsidRDefault="00A830A9" w:rsidP="00A830A9">
      <w:pPr>
        <w:spacing w:before="240" w:after="0" w:line="360" w:lineRule="auto"/>
        <w:rPr>
          <w:rFonts w:ascii="Times New Roman" w:eastAsia="Times New Roman" w:hAnsi="Times New Roman" w:cs="Times New Roman"/>
          <w:b/>
          <w:kern w:val="0"/>
          <w:sz w:val="28"/>
          <w:szCs w:val="24"/>
          <w:lang w:val="en-GB" w:eastAsia="en-GB"/>
          <w14:ligatures w14:val="none"/>
        </w:rPr>
      </w:pPr>
      <w:r w:rsidRPr="00A830A9">
        <w:rPr>
          <w:rFonts w:ascii="Times New Roman" w:eastAsia="Times New Roman" w:hAnsi="Times New Roman" w:cs="Times New Roman"/>
          <w:b/>
          <w:kern w:val="0"/>
          <w:sz w:val="28"/>
          <w:szCs w:val="24"/>
          <w:lang w:val="en-GB" w:eastAsia="en-GB"/>
          <w14:ligatures w14:val="none"/>
        </w:rPr>
        <w:t>The Value of location: What Matters Most for Older Adults Considering Relocation in Sweden?</w:t>
      </w:r>
    </w:p>
    <w:p w14:paraId="79A30689" w14:textId="77777777" w:rsidR="00A830A9" w:rsidRPr="00A830A9" w:rsidRDefault="00A830A9" w:rsidP="00A830A9">
      <w:pPr>
        <w:spacing w:after="120" w:line="360" w:lineRule="auto"/>
        <w:rPr>
          <w:rFonts w:ascii="Times New Roman" w:eastAsia="Times New Roman" w:hAnsi="Times New Roman" w:cs="Times New Roman"/>
          <w:b/>
          <w:kern w:val="0"/>
          <w:sz w:val="28"/>
          <w:szCs w:val="24"/>
          <w:lang w:val="en-GB" w:eastAsia="en-GB"/>
          <w14:ligatures w14:val="none"/>
        </w:rPr>
      </w:pPr>
    </w:p>
    <w:p w14:paraId="7E3EA8EE" w14:textId="77777777" w:rsidR="00A54720" w:rsidRPr="00065263" w:rsidRDefault="00000000">
      <w:pPr>
        <w:rPr>
          <w:lang w:val="en-US"/>
        </w:rPr>
      </w:pPr>
      <w:r w:rsidRPr="00065263">
        <w:rPr>
          <w:lang w:val="en-US"/>
        </w:rPr>
        <w:t xml:space="preserve">Background and Objectives: Housing and </w:t>
      </w:r>
      <w:proofErr w:type="spellStart"/>
      <w:r w:rsidRPr="00065263">
        <w:rPr>
          <w:lang w:val="en-US"/>
        </w:rPr>
        <w:t>neighbourhood</w:t>
      </w:r>
      <w:proofErr w:type="spellEnd"/>
      <w:r w:rsidRPr="00065263">
        <w:rPr>
          <w:lang w:val="en-US"/>
        </w:rPr>
        <w:t xml:space="preserve"> characteristics increasingly shape relocation decisions among older adults, yet few stated-preference studies quantify these trade-offs or the unobserved heterogeneity in how attributes are valued. This study examined housing and locational preferences among older adults in Sweden considering relocation, testing variation by tenure, age, gender, and health, and whether unobserved preference segments add further insight.</w:t>
      </w:r>
    </w:p>
    <w:p w14:paraId="44E3B9B5" w14:textId="77777777" w:rsidR="00A54720" w:rsidRPr="00065263" w:rsidRDefault="00000000">
      <w:pPr>
        <w:rPr>
          <w:lang w:val="en-US"/>
        </w:rPr>
      </w:pPr>
      <w:r w:rsidRPr="00065263">
        <w:rPr>
          <w:lang w:val="en-US"/>
        </w:rPr>
        <w:t>Research Design and Methods: A discrete choice experiment embedded in the Prospective RELOC-AGE cohort study (N = 957; mean age = 72; 55.3% women) asked participants to choose between housing alternatives varying in proximity to green space, shops, and public transport, parking availability, and monthly cost. Mixed logit models, estimated separately for homeowners and renters with age, gender, and health interactions, produced marginal willingness-to-pay (MWTP) estimates; latent class logit models identified unobserved preference segments.</w:t>
      </w:r>
    </w:p>
    <w:p w14:paraId="6F582958" w14:textId="77777777" w:rsidR="00A54720" w:rsidRPr="00065263" w:rsidRDefault="00000000">
      <w:pPr>
        <w:rPr>
          <w:lang w:val="en-US"/>
        </w:rPr>
      </w:pPr>
      <w:r w:rsidRPr="00065263">
        <w:rPr>
          <w:lang w:val="en-US"/>
        </w:rPr>
        <w:t>Results: Homeowners expressed higher MWTP than renters across all attributes, with the largest gap for parking, reflecting divergent price sensitivity rather than weaker preferences among renters. Age, gender, and health explained only modest, attribute-specific variation. A three-class latent class model identified a price-sensitive, shop-oriented segment; a green-space-oriented segment; and a less price-sensitive, parking-oriented segment, capturing more heterogeneity than observed demographics alone.</w:t>
      </w:r>
    </w:p>
    <w:p w14:paraId="243717F2" w14:textId="77777777" w:rsidR="00A54720" w:rsidRPr="00065263" w:rsidRDefault="00000000">
      <w:pPr>
        <w:rPr>
          <w:lang w:val="en-US"/>
        </w:rPr>
      </w:pPr>
      <w:r w:rsidRPr="00065263">
        <w:rPr>
          <w:lang w:val="en-US"/>
        </w:rPr>
        <w:t>Discussion and Implications: Tenure differences in willingness-to-pay largely reflect financial constraint rather than divergent preference. Distinct latent segments, only weakly aligned with age, gender, or health, suggest preferences are shaped substantially by unobserved taste differences, supporting combined regression-based and person-centered approaches to age-inclusive housing, transport, and land-use policy.</w:t>
      </w:r>
    </w:p>
    <w:p w14:paraId="709E65DE" w14:textId="77777777" w:rsidR="00A830A9" w:rsidRDefault="00A830A9" w:rsidP="00A830A9">
      <w:pPr>
        <w:spacing w:before="240" w:after="240" w:line="360" w:lineRule="auto"/>
        <w:ind w:left="720" w:right="567"/>
        <w:rPr>
          <w:rFonts w:ascii="Times New Roman" w:eastAsia="Times New Roman" w:hAnsi="Times New Roman" w:cs="Times New Roman"/>
          <w:kern w:val="0"/>
          <w:szCs w:val="24"/>
          <w:lang w:val="en-GB" w:eastAsia="en-GB"/>
          <w14:ligatures w14:val="none"/>
        </w:rPr>
      </w:pPr>
      <w:r w:rsidRPr="00A830A9">
        <w:rPr>
          <w:rFonts w:ascii="Times New Roman" w:eastAsia="Times New Roman" w:hAnsi="Times New Roman" w:cs="Times New Roman"/>
          <w:kern w:val="0"/>
          <w:szCs w:val="24"/>
          <w:lang w:val="en-GB" w:eastAsia="en-GB"/>
          <w14:ligatures w14:val="none"/>
        </w:rPr>
        <w:t>Keywords: stated choice experiment; discrete choice modelling; ageing in place; housing preferences; willingness to pay</w:t>
      </w:r>
    </w:p>
    <w:p w14:paraId="07B6F661" w14:textId="77777777" w:rsidR="00A54720" w:rsidRPr="00065263" w:rsidRDefault="00000000">
      <w:pPr>
        <w:rPr>
          <w:lang w:val="en-US"/>
        </w:rPr>
      </w:pPr>
      <w:r w:rsidRPr="00065263">
        <w:rPr>
          <w:b/>
          <w:lang w:val="en-US"/>
        </w:rPr>
        <w:t xml:space="preserve">Innovation and Translational Significance: </w:t>
      </w:r>
      <w:r w:rsidRPr="00065263">
        <w:rPr>
          <w:lang w:val="en-US"/>
        </w:rPr>
        <w:t xml:space="preserve">This study quantifies how older adults in Sweden weigh </w:t>
      </w:r>
      <w:proofErr w:type="spellStart"/>
      <w:r w:rsidRPr="00065263">
        <w:rPr>
          <w:lang w:val="en-US"/>
        </w:rPr>
        <w:t>neighbourhood</w:t>
      </w:r>
      <w:proofErr w:type="spellEnd"/>
      <w:r w:rsidRPr="00065263">
        <w:rPr>
          <w:lang w:val="en-US"/>
        </w:rPr>
        <w:t xml:space="preserve"> accessibility, parking, and housing cost when considering relocation, using discrete choice methods that move beyond descriptive or qualitative housing research. By comparing homeowners and renters and identifying distinct latent preference segments, the analysis shows that market-based willingness-to-pay gaps partly reflect financial constraint rather than weaker underlying </w:t>
      </w:r>
      <w:proofErr w:type="gramStart"/>
      <w:r w:rsidRPr="00065263">
        <w:rPr>
          <w:lang w:val="en-US"/>
        </w:rPr>
        <w:t>preference</w:t>
      </w:r>
      <w:proofErr w:type="gramEnd"/>
      <w:r w:rsidRPr="00065263">
        <w:rPr>
          <w:lang w:val="en-US"/>
        </w:rPr>
        <w:t xml:space="preserve">, and that unobserved taste differences shape preferences more than standard demographic groups. These findings can inform age-inclusive housing and transport policy by clarifying which residential attributes warrant </w:t>
      </w:r>
      <w:proofErr w:type="gramStart"/>
      <w:r w:rsidRPr="00065263">
        <w:rPr>
          <w:lang w:val="en-US"/>
        </w:rPr>
        <w:t>universal</w:t>
      </w:r>
      <w:proofErr w:type="gramEnd"/>
      <w:r w:rsidRPr="00065263">
        <w:rPr>
          <w:lang w:val="en-US"/>
        </w:rPr>
        <w:t xml:space="preserve"> versus targeted provision as populations age.</w:t>
      </w:r>
    </w:p>
    <w:p w14:paraId="11169D1D" w14:textId="77777777" w:rsidR="00236DE7" w:rsidRPr="00A830A9" w:rsidRDefault="00236DE7" w:rsidP="00A830A9">
      <w:pPr>
        <w:spacing w:before="240" w:after="240" w:line="360" w:lineRule="auto"/>
        <w:ind w:left="720" w:right="567"/>
        <w:rPr>
          <w:rFonts w:ascii="Times New Roman" w:eastAsia="Times New Roman" w:hAnsi="Times New Roman" w:cs="Times New Roman"/>
          <w:kern w:val="0"/>
          <w:szCs w:val="24"/>
          <w:lang w:val="en-GB" w:eastAsia="en-GB"/>
          <w14:ligatures w14:val="none"/>
        </w:rPr>
      </w:pPr>
    </w:p>
    <w:p w14:paraId="2B962C04" w14:textId="77777777" w:rsidR="00A830A9"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lastRenderedPageBreak/>
        <w:t>Background and Objectives</w:t>
      </w:r>
    </w:p>
    <w:p w14:paraId="3B235E0F" w14:textId="77777777" w:rsidR="00236DE7" w:rsidRPr="00A830A9" w:rsidRDefault="00236DE7"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p>
    <w:p w14:paraId="56DC3FA9" w14:textId="77777777" w:rsidR="00551D0B" w:rsidRDefault="00551D0B"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551D0B">
        <w:rPr>
          <w:rFonts w:ascii="Times New Roman" w:eastAsia="Times New Roman" w:hAnsi="Times New Roman" w:cs="Times New Roman"/>
          <w:kern w:val="0"/>
          <w:sz w:val="24"/>
          <w:szCs w:val="24"/>
          <w:lang w:val="en-GB" w:eastAsia="en-GB"/>
          <w14:ligatures w14:val="none"/>
        </w:rPr>
        <w:t xml:space="preserve">Population ageing is reshaping housing markets and welfare systems across much of the developed world. By 2050, the number of people aged 65 years or older is projected to more than double from 2021 levels, rising to 1.6 billion globally (United Nations Department of Economic and Social Affairs, 2023). As populations age, policymakers face growing challenges in ensuring that housing and neighbourhoods support autonomy, accessibility, and wellbeing in later life. Although most older adults prefer to age in place, remaining in familiar environments rather than relocating to institutional care (Wiles et al., 2012; Abramsson &amp; Andersson, 2015), life-course events and declining physical capacity often necessitate residential change. Older adults also spend a greater share of their time at home and rely heavily on their residential environment for daily functioning, social contact, and wellbeing (De Jong et al., 2022). Consequently, ageing in place has become central to housing policy internationally (Grimmer et al., 2015). Understanding how older adults evaluate relocation alternatives is therefore important for developing age-inclusive housing strategies. As most existing research relies on qualitative approaches (e.g. Eriksson et al., 2022; </w:t>
      </w:r>
      <w:proofErr w:type="spellStart"/>
      <w:r w:rsidRPr="00551D0B">
        <w:rPr>
          <w:rFonts w:ascii="Times New Roman" w:eastAsia="Times New Roman" w:hAnsi="Times New Roman" w:cs="Times New Roman"/>
          <w:kern w:val="0"/>
          <w:sz w:val="24"/>
          <w:szCs w:val="24"/>
          <w:lang w:val="en-GB" w:eastAsia="en-GB"/>
          <w14:ligatures w14:val="none"/>
        </w:rPr>
        <w:t>Chaulagain</w:t>
      </w:r>
      <w:proofErr w:type="spellEnd"/>
      <w:r w:rsidRPr="00551D0B">
        <w:rPr>
          <w:rFonts w:ascii="Times New Roman" w:eastAsia="Times New Roman" w:hAnsi="Times New Roman" w:cs="Times New Roman"/>
          <w:kern w:val="0"/>
          <w:sz w:val="24"/>
          <w:szCs w:val="24"/>
          <w:lang w:val="en-GB" w:eastAsia="en-GB"/>
          <w14:ligatures w14:val="none"/>
        </w:rPr>
        <w:t>, 2025), larger quantitative studies capable of estimating economic trade-offs may provide valuable additional evidence.</w:t>
      </w:r>
    </w:p>
    <w:p w14:paraId="5A832AE8" w14:textId="77777777" w:rsidR="00551D0B" w:rsidRPr="00551D0B" w:rsidRDefault="00551D0B" w:rsidP="00E328C6">
      <w:pPr>
        <w:spacing w:after="0" w:line="480" w:lineRule="auto"/>
        <w:ind w:firstLine="720"/>
        <w:rPr>
          <w:rFonts w:ascii="Times New Roman" w:eastAsia="Times New Roman" w:hAnsi="Times New Roman" w:cs="Times New Roman"/>
          <w:kern w:val="0"/>
          <w:sz w:val="24"/>
          <w:szCs w:val="24"/>
          <w:lang w:val="en-GB" w:eastAsia="en-GB"/>
          <w14:ligatures w14:val="none"/>
        </w:rPr>
      </w:pPr>
      <w:r w:rsidRPr="00551D0B">
        <w:rPr>
          <w:rFonts w:ascii="Times New Roman" w:eastAsia="Times New Roman" w:hAnsi="Times New Roman" w:cs="Times New Roman"/>
          <w:kern w:val="0"/>
          <w:sz w:val="24"/>
          <w:szCs w:val="24"/>
          <w:lang w:val="en-GB" w:eastAsia="en-GB"/>
          <w14:ligatures w14:val="none"/>
        </w:rPr>
        <w:t xml:space="preserve">Relocation decisions in later life are shaped by a complex interplay of personal, social, and environmental factors (Roy et al., 2018). Maintaining a dwelling may become burdensome, while multi-level homes or inaccessible layouts may no longer suit changing functional abilities (Ewen et al., 2014). The departure of children or loss of a partner can alter household needs and attachment to place (Abramsson &amp; Andersson, 2012), while reduced mobility and changing social integration influence relocation expectations (Robison &amp; Moen, 2000; Eriksson et al., 2022). Financial considerations, including the desire to release housing equity or reduce housing costs after retirement, may also encourage relocation (Clark et al., </w:t>
      </w:r>
      <w:r w:rsidRPr="00551D0B">
        <w:rPr>
          <w:rFonts w:ascii="Times New Roman" w:eastAsia="Times New Roman" w:hAnsi="Times New Roman" w:cs="Times New Roman"/>
          <w:kern w:val="0"/>
          <w:sz w:val="24"/>
          <w:szCs w:val="24"/>
          <w:lang w:val="en-GB" w:eastAsia="en-GB"/>
          <w14:ligatures w14:val="none"/>
        </w:rPr>
        <w:lastRenderedPageBreak/>
        <w:t xml:space="preserve">2006). </w:t>
      </w:r>
      <w:r w:rsidRPr="00065263">
        <w:rPr>
          <w:rFonts w:ascii="Times New Roman" w:eastAsia="Times New Roman" w:hAnsi="Times New Roman" w:cs="Times New Roman"/>
          <w:kern w:val="0"/>
          <w:sz w:val="24"/>
          <w:szCs w:val="24"/>
          <w:highlight w:val="yellow"/>
          <w:lang w:val="en-GB" w:eastAsia="en-GB"/>
          <w14:ligatures w14:val="none"/>
        </w:rPr>
        <w:t>At the same time, psychological factors such as loss aversion may reinforce reluctance to move, as individuals weigh losses in familiarity and community more heavily than potential gains (</w:t>
      </w:r>
      <w:proofErr w:type="spellStart"/>
      <w:r w:rsidRPr="00065263">
        <w:rPr>
          <w:rFonts w:ascii="Times New Roman" w:eastAsia="Times New Roman" w:hAnsi="Times New Roman" w:cs="Times New Roman"/>
          <w:kern w:val="0"/>
          <w:sz w:val="24"/>
          <w:szCs w:val="24"/>
          <w:highlight w:val="yellow"/>
          <w:lang w:val="en-GB" w:eastAsia="en-GB"/>
          <w14:ligatures w14:val="none"/>
        </w:rPr>
        <w:t>Ossokina</w:t>
      </w:r>
      <w:proofErr w:type="spellEnd"/>
      <w:r w:rsidRPr="00065263">
        <w:rPr>
          <w:rFonts w:ascii="Times New Roman" w:eastAsia="Times New Roman" w:hAnsi="Times New Roman" w:cs="Times New Roman"/>
          <w:kern w:val="0"/>
          <w:sz w:val="24"/>
          <w:szCs w:val="24"/>
          <w:highlight w:val="yellow"/>
          <w:lang w:val="en-GB" w:eastAsia="en-GB"/>
          <w14:ligatures w14:val="none"/>
        </w:rPr>
        <w:t xml:space="preserve"> &amp; </w:t>
      </w:r>
      <w:proofErr w:type="spellStart"/>
      <w:r w:rsidRPr="00065263">
        <w:rPr>
          <w:rFonts w:ascii="Times New Roman" w:eastAsia="Times New Roman" w:hAnsi="Times New Roman" w:cs="Times New Roman"/>
          <w:kern w:val="0"/>
          <w:sz w:val="24"/>
          <w:szCs w:val="24"/>
          <w:highlight w:val="yellow"/>
          <w:lang w:val="en-GB" w:eastAsia="en-GB"/>
          <w14:ligatures w14:val="none"/>
        </w:rPr>
        <w:t>Arentze</w:t>
      </w:r>
      <w:proofErr w:type="spellEnd"/>
      <w:r w:rsidRPr="00065263">
        <w:rPr>
          <w:rFonts w:ascii="Times New Roman" w:eastAsia="Times New Roman" w:hAnsi="Times New Roman" w:cs="Times New Roman"/>
          <w:kern w:val="0"/>
          <w:sz w:val="24"/>
          <w:szCs w:val="24"/>
          <w:highlight w:val="yellow"/>
          <w:lang w:val="en-GB" w:eastAsia="en-GB"/>
          <w14:ligatures w14:val="none"/>
        </w:rPr>
        <w:t>, 2022).</w:t>
      </w:r>
      <w:r w:rsidRPr="00551D0B">
        <w:rPr>
          <w:rFonts w:ascii="Times New Roman" w:eastAsia="Times New Roman" w:hAnsi="Times New Roman" w:cs="Times New Roman"/>
          <w:kern w:val="0"/>
          <w:sz w:val="24"/>
          <w:szCs w:val="24"/>
          <w:lang w:val="en-GB" w:eastAsia="en-GB"/>
          <w14:ligatures w14:val="none"/>
        </w:rPr>
        <w:t xml:space="preserve"> In Sweden, relocation rates among older adults remain low, reflecting strong place attachment, social ties, and perceived risks associated with moving (Abramsson &amp; Andersson, 2015).</w:t>
      </w:r>
    </w:p>
    <w:p w14:paraId="7511F16D" w14:textId="52EA529D" w:rsidR="00551D0B" w:rsidRDefault="00551D0B" w:rsidP="00E328C6">
      <w:pPr>
        <w:spacing w:after="0" w:line="480" w:lineRule="auto"/>
        <w:ind w:firstLine="720"/>
        <w:rPr>
          <w:rFonts w:ascii="Times New Roman" w:eastAsia="Times New Roman" w:hAnsi="Times New Roman" w:cs="Times New Roman"/>
          <w:kern w:val="0"/>
          <w:sz w:val="24"/>
          <w:szCs w:val="24"/>
          <w:lang w:val="en-GB" w:eastAsia="en-GB"/>
          <w14:ligatures w14:val="none"/>
        </w:rPr>
      </w:pPr>
      <w:r w:rsidRPr="00551D0B">
        <w:rPr>
          <w:rFonts w:ascii="Times New Roman" w:eastAsia="Times New Roman" w:hAnsi="Times New Roman" w:cs="Times New Roman"/>
          <w:kern w:val="0"/>
          <w:sz w:val="24"/>
          <w:szCs w:val="24"/>
          <w:lang w:val="en-GB" w:eastAsia="en-GB"/>
          <w14:ligatures w14:val="none"/>
        </w:rPr>
        <w:t>When relocations occur, older adults must evaluate neighbourhood and accessibility attributes that shape daily life, including access to services, transport, and recreational environments. Preferences are likely to vary across socio-demographic groups, with some individuals prioritising proximity to green space and others valuing transport or shops and services more highly. Although housing preferences are widely studied, few stated preference studies quantify trade-offs in neighbourhood and locational attributes among older adults</w:t>
      </w:r>
      <w:r w:rsidR="00065263">
        <w:rPr>
          <w:rFonts w:ascii="Times New Roman" w:eastAsia="Times New Roman" w:hAnsi="Times New Roman" w:cs="Times New Roman"/>
          <w:kern w:val="0"/>
          <w:sz w:val="24"/>
          <w:szCs w:val="24"/>
          <w:lang w:val="en-GB" w:eastAsia="en-GB"/>
          <w14:ligatures w14:val="none"/>
        </w:rPr>
        <w:t>.</w:t>
      </w:r>
      <w:r w:rsidRPr="00551D0B">
        <w:rPr>
          <w:rFonts w:ascii="Times New Roman" w:eastAsia="Times New Roman" w:hAnsi="Times New Roman" w:cs="Times New Roman"/>
          <w:kern w:val="0"/>
          <w:sz w:val="24"/>
          <w:szCs w:val="24"/>
          <w:lang w:val="en-GB" w:eastAsia="en-GB"/>
          <w14:ligatures w14:val="none"/>
        </w:rPr>
        <w:t xml:space="preserve"> Existing housing research has focused largely on life-course transitions, tenure, and affordability (</w:t>
      </w:r>
      <w:proofErr w:type="spellStart"/>
      <w:r w:rsidRPr="00551D0B">
        <w:rPr>
          <w:rFonts w:ascii="Times New Roman" w:eastAsia="Times New Roman" w:hAnsi="Times New Roman" w:cs="Times New Roman"/>
          <w:kern w:val="0"/>
          <w:sz w:val="24"/>
          <w:szCs w:val="24"/>
          <w:lang w:val="en-GB" w:eastAsia="en-GB"/>
          <w14:ligatures w14:val="none"/>
        </w:rPr>
        <w:t>Damhuis</w:t>
      </w:r>
      <w:proofErr w:type="spellEnd"/>
      <w:r w:rsidRPr="00551D0B">
        <w:rPr>
          <w:rFonts w:ascii="Times New Roman" w:eastAsia="Times New Roman" w:hAnsi="Times New Roman" w:cs="Times New Roman"/>
          <w:kern w:val="0"/>
          <w:sz w:val="24"/>
          <w:szCs w:val="24"/>
          <w:lang w:val="en-GB" w:eastAsia="en-GB"/>
          <w14:ligatures w14:val="none"/>
        </w:rPr>
        <w:t xml:space="preserve"> &amp; Van Gent, 2024; Lu &amp; Kong, 2024), while relatively little evidence quantifies trade-offs between housing and locational characteristics.</w:t>
      </w:r>
    </w:p>
    <w:p w14:paraId="4C67D90F" w14:textId="77777777" w:rsidR="00887DAD" w:rsidRDefault="00887DAD" w:rsidP="00E328C6">
      <w:pPr>
        <w:spacing w:after="0" w:line="480" w:lineRule="auto"/>
        <w:ind w:firstLine="720"/>
        <w:rPr>
          <w:rFonts w:ascii="Times New Roman" w:eastAsia="Times New Roman" w:hAnsi="Times New Roman" w:cs="Times New Roman"/>
          <w:kern w:val="0"/>
          <w:sz w:val="24"/>
          <w:szCs w:val="24"/>
          <w:lang w:val="en-GB" w:eastAsia="en-GB"/>
          <w14:ligatures w14:val="none"/>
        </w:rPr>
      </w:pPr>
    </w:p>
    <w:p w14:paraId="46FEF508" w14:textId="77777777" w:rsidR="00A830A9" w:rsidRPr="00A830A9" w:rsidRDefault="00E328C6" w:rsidP="00E328C6">
      <w:pPr>
        <w:keepNext/>
        <w:spacing w:before="360" w:after="60" w:line="360" w:lineRule="auto"/>
        <w:ind w:right="567"/>
        <w:contextualSpacing/>
        <w:outlineLvl w:val="1"/>
        <w:rPr>
          <w:rFonts w:ascii="Times New Roman" w:eastAsia="Times New Roman" w:hAnsi="Times New Roman" w:cs="Arial"/>
          <w:b/>
          <w:bCs/>
          <w:i/>
          <w:iCs/>
          <w:kern w:val="0"/>
          <w:sz w:val="24"/>
          <w:szCs w:val="28"/>
          <w:lang w:val="en-GB" w:eastAsia="en-GB"/>
          <w14:ligatures w14:val="none"/>
        </w:rPr>
      </w:pPr>
      <w:r>
        <w:rPr>
          <w:rFonts w:ascii="Times New Roman" w:eastAsia="Times New Roman" w:hAnsi="Times New Roman" w:cs="Arial"/>
          <w:b/>
          <w:bCs/>
          <w:i/>
          <w:iCs/>
          <w:kern w:val="0"/>
          <w:sz w:val="24"/>
          <w:szCs w:val="28"/>
          <w:lang w:val="en-GB" w:eastAsia="en-GB"/>
          <w14:ligatures w14:val="none"/>
        </w:rPr>
        <w:t>Discrete choice experiments</w:t>
      </w:r>
    </w:p>
    <w:p w14:paraId="3E0B12EA" w14:textId="77777777" w:rsidR="00E328C6" w:rsidRDefault="00E328C6" w:rsidP="00E328C6">
      <w:pPr>
        <w:spacing w:after="0" w:line="480" w:lineRule="auto"/>
        <w:rPr>
          <w:rFonts w:ascii="Times New Roman" w:eastAsia="Times New Roman" w:hAnsi="Times New Roman" w:cs="Times New Roman"/>
          <w:kern w:val="0"/>
          <w:sz w:val="24"/>
          <w:szCs w:val="24"/>
          <w:lang w:val="en-GB" w:eastAsia="en-GB"/>
          <w14:ligatures w14:val="none"/>
        </w:rPr>
      </w:pPr>
    </w:p>
    <w:p w14:paraId="6B23E54B" w14:textId="579C349E" w:rsidR="00E328C6" w:rsidRPr="00E328C6" w:rsidRDefault="00E328C6" w:rsidP="00890F27">
      <w:pPr>
        <w:spacing w:after="0" w:line="480" w:lineRule="auto"/>
        <w:rPr>
          <w:rFonts w:ascii="Times New Roman" w:eastAsia="Times New Roman" w:hAnsi="Times New Roman" w:cs="Times New Roman"/>
          <w:kern w:val="0"/>
          <w:sz w:val="24"/>
          <w:szCs w:val="24"/>
          <w:lang w:val="en-GB" w:eastAsia="en-GB"/>
          <w14:ligatures w14:val="none"/>
        </w:rPr>
      </w:pPr>
      <w:r w:rsidRPr="00E328C6">
        <w:rPr>
          <w:rFonts w:ascii="Times New Roman" w:eastAsia="Times New Roman" w:hAnsi="Times New Roman" w:cs="Times New Roman"/>
          <w:kern w:val="0"/>
          <w:sz w:val="24"/>
          <w:szCs w:val="24"/>
          <w:lang w:val="en-GB" w:eastAsia="en-GB"/>
          <w14:ligatures w14:val="none"/>
        </w:rPr>
        <w:t xml:space="preserve">Discrete Choice Experiments (DCEs) are a widely used stated choice method for assessing the trade-offs individuals make between competing alternatives (Train, 2003). Grounded in random utility theory, DCEs assume that individuals choose the alternative that maximizes utility based on observable attributes and unobserved factors (McFadden, 1974). By analysing repeated choices across scenarios, researchers can infer the relative importance of attributes </w:t>
      </w:r>
      <w:proofErr w:type="gramStart"/>
      <w:r w:rsidRPr="00E328C6">
        <w:rPr>
          <w:rFonts w:ascii="Times New Roman" w:eastAsia="Times New Roman" w:hAnsi="Times New Roman" w:cs="Times New Roman"/>
          <w:kern w:val="0"/>
          <w:sz w:val="24"/>
          <w:szCs w:val="24"/>
          <w:lang w:val="en-GB" w:eastAsia="en-GB"/>
          <w14:ligatures w14:val="none"/>
        </w:rPr>
        <w:t xml:space="preserve">and </w:t>
      </w:r>
      <w:r w:rsidR="00890F27">
        <w:rPr>
          <w:rFonts w:ascii="Times New Roman" w:eastAsia="Times New Roman" w:hAnsi="Times New Roman" w:cs="Times New Roman"/>
          <w:kern w:val="0"/>
          <w:sz w:val="24"/>
          <w:szCs w:val="24"/>
          <w:lang w:val="en-GB" w:eastAsia="en-GB"/>
          <w14:ligatures w14:val="none"/>
        </w:rPr>
        <w:t>also</w:t>
      </w:r>
      <w:proofErr w:type="gramEnd"/>
      <w:r w:rsidR="00890F27">
        <w:rPr>
          <w:rFonts w:ascii="Times New Roman" w:eastAsia="Times New Roman" w:hAnsi="Times New Roman" w:cs="Times New Roman"/>
          <w:kern w:val="0"/>
          <w:sz w:val="24"/>
          <w:szCs w:val="24"/>
          <w:lang w:val="en-GB" w:eastAsia="en-GB"/>
          <w14:ligatures w14:val="none"/>
        </w:rPr>
        <w:t xml:space="preserve"> </w:t>
      </w:r>
      <w:r w:rsidRPr="00E328C6">
        <w:rPr>
          <w:rFonts w:ascii="Times New Roman" w:eastAsia="Times New Roman" w:hAnsi="Times New Roman" w:cs="Times New Roman"/>
          <w:kern w:val="0"/>
          <w:sz w:val="24"/>
          <w:szCs w:val="24"/>
          <w:lang w:val="en-GB" w:eastAsia="en-GB"/>
          <w14:ligatures w14:val="none"/>
        </w:rPr>
        <w:t xml:space="preserve">estimate willingness-to-pay values </w:t>
      </w:r>
      <w:r w:rsidR="00890F27">
        <w:rPr>
          <w:rFonts w:ascii="Times New Roman" w:eastAsia="Times New Roman" w:hAnsi="Times New Roman" w:cs="Times New Roman"/>
          <w:kern w:val="0"/>
          <w:sz w:val="24"/>
          <w:szCs w:val="24"/>
          <w:lang w:val="en-GB" w:eastAsia="en-GB"/>
          <w14:ligatures w14:val="none"/>
        </w:rPr>
        <w:t>if</w:t>
      </w:r>
      <w:r w:rsidRPr="00E328C6">
        <w:rPr>
          <w:rFonts w:ascii="Times New Roman" w:eastAsia="Times New Roman" w:hAnsi="Times New Roman" w:cs="Times New Roman"/>
          <w:kern w:val="0"/>
          <w:sz w:val="24"/>
          <w:szCs w:val="24"/>
          <w:lang w:val="en-GB" w:eastAsia="en-GB"/>
          <w14:ligatures w14:val="none"/>
        </w:rPr>
        <w:t xml:space="preserve"> a cost attribute is included. Although DCEs are increasingly applied in housing research, relatively few studies have focused on older populations or examined heterogeneity in locational preferences across tenure groups. Early studies primarily examined environmental amenities and locational factors such as </w:t>
      </w:r>
      <w:r w:rsidRPr="00E328C6">
        <w:rPr>
          <w:rFonts w:ascii="Times New Roman" w:eastAsia="Times New Roman" w:hAnsi="Times New Roman" w:cs="Times New Roman"/>
          <w:kern w:val="0"/>
          <w:sz w:val="24"/>
          <w:szCs w:val="24"/>
          <w:lang w:val="en-GB" w:eastAsia="en-GB"/>
          <w14:ligatures w14:val="none"/>
        </w:rPr>
        <w:lastRenderedPageBreak/>
        <w:t>proximity to green space, transit, and urban</w:t>
      </w:r>
      <w:r w:rsidR="00887DAD">
        <w:rPr>
          <w:rFonts w:ascii="Times New Roman" w:eastAsia="Times New Roman" w:hAnsi="Times New Roman" w:cs="Times New Roman"/>
          <w:kern w:val="0"/>
          <w:sz w:val="24"/>
          <w:szCs w:val="24"/>
          <w:lang w:val="en-GB" w:eastAsia="en-GB"/>
          <w14:ligatures w14:val="none"/>
        </w:rPr>
        <w:t xml:space="preserve"> while m</w:t>
      </w:r>
      <w:r w:rsidRPr="00E328C6">
        <w:rPr>
          <w:rFonts w:ascii="Times New Roman" w:eastAsia="Times New Roman" w:hAnsi="Times New Roman" w:cs="Times New Roman"/>
          <w:kern w:val="0"/>
          <w:sz w:val="24"/>
          <w:szCs w:val="24"/>
          <w:lang w:val="en-GB" w:eastAsia="en-GB"/>
          <w14:ligatures w14:val="none"/>
        </w:rPr>
        <w:t>ore recent work has incorporated socio-demographic and behavioural heterogeneity. For example, Caplan et al. (2021) identified substantial variation in willingness-to-pay for residential amenities in the United States, while Lee et al. (2025) examined preferences for circular and affordable housing among younger adults in South Korea</w:t>
      </w:r>
      <w:r w:rsidR="00887DAD">
        <w:rPr>
          <w:rFonts w:ascii="Times New Roman" w:eastAsia="Times New Roman" w:hAnsi="Times New Roman" w:cs="Times New Roman"/>
          <w:kern w:val="0"/>
          <w:sz w:val="24"/>
          <w:szCs w:val="24"/>
          <w:lang w:val="en-GB" w:eastAsia="en-GB"/>
          <w14:ligatures w14:val="none"/>
        </w:rPr>
        <w:t xml:space="preserve"> and </w:t>
      </w:r>
      <w:proofErr w:type="spellStart"/>
      <w:r w:rsidRPr="00E328C6">
        <w:rPr>
          <w:rFonts w:ascii="Times New Roman" w:eastAsia="Times New Roman" w:hAnsi="Times New Roman" w:cs="Times New Roman"/>
          <w:kern w:val="0"/>
          <w:sz w:val="24"/>
          <w:szCs w:val="24"/>
          <w:lang w:val="en-GB" w:eastAsia="en-GB"/>
          <w14:ligatures w14:val="none"/>
        </w:rPr>
        <w:t>Ardeshiri</w:t>
      </w:r>
      <w:proofErr w:type="spellEnd"/>
      <w:r w:rsidRPr="00E328C6">
        <w:rPr>
          <w:rFonts w:ascii="Times New Roman" w:eastAsia="Times New Roman" w:hAnsi="Times New Roman" w:cs="Times New Roman"/>
          <w:kern w:val="0"/>
          <w:sz w:val="24"/>
          <w:szCs w:val="24"/>
          <w:lang w:val="en-GB" w:eastAsia="en-GB"/>
          <w14:ligatures w14:val="none"/>
        </w:rPr>
        <w:t xml:space="preserve"> et al. (2024) distinguished preferences for owner-occupied and investment housing in Australia. Among studies focusing on ageing, </w:t>
      </w:r>
      <w:proofErr w:type="spellStart"/>
      <w:r w:rsidRPr="00E328C6">
        <w:rPr>
          <w:rFonts w:ascii="Times New Roman" w:eastAsia="Times New Roman" w:hAnsi="Times New Roman" w:cs="Times New Roman"/>
          <w:kern w:val="0"/>
          <w:sz w:val="24"/>
          <w:szCs w:val="24"/>
          <w:lang w:val="en-GB" w:eastAsia="en-GB"/>
          <w14:ligatures w14:val="none"/>
        </w:rPr>
        <w:t>Ossokina</w:t>
      </w:r>
      <w:proofErr w:type="spellEnd"/>
      <w:r w:rsidRPr="00E328C6">
        <w:rPr>
          <w:rFonts w:ascii="Times New Roman" w:eastAsia="Times New Roman" w:hAnsi="Times New Roman" w:cs="Times New Roman"/>
          <w:kern w:val="0"/>
          <w:sz w:val="24"/>
          <w:szCs w:val="24"/>
          <w:lang w:val="en-GB" w:eastAsia="en-GB"/>
          <w14:ligatures w14:val="none"/>
        </w:rPr>
        <w:t xml:space="preserve"> et al. (2020) found that safety, accessibility, and social cohesion strongly shape residential preferences among older homeowners in the Netherlands, while </w:t>
      </w:r>
      <w:proofErr w:type="spellStart"/>
      <w:r w:rsidRPr="00E328C6">
        <w:rPr>
          <w:rFonts w:ascii="Times New Roman" w:eastAsia="Times New Roman" w:hAnsi="Times New Roman" w:cs="Times New Roman"/>
          <w:kern w:val="0"/>
          <w:sz w:val="24"/>
          <w:szCs w:val="24"/>
          <w:lang w:val="en-GB" w:eastAsia="en-GB"/>
          <w14:ligatures w14:val="none"/>
        </w:rPr>
        <w:t>Ossokina</w:t>
      </w:r>
      <w:proofErr w:type="spellEnd"/>
      <w:r w:rsidRPr="00E328C6">
        <w:rPr>
          <w:rFonts w:ascii="Times New Roman" w:eastAsia="Times New Roman" w:hAnsi="Times New Roman" w:cs="Times New Roman"/>
          <w:kern w:val="0"/>
          <w:sz w:val="24"/>
          <w:szCs w:val="24"/>
          <w:lang w:val="en-GB" w:eastAsia="en-GB"/>
          <w14:ligatures w14:val="none"/>
        </w:rPr>
        <w:t xml:space="preserve"> and </w:t>
      </w:r>
      <w:proofErr w:type="spellStart"/>
      <w:r w:rsidRPr="00E328C6">
        <w:rPr>
          <w:rFonts w:ascii="Times New Roman" w:eastAsia="Times New Roman" w:hAnsi="Times New Roman" w:cs="Times New Roman"/>
          <w:kern w:val="0"/>
          <w:sz w:val="24"/>
          <w:szCs w:val="24"/>
          <w:lang w:val="en-GB" w:eastAsia="en-GB"/>
          <w14:ligatures w14:val="none"/>
        </w:rPr>
        <w:t>Arentze</w:t>
      </w:r>
      <w:proofErr w:type="spellEnd"/>
      <w:r w:rsidRPr="00E328C6">
        <w:rPr>
          <w:rFonts w:ascii="Times New Roman" w:eastAsia="Times New Roman" w:hAnsi="Times New Roman" w:cs="Times New Roman"/>
          <w:kern w:val="0"/>
          <w:sz w:val="24"/>
          <w:szCs w:val="24"/>
          <w:lang w:val="en-GB" w:eastAsia="en-GB"/>
          <w14:ligatures w14:val="none"/>
        </w:rPr>
        <w:t xml:space="preserve"> (2022) showed that housing decisions are often reference dependent.</w:t>
      </w:r>
    </w:p>
    <w:p w14:paraId="5B205652" w14:textId="77777777" w:rsidR="00A830A9" w:rsidRPr="00887DAD" w:rsidRDefault="00E328C6" w:rsidP="00887DAD">
      <w:pPr>
        <w:spacing w:after="0" w:line="480" w:lineRule="auto"/>
        <w:ind w:firstLine="1304"/>
        <w:rPr>
          <w:rFonts w:ascii="Times New Roman" w:eastAsia="Times New Roman" w:hAnsi="Times New Roman" w:cs="Times New Roman"/>
          <w:kern w:val="0"/>
          <w:sz w:val="24"/>
          <w:szCs w:val="24"/>
          <w:lang w:val="en-GB" w:eastAsia="en-GB"/>
          <w14:ligatures w14:val="none"/>
        </w:rPr>
      </w:pPr>
      <w:r w:rsidRPr="00E328C6">
        <w:rPr>
          <w:rFonts w:ascii="Times New Roman" w:eastAsia="Times New Roman" w:hAnsi="Times New Roman" w:cs="Times New Roman"/>
          <w:kern w:val="0"/>
          <w:sz w:val="24"/>
          <w:szCs w:val="24"/>
          <w:lang w:val="en-GB" w:eastAsia="en-GB"/>
          <w14:ligatures w14:val="none"/>
        </w:rPr>
        <w:t xml:space="preserve">Housing preferences are rarely uniform across individuals. Economic resources, household composition, tenure, health, and mobility may all shape residential evaluations and willingness-to-pay (Caplan et al., 2021; </w:t>
      </w:r>
      <w:proofErr w:type="spellStart"/>
      <w:r w:rsidRPr="00E328C6">
        <w:rPr>
          <w:rFonts w:ascii="Times New Roman" w:eastAsia="Times New Roman" w:hAnsi="Times New Roman" w:cs="Times New Roman"/>
          <w:kern w:val="0"/>
          <w:sz w:val="24"/>
          <w:szCs w:val="24"/>
          <w:lang w:val="en-GB" w:eastAsia="en-GB"/>
          <w14:ligatures w14:val="none"/>
        </w:rPr>
        <w:t>Ardeshiri</w:t>
      </w:r>
      <w:proofErr w:type="spellEnd"/>
      <w:r w:rsidRPr="00E328C6">
        <w:rPr>
          <w:rFonts w:ascii="Times New Roman" w:eastAsia="Times New Roman" w:hAnsi="Times New Roman" w:cs="Times New Roman"/>
          <w:kern w:val="0"/>
          <w:sz w:val="24"/>
          <w:szCs w:val="24"/>
          <w:lang w:val="en-GB" w:eastAsia="en-GB"/>
          <w14:ligatures w14:val="none"/>
        </w:rPr>
        <w:t xml:space="preserve"> et al., 2024). Ageing itself introduces additional heterogeneity as physical ability, mobility, and social networks evolve over time (Lofqvist et al., 2013).</w:t>
      </w:r>
      <w:r w:rsidR="00887DAD">
        <w:rPr>
          <w:rFonts w:ascii="Times New Roman" w:eastAsia="Times New Roman" w:hAnsi="Times New Roman" w:cs="Times New Roman"/>
          <w:kern w:val="0"/>
          <w:sz w:val="24"/>
          <w:szCs w:val="24"/>
          <w:lang w:val="en-GB" w:eastAsia="en-GB"/>
          <w14:ligatures w14:val="none"/>
        </w:rPr>
        <w:t xml:space="preserve">  In modelling, r</w:t>
      </w:r>
      <w:r w:rsidRPr="00E328C6">
        <w:rPr>
          <w:rFonts w:ascii="Times New Roman" w:eastAsia="Times New Roman" w:hAnsi="Times New Roman" w:cs="Times New Roman"/>
          <w:kern w:val="0"/>
          <w:sz w:val="24"/>
          <w:szCs w:val="24"/>
          <w:lang w:val="en-GB" w:eastAsia="en-GB"/>
          <w14:ligatures w14:val="none"/>
        </w:rPr>
        <w:t xml:space="preserve">ecent studies have applied latent class and mixed logit approaches with interaction effects to capture preference heterogeneity (Caplan et al., 2021; Aitken et al., 2024; Schulz et al., 2025). However, evidence on how socio-demographic factors shape locational preferences across renters and homeowners in later life remains limited and context specific. </w:t>
      </w:r>
      <w:proofErr w:type="gramStart"/>
      <w:r w:rsidRPr="00E328C6">
        <w:rPr>
          <w:rFonts w:ascii="Times New Roman" w:eastAsia="Times New Roman" w:hAnsi="Times New Roman" w:cs="Times New Roman"/>
          <w:kern w:val="0"/>
          <w:sz w:val="24"/>
          <w:szCs w:val="24"/>
          <w:lang w:val="en-GB" w:eastAsia="en-GB"/>
          <w14:ligatures w14:val="none"/>
        </w:rPr>
        <w:t>In particular, little</w:t>
      </w:r>
      <w:proofErr w:type="gramEnd"/>
      <w:r w:rsidRPr="00E328C6">
        <w:rPr>
          <w:rFonts w:ascii="Times New Roman" w:eastAsia="Times New Roman" w:hAnsi="Times New Roman" w:cs="Times New Roman"/>
          <w:kern w:val="0"/>
          <w:sz w:val="24"/>
          <w:szCs w:val="24"/>
          <w:lang w:val="en-GB" w:eastAsia="en-GB"/>
          <w14:ligatures w14:val="none"/>
        </w:rPr>
        <w:t xml:space="preserve"> is known about whether preferences for mobility-related attributes differ systematically from preferences for neighbourhood amenities, and how these trade-offs vary across socio-demographic groups.</w:t>
      </w:r>
    </w:p>
    <w:p w14:paraId="029C6D2C" w14:textId="77777777" w:rsidR="00887DAD" w:rsidRPr="00A830A9" w:rsidRDefault="00887DAD" w:rsidP="00E328C6">
      <w:pPr>
        <w:keepNext/>
        <w:spacing w:before="360" w:after="60" w:line="360" w:lineRule="auto"/>
        <w:ind w:right="567"/>
        <w:contextualSpacing/>
        <w:outlineLvl w:val="1"/>
        <w:rPr>
          <w:rFonts w:ascii="Times New Roman" w:eastAsia="Times New Roman" w:hAnsi="Times New Roman" w:cs="Arial"/>
          <w:b/>
          <w:bCs/>
          <w:i/>
          <w:iCs/>
          <w:kern w:val="0"/>
          <w:sz w:val="24"/>
          <w:szCs w:val="28"/>
          <w:lang w:val="en-GB" w:eastAsia="en-GB"/>
          <w14:ligatures w14:val="none"/>
        </w:rPr>
      </w:pPr>
    </w:p>
    <w:p w14:paraId="4614DB3E" w14:textId="77777777" w:rsidR="00A830A9" w:rsidRPr="00A830A9" w:rsidRDefault="00A830A9" w:rsidP="00887DAD">
      <w:pPr>
        <w:spacing w:after="0" w:line="480" w:lineRule="auto"/>
        <w:ind w:firstLine="1304"/>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The aim of this study was to examine residential trade-offs by estimating willingness-to-pay values of key locational and amenity attributes of older adults in Sweden who are considering relocation, including both renters and homeowners. Specifically, the study assessed how preferences for proximity to green areas, shops, public transport, and parking amenities vary by age, gender, health status, and tenure status. By focusing on </w:t>
      </w:r>
      <w:r w:rsidRPr="00A830A9">
        <w:rPr>
          <w:rFonts w:ascii="Times New Roman" w:eastAsia="Times New Roman" w:hAnsi="Times New Roman" w:cs="Times New Roman"/>
          <w:kern w:val="0"/>
          <w:sz w:val="24"/>
          <w:szCs w:val="24"/>
          <w:lang w:val="en-GB" w:eastAsia="en-GB"/>
          <w14:ligatures w14:val="none"/>
        </w:rPr>
        <w:lastRenderedPageBreak/>
        <w:t>individuals actively considering relocation, the study provides estimates that are more behaviourally relevant than those derived from general population samples.</w:t>
      </w:r>
    </w:p>
    <w:p w14:paraId="292BC473"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0F1C41FA" w14:textId="77777777" w:rsidR="00A830A9" w:rsidRDefault="00A830A9" w:rsidP="00887DAD">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t>Research Design and Methods</w:t>
      </w:r>
    </w:p>
    <w:p w14:paraId="4A1BD143" w14:textId="77777777" w:rsidR="00887DAD" w:rsidRPr="00A830A9" w:rsidRDefault="00887DAD" w:rsidP="00887DAD">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p>
    <w:p w14:paraId="2837CF15" w14:textId="0D7CC435" w:rsidR="00A830A9" w:rsidRDefault="00A830A9" w:rsidP="00CE78A1">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Using data from a DCE embedded in the Prospective RELOC-AGE project (Zingmark et al., 2021), mixed logit models were estimated to derive marginal willingness-to-pay (MWTP) estimates for proximity to green space, shops, public transport, </w:t>
      </w:r>
      <w:r w:rsidR="00CE78A1">
        <w:rPr>
          <w:rFonts w:ascii="Times New Roman" w:eastAsia="Times New Roman" w:hAnsi="Times New Roman" w:cs="Times New Roman"/>
          <w:kern w:val="0"/>
          <w:sz w:val="24"/>
          <w:szCs w:val="24"/>
          <w:lang w:val="en-GB" w:eastAsia="en-GB"/>
          <w14:ligatures w14:val="none"/>
        </w:rPr>
        <w:t>and</w:t>
      </w:r>
      <w:r w:rsidRPr="00A830A9">
        <w:rPr>
          <w:rFonts w:ascii="Times New Roman" w:eastAsia="Times New Roman" w:hAnsi="Times New Roman" w:cs="Times New Roman"/>
          <w:kern w:val="0"/>
          <w:sz w:val="24"/>
          <w:szCs w:val="24"/>
          <w:lang w:val="en-GB" w:eastAsia="en-GB"/>
          <w14:ligatures w14:val="none"/>
        </w:rPr>
        <w:t xml:space="preserve"> dedicated parking. </w:t>
      </w:r>
      <w:r w:rsidR="00CE78A1" w:rsidRPr="00CE78A1">
        <w:rPr>
          <w:rFonts w:ascii="Times New Roman" w:eastAsia="Times New Roman" w:hAnsi="Times New Roman" w:cs="Times New Roman"/>
          <w:kern w:val="0"/>
          <w:sz w:val="24"/>
          <w:szCs w:val="24"/>
          <w:lang w:val="en-GB" w:eastAsia="en-GB"/>
          <w14:ligatures w14:val="none"/>
        </w:rPr>
        <w:t xml:space="preserve">To examine observable preference heterogeneity, interaction terms were included for age, gender, and health status. </w:t>
      </w:r>
      <w:r w:rsidR="00E72BC2" w:rsidRPr="00CE78A1">
        <w:rPr>
          <w:rFonts w:ascii="Times New Roman" w:eastAsia="Times New Roman" w:hAnsi="Times New Roman" w:cs="Times New Roman"/>
          <w:kern w:val="0"/>
          <w:sz w:val="24"/>
          <w:szCs w:val="24"/>
          <w:lang w:val="en-GB" w:eastAsia="en-GB"/>
          <w14:ligatures w14:val="none"/>
        </w:rPr>
        <w:t xml:space="preserve">While random parameters capture unobserved heterogeneity, interaction terms identify systematic socio-demographic variation in preferences. </w:t>
      </w:r>
      <w:r w:rsidR="00E72BC2" w:rsidRPr="00E72BC2">
        <w:rPr>
          <w:rFonts w:ascii="Times New Roman" w:eastAsia="Times New Roman" w:hAnsi="Times New Roman" w:cs="Times New Roman"/>
          <w:kern w:val="0"/>
          <w:sz w:val="24"/>
          <w:szCs w:val="24"/>
          <w:lang w:val="en-GB" w:eastAsia="en-GB"/>
          <w14:ligatures w14:val="none"/>
        </w:rPr>
        <w:t xml:space="preserve">To complement the mixed logit specification and identify unobserved segments of respondents with distinct preference structures, latent class logit models </w:t>
      </w:r>
      <w:r w:rsidR="00E72BC2" w:rsidRPr="00E72BC2">
        <w:rPr>
          <w:rFonts w:ascii="Times New Roman" w:eastAsia="Times New Roman" w:hAnsi="Times New Roman" w:cs="Times New Roman"/>
          <w:kern w:val="0"/>
          <w:sz w:val="24"/>
          <w:szCs w:val="24"/>
          <w:lang w:val="en-GB" w:eastAsia="en-GB"/>
          <w14:ligatures w14:val="none"/>
        </w:rPr>
        <w:t xml:space="preserve">were estimated.  </w:t>
      </w:r>
      <w:r w:rsidR="00CE78A1" w:rsidRPr="00CE78A1">
        <w:rPr>
          <w:rFonts w:ascii="Times New Roman" w:eastAsia="Times New Roman" w:hAnsi="Times New Roman" w:cs="Times New Roman"/>
          <w:kern w:val="0"/>
          <w:sz w:val="24"/>
          <w:szCs w:val="24"/>
          <w:lang w:val="en-GB" w:eastAsia="en-GB"/>
          <w14:ligatures w14:val="none"/>
        </w:rPr>
        <w:t>The study builds on recent stated choice housing studies (</w:t>
      </w:r>
      <w:proofErr w:type="spellStart"/>
      <w:r w:rsidR="00CE78A1" w:rsidRPr="00CE78A1">
        <w:rPr>
          <w:rFonts w:ascii="Times New Roman" w:eastAsia="Times New Roman" w:hAnsi="Times New Roman" w:cs="Times New Roman"/>
          <w:kern w:val="0"/>
          <w:sz w:val="24"/>
          <w:szCs w:val="24"/>
          <w:lang w:val="en-GB" w:eastAsia="en-GB"/>
          <w14:ligatures w14:val="none"/>
        </w:rPr>
        <w:t>Ossokina</w:t>
      </w:r>
      <w:proofErr w:type="spellEnd"/>
      <w:r w:rsidR="00CE78A1" w:rsidRPr="00CE78A1">
        <w:rPr>
          <w:rFonts w:ascii="Times New Roman" w:eastAsia="Times New Roman" w:hAnsi="Times New Roman" w:cs="Times New Roman"/>
          <w:kern w:val="0"/>
          <w:sz w:val="24"/>
          <w:szCs w:val="24"/>
          <w:lang w:val="en-GB" w:eastAsia="en-GB"/>
          <w14:ligatures w14:val="none"/>
        </w:rPr>
        <w:t xml:space="preserve"> et al., 2020; Caplan et al., 2021; </w:t>
      </w:r>
      <w:proofErr w:type="spellStart"/>
      <w:r w:rsidR="00CE78A1" w:rsidRPr="00CE78A1">
        <w:rPr>
          <w:rFonts w:ascii="Times New Roman" w:eastAsia="Times New Roman" w:hAnsi="Times New Roman" w:cs="Times New Roman"/>
          <w:kern w:val="0"/>
          <w:sz w:val="24"/>
          <w:szCs w:val="24"/>
          <w:lang w:val="en-GB" w:eastAsia="en-GB"/>
          <w14:ligatures w14:val="none"/>
        </w:rPr>
        <w:t>Ossokina</w:t>
      </w:r>
      <w:proofErr w:type="spellEnd"/>
      <w:r w:rsidR="00CE78A1" w:rsidRPr="00CE78A1">
        <w:rPr>
          <w:rFonts w:ascii="Times New Roman" w:eastAsia="Times New Roman" w:hAnsi="Times New Roman" w:cs="Times New Roman"/>
          <w:kern w:val="0"/>
          <w:sz w:val="24"/>
          <w:szCs w:val="24"/>
          <w:lang w:val="en-GB" w:eastAsia="en-GB"/>
          <w14:ligatures w14:val="none"/>
        </w:rPr>
        <w:t xml:space="preserve"> &amp; </w:t>
      </w:r>
      <w:proofErr w:type="spellStart"/>
      <w:r w:rsidR="00CE78A1" w:rsidRPr="00CE78A1">
        <w:rPr>
          <w:rFonts w:ascii="Times New Roman" w:eastAsia="Times New Roman" w:hAnsi="Times New Roman" w:cs="Times New Roman"/>
          <w:kern w:val="0"/>
          <w:sz w:val="24"/>
          <w:szCs w:val="24"/>
          <w:lang w:val="en-GB" w:eastAsia="en-GB"/>
          <w14:ligatures w14:val="none"/>
        </w:rPr>
        <w:t>Arentze</w:t>
      </w:r>
      <w:proofErr w:type="spellEnd"/>
      <w:r w:rsidR="00CE78A1" w:rsidRPr="00CE78A1">
        <w:rPr>
          <w:rFonts w:ascii="Times New Roman" w:eastAsia="Times New Roman" w:hAnsi="Times New Roman" w:cs="Times New Roman"/>
          <w:kern w:val="0"/>
          <w:sz w:val="24"/>
          <w:szCs w:val="24"/>
          <w:lang w:val="en-GB" w:eastAsia="en-GB"/>
          <w14:ligatures w14:val="none"/>
        </w:rPr>
        <w:t>, 2022; Aitken et al., 2024; Lee et al., 2025), extending DCE methods to a Scandinavian ageing-in-place context.</w:t>
      </w:r>
    </w:p>
    <w:p w14:paraId="00102702" w14:textId="77777777" w:rsidR="00CE78A1" w:rsidRPr="00A830A9" w:rsidRDefault="00CE78A1" w:rsidP="00CE78A1">
      <w:pPr>
        <w:spacing w:after="0" w:line="480" w:lineRule="auto"/>
        <w:rPr>
          <w:rFonts w:ascii="Times New Roman" w:eastAsia="Times New Roman" w:hAnsi="Times New Roman" w:cs="Arial"/>
          <w:b/>
          <w:bCs/>
          <w:i/>
          <w:iCs/>
          <w:kern w:val="0"/>
          <w:sz w:val="24"/>
          <w:szCs w:val="28"/>
          <w:lang w:val="en-GB" w:eastAsia="en-GB"/>
          <w14:ligatures w14:val="none"/>
        </w:rPr>
      </w:pPr>
    </w:p>
    <w:p w14:paraId="06B52B0E" w14:textId="77777777" w:rsidR="00887DAD" w:rsidRDefault="00A830A9" w:rsidP="00887DAD">
      <w:pPr>
        <w:keepNext/>
        <w:spacing w:before="360" w:after="60" w:line="360" w:lineRule="auto"/>
        <w:ind w:right="567"/>
        <w:contextualSpacing/>
        <w:outlineLvl w:val="1"/>
        <w:rPr>
          <w:rFonts w:ascii="Times New Roman" w:eastAsia="Times New Roman" w:hAnsi="Times New Roman" w:cs="Arial"/>
          <w:b/>
          <w:bCs/>
          <w:i/>
          <w:iCs/>
          <w:kern w:val="0"/>
          <w:sz w:val="24"/>
          <w:szCs w:val="28"/>
          <w:lang w:val="en-GB" w:eastAsia="en-GB"/>
          <w14:ligatures w14:val="none"/>
        </w:rPr>
      </w:pPr>
      <w:r w:rsidRPr="00A830A9">
        <w:rPr>
          <w:rFonts w:ascii="Times New Roman" w:eastAsia="Times New Roman" w:hAnsi="Times New Roman" w:cs="Arial"/>
          <w:b/>
          <w:bCs/>
          <w:i/>
          <w:iCs/>
          <w:kern w:val="0"/>
          <w:sz w:val="24"/>
          <w:szCs w:val="28"/>
          <w:lang w:val="en-GB" w:eastAsia="en-GB"/>
          <w14:ligatures w14:val="none"/>
        </w:rPr>
        <w:t>Participants and data collection</w:t>
      </w:r>
    </w:p>
    <w:p w14:paraId="6F417BD2" w14:textId="77777777" w:rsidR="00887DAD" w:rsidRPr="00887DAD" w:rsidRDefault="00887DAD" w:rsidP="00887DAD">
      <w:pPr>
        <w:keepNext/>
        <w:spacing w:before="360" w:after="60" w:line="360" w:lineRule="auto"/>
        <w:ind w:right="567"/>
        <w:contextualSpacing/>
        <w:outlineLvl w:val="1"/>
        <w:rPr>
          <w:rFonts w:ascii="Times New Roman" w:eastAsia="Times New Roman" w:hAnsi="Times New Roman" w:cs="Arial"/>
          <w:b/>
          <w:bCs/>
          <w:i/>
          <w:iCs/>
          <w:kern w:val="0"/>
          <w:sz w:val="24"/>
          <w:szCs w:val="28"/>
          <w:lang w:val="en-GB" w:eastAsia="en-GB"/>
          <w14:ligatures w14:val="none"/>
        </w:rPr>
      </w:pPr>
    </w:p>
    <w:p w14:paraId="3E381694"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The primary objective of the ongoing Prospective RELOC-AGE project, a longitudinal two-tiered mixed-method cohort investigation conducted in Sweden, is to explore the long-term dynamics associated with housing choices, relocation, and active and healthy ageing, focusing on individuals across the ageing process (Zingmark et al., 2021). The project was registered under the identifier NCT04765696 on ClinicalTrials.gov (U.S. National Library of Medicine, 2021). </w:t>
      </w:r>
    </w:p>
    <w:p w14:paraId="08C6F3C7"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At baseline (2021) eligible participants were aged 55 or older, residing in Sweden, and actively registered with an interest in relocation with one of three housing companies: two local public housing providers and a national provider of tenant-owned dwellings.  As such, the sample reflects a population with an expressed interest in relocation and may not be representative of older adults who intend to age in place.  8,583 people were invited to participate where 1,964 individuals responded to the survey at baseline, and 1,509 individuals responded to the one-year follow-up survey.  With &gt;200 questions in each survey setting, the Prospective RELOC-AGE provides a rich source of information, including a wide set of socio-demographic information.</w:t>
      </w:r>
    </w:p>
    <w:p w14:paraId="5382BBC2" w14:textId="7D3E9E5B" w:rsidR="00A830A9" w:rsidRPr="00A830A9" w:rsidRDefault="00A830A9" w:rsidP="00887DAD">
      <w:pPr>
        <w:spacing w:after="0" w:line="480" w:lineRule="auto"/>
        <w:ind w:firstLine="720"/>
        <w:rPr>
          <w:rFonts w:ascii="Times New Roman" w:eastAsia="Times New Roman" w:hAnsi="Times New Roman" w:cs="Times New Roman"/>
          <w:kern w:val="0"/>
          <w:sz w:val="24"/>
          <w:szCs w:val="24"/>
          <w:lang w:val="en-GB" w:eastAsia="en-GB"/>
          <w14:ligatures w14:val="none"/>
        </w:rPr>
      </w:pPr>
      <w:r w:rsidRPr="00E72BC2">
        <w:rPr>
          <w:rFonts w:ascii="Times New Roman" w:eastAsia="Times New Roman" w:hAnsi="Times New Roman" w:cs="Times New Roman"/>
          <w:kern w:val="0"/>
          <w:sz w:val="24"/>
          <w:szCs w:val="24"/>
          <w:lang w:val="en-GB" w:eastAsia="en-GB"/>
          <w14:ligatures w14:val="none"/>
        </w:rPr>
        <w:t>The DCE was administered in conjunction with the second follow-up survey distributed during May to October 2024, where 1,247 respondents (64% of the baseline cohort) participated in the Prospective RELOC-AGE survey via a web-based platform. After the main survey was completed, respondents were asked to take part in the optional DCE. Following the initial DCE administration, two reminder emails were distributed. The final DCE sample size consisted of 957 individuals, representing a 73% response rate of the follow-up survey respondents. They represented a geographically diverse sample of individuals aged 55 and above across Sweden (Supplementary Figure S1).</w:t>
      </w:r>
    </w:p>
    <w:p w14:paraId="5969F098"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503FDF5E" w14:textId="77777777" w:rsidR="00887DAD" w:rsidRDefault="00507931" w:rsidP="00A830A9">
      <w:pPr>
        <w:spacing w:after="0" w:line="480" w:lineRule="auto"/>
        <w:rPr>
          <w:rFonts w:ascii="Times New Roman" w:eastAsia="Times New Roman" w:hAnsi="Times New Roman" w:cs="Times New Roman"/>
          <w:kern w:val="0"/>
          <w:sz w:val="24"/>
          <w:szCs w:val="24"/>
          <w:lang w:val="en-GB" w:eastAsia="en-GB"/>
          <w14:ligatures w14:val="none"/>
        </w:rPr>
      </w:pPr>
      <w:r w:rsidRPr="00507931">
        <w:rPr>
          <w:rFonts w:ascii="Times New Roman" w:eastAsia="Times New Roman" w:hAnsi="Times New Roman" w:cs="Times New Roman"/>
          <w:kern w:val="0"/>
          <w:sz w:val="24"/>
          <w:szCs w:val="24"/>
          <w:lang w:val="en-GB" w:eastAsia="en-GB"/>
          <w14:ligatures w14:val="none"/>
        </w:rPr>
        <w:t xml:space="preserve">Prior to administering the DCE, an internal review was conducted involving 20 researchers and staff, followed by pilot testing with older adults from the Centre for Ageing and Supportive Environments (CASE) Stakeholder Pool (N = 56), a network of older individuals interested in collaborating in ageing-related research. Similar demographics between the survey respondents and Stakeholder Pool participants were important for refining the experiment. In both phases, participants completed the experiment and provided structured feedback on attribute relevance, wording clarity, and task comprehension. Feedback informed </w:t>
      </w:r>
      <w:r w:rsidRPr="00507931">
        <w:rPr>
          <w:rFonts w:ascii="Times New Roman" w:eastAsia="Times New Roman" w:hAnsi="Times New Roman" w:cs="Times New Roman"/>
          <w:kern w:val="0"/>
          <w:sz w:val="24"/>
          <w:szCs w:val="24"/>
          <w:lang w:val="en-GB" w:eastAsia="en-GB"/>
          <w14:ligatures w14:val="none"/>
        </w:rPr>
        <w:lastRenderedPageBreak/>
        <w:t>revisions to attribute descriptions and wording, refinement of attribute levels, and reduction of the number of choice sets to minimize respondent burden. The final DCE questionnaire included three parts: an introduction describing the attributes and levels, a short questionnaire on household income and planned housing costs, and the experiment consisting of nine choice sets</w:t>
      </w:r>
      <w:r w:rsidR="00A830A9" w:rsidRPr="00A830A9">
        <w:rPr>
          <w:rFonts w:ascii="Times New Roman" w:eastAsia="Times New Roman" w:hAnsi="Times New Roman" w:cs="Times New Roman"/>
          <w:kern w:val="0"/>
          <w:sz w:val="24"/>
          <w:szCs w:val="24"/>
          <w:lang w:val="en-GB" w:eastAsia="en-GB"/>
          <w14:ligatures w14:val="none"/>
        </w:rPr>
        <w:t>.</w:t>
      </w:r>
    </w:p>
    <w:p w14:paraId="3D69056C" w14:textId="77777777" w:rsidR="00887DAD" w:rsidRPr="00A830A9" w:rsidRDefault="00887DAD" w:rsidP="00A830A9">
      <w:pPr>
        <w:spacing w:after="0" w:line="480" w:lineRule="auto"/>
        <w:rPr>
          <w:rFonts w:ascii="Times New Roman" w:eastAsia="Times New Roman" w:hAnsi="Times New Roman" w:cs="Times New Roman"/>
          <w:kern w:val="0"/>
          <w:sz w:val="24"/>
          <w:szCs w:val="24"/>
          <w:lang w:val="en-GB" w:eastAsia="en-GB"/>
          <w14:ligatures w14:val="none"/>
        </w:rPr>
      </w:pPr>
    </w:p>
    <w:p w14:paraId="0101C5C6" w14:textId="77777777" w:rsidR="00A830A9"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A830A9">
        <w:rPr>
          <w:rFonts w:ascii="Times New Roman" w:eastAsia="Times New Roman" w:hAnsi="Times New Roman" w:cs="Arial"/>
          <w:b/>
          <w:bCs/>
          <w:i/>
          <w:iCs/>
          <w:kern w:val="0"/>
          <w:sz w:val="24"/>
          <w:szCs w:val="28"/>
          <w:lang w:val="en-US" w:eastAsia="en-GB"/>
          <w14:ligatures w14:val="none"/>
        </w:rPr>
        <w:t>Ethics</w:t>
      </w:r>
    </w:p>
    <w:p w14:paraId="3C0CDF9F" w14:textId="77777777" w:rsidR="00887DAD" w:rsidRPr="00A830A9" w:rsidRDefault="00887DAD"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54EBB46C" w14:textId="77777777" w:rsidR="00A830A9"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The Prospective RELOC-AGE project was approved by the Swedish Ethical Review Authority (nos. 2020–03457; 2022-01287-02; 2024-01696-02),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71757A7C" w14:textId="77777777" w:rsidR="00887DAD" w:rsidRPr="00A830A9" w:rsidRDefault="00887DAD"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p>
    <w:p w14:paraId="77F7424B" w14:textId="664DF447" w:rsidR="00887DAD"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A830A9">
        <w:rPr>
          <w:rFonts w:ascii="Times New Roman" w:eastAsia="Times New Roman" w:hAnsi="Times New Roman" w:cs="Arial"/>
          <w:b/>
          <w:bCs/>
          <w:i/>
          <w:iCs/>
          <w:kern w:val="0"/>
          <w:sz w:val="24"/>
          <w:szCs w:val="28"/>
          <w:lang w:val="en-US" w:eastAsia="en-GB"/>
          <w14:ligatures w14:val="none"/>
        </w:rPr>
        <w:t>Experiment design</w:t>
      </w:r>
    </w:p>
    <w:p w14:paraId="60EC57F6" w14:textId="77777777" w:rsidR="00E72BC2" w:rsidRPr="00A830A9" w:rsidRDefault="00E72BC2"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63B72923" w14:textId="77777777" w:rsidR="00086BB9" w:rsidRDefault="00EE48D3" w:rsidP="00086BB9">
      <w:pPr>
        <w:spacing w:after="0" w:line="480" w:lineRule="auto"/>
        <w:ind w:firstLine="1304"/>
        <w:rPr>
          <w:rFonts w:ascii="Times New Roman" w:eastAsia="Times New Roman" w:hAnsi="Times New Roman" w:cs="Times New Roman"/>
          <w:kern w:val="0"/>
          <w:sz w:val="24"/>
          <w:szCs w:val="24"/>
          <w:lang w:val="en-GB" w:eastAsia="en-GB"/>
          <w14:ligatures w14:val="none"/>
        </w:rPr>
      </w:pPr>
      <w:r w:rsidRPr="00EE48D3">
        <w:rPr>
          <w:rFonts w:ascii="Times New Roman" w:eastAsia="Times New Roman" w:hAnsi="Times New Roman" w:cs="Times New Roman"/>
          <w:kern w:val="0"/>
          <w:sz w:val="24"/>
          <w:szCs w:val="24"/>
          <w:lang w:val="en-GB" w:eastAsia="en-GB"/>
          <w14:ligatures w14:val="none"/>
        </w:rPr>
        <w:t>Discrete choice experiments (DCEs) elicit stated preferences by asking respondents to choose between hypothetical alternatives with varying attribute levels, enabling estimation of the relative importance of housing characteristics and associated trade-offs (</w:t>
      </w:r>
      <w:proofErr w:type="spellStart"/>
      <w:r w:rsidRPr="00EE48D3">
        <w:rPr>
          <w:rFonts w:ascii="Times New Roman" w:eastAsia="Times New Roman" w:hAnsi="Times New Roman" w:cs="Times New Roman"/>
          <w:kern w:val="0"/>
          <w:sz w:val="24"/>
          <w:szCs w:val="24"/>
          <w:lang w:val="en-GB" w:eastAsia="en-GB"/>
          <w14:ligatures w14:val="none"/>
        </w:rPr>
        <w:t>Lancsar</w:t>
      </w:r>
      <w:proofErr w:type="spellEnd"/>
      <w:r w:rsidRPr="00EE48D3">
        <w:rPr>
          <w:rFonts w:ascii="Times New Roman" w:eastAsia="Times New Roman" w:hAnsi="Times New Roman" w:cs="Times New Roman"/>
          <w:kern w:val="0"/>
          <w:sz w:val="24"/>
          <w:szCs w:val="24"/>
          <w:lang w:val="en-GB" w:eastAsia="en-GB"/>
          <w14:ligatures w14:val="none"/>
        </w:rPr>
        <w:t xml:space="preserve"> &amp; Louviere, 2008; </w:t>
      </w:r>
      <w:proofErr w:type="spellStart"/>
      <w:r w:rsidRPr="00EE48D3">
        <w:rPr>
          <w:rFonts w:ascii="Times New Roman" w:eastAsia="Times New Roman" w:hAnsi="Times New Roman" w:cs="Times New Roman"/>
          <w:kern w:val="0"/>
          <w:sz w:val="24"/>
          <w:szCs w:val="24"/>
          <w:lang w:val="en-GB" w:eastAsia="en-GB"/>
          <w14:ligatures w14:val="none"/>
        </w:rPr>
        <w:t>Hensher</w:t>
      </w:r>
      <w:proofErr w:type="spellEnd"/>
      <w:r w:rsidRPr="00EE48D3">
        <w:rPr>
          <w:rFonts w:ascii="Times New Roman" w:eastAsia="Times New Roman" w:hAnsi="Times New Roman" w:cs="Times New Roman"/>
          <w:kern w:val="0"/>
          <w:sz w:val="24"/>
          <w:szCs w:val="24"/>
          <w:lang w:val="en-GB" w:eastAsia="en-GB"/>
          <w14:ligatures w14:val="none"/>
        </w:rPr>
        <w:t xml:space="preserve"> et al., 2015). </w:t>
      </w:r>
    </w:p>
    <w:p w14:paraId="04B20128" w14:textId="77777777" w:rsidR="00086BB9" w:rsidRDefault="00EE48D3" w:rsidP="00341F59">
      <w:pPr>
        <w:spacing w:after="0" w:line="480" w:lineRule="auto"/>
        <w:ind w:firstLine="1304"/>
        <w:rPr>
          <w:rFonts w:ascii="Times New Roman" w:eastAsia="Times New Roman" w:hAnsi="Times New Roman" w:cs="Times New Roman"/>
          <w:kern w:val="0"/>
          <w:sz w:val="24"/>
          <w:szCs w:val="24"/>
          <w:lang w:val="en-GB" w:eastAsia="en-GB"/>
          <w14:ligatures w14:val="none"/>
        </w:rPr>
      </w:pPr>
      <w:r w:rsidRPr="00EE48D3">
        <w:rPr>
          <w:rFonts w:ascii="Times New Roman" w:eastAsia="Times New Roman" w:hAnsi="Times New Roman" w:cs="Times New Roman"/>
          <w:kern w:val="0"/>
          <w:sz w:val="24"/>
          <w:szCs w:val="24"/>
          <w:lang w:val="en-GB" w:eastAsia="en-GB"/>
          <w14:ligatures w14:val="none"/>
        </w:rPr>
        <w:t>Respondents were asked to select the most desirable housing option from alternatives differing across a set of housing-related attributes</w:t>
      </w:r>
      <w:r w:rsidR="00887DAD">
        <w:rPr>
          <w:rFonts w:ascii="Times New Roman" w:eastAsia="Times New Roman" w:hAnsi="Times New Roman" w:cs="Times New Roman"/>
          <w:kern w:val="0"/>
          <w:sz w:val="24"/>
          <w:szCs w:val="24"/>
          <w:lang w:val="en-GB" w:eastAsia="en-GB"/>
          <w14:ligatures w14:val="none"/>
        </w:rPr>
        <w:t xml:space="preserve">.  These attributes were </w:t>
      </w:r>
      <w:r w:rsidRPr="00EE48D3">
        <w:rPr>
          <w:rFonts w:ascii="Times New Roman" w:eastAsia="Times New Roman" w:hAnsi="Times New Roman" w:cs="Times New Roman"/>
          <w:kern w:val="0"/>
          <w:sz w:val="24"/>
          <w:szCs w:val="24"/>
          <w:lang w:val="en-GB" w:eastAsia="en-GB"/>
          <w14:ligatures w14:val="none"/>
        </w:rPr>
        <w:t>informed by findings from the Prospective RELOC-AGE follow-up survey and previous literature.</w:t>
      </w:r>
      <w:r w:rsidR="00341F59">
        <w:rPr>
          <w:rFonts w:ascii="Times New Roman" w:eastAsia="Times New Roman" w:hAnsi="Times New Roman" w:cs="Times New Roman"/>
          <w:kern w:val="0"/>
          <w:sz w:val="24"/>
          <w:szCs w:val="24"/>
          <w:lang w:val="en-GB" w:eastAsia="en-GB"/>
          <w14:ligatures w14:val="none"/>
        </w:rPr>
        <w:t xml:space="preserve">  </w:t>
      </w:r>
      <w:r w:rsidR="00086BB9" w:rsidRPr="00086BB9">
        <w:rPr>
          <w:rFonts w:ascii="Times New Roman" w:eastAsia="Times New Roman" w:hAnsi="Times New Roman" w:cs="Times New Roman"/>
          <w:kern w:val="0"/>
          <w:sz w:val="24"/>
          <w:szCs w:val="24"/>
          <w:lang w:val="en-GB" w:eastAsia="en-GB"/>
          <w14:ligatures w14:val="none"/>
        </w:rPr>
        <w:t xml:space="preserve">Greenspace was defined as distance to parks, forests, hiking areas, and open </w:t>
      </w:r>
      <w:r w:rsidR="00086BB9" w:rsidRPr="00086BB9">
        <w:rPr>
          <w:rFonts w:ascii="Times New Roman" w:eastAsia="Times New Roman" w:hAnsi="Times New Roman" w:cs="Times New Roman"/>
          <w:kern w:val="0"/>
          <w:sz w:val="24"/>
          <w:szCs w:val="24"/>
          <w:lang w:val="en-GB" w:eastAsia="en-GB"/>
          <w14:ligatures w14:val="none"/>
        </w:rPr>
        <w:lastRenderedPageBreak/>
        <w:t xml:space="preserve">spaces, reflecting evidence linking green environments to improved cardiometabolic health, lower stress, and improved mental health (Maas, 2006; Paquet et al., 2013; Nielsen &amp; Hansen, 2007; Sturm &amp; Cohen, 2014; Cohen-Cline et al., 2015). Shops represented distance to shopping amenities such as grocery stores, malls, boutiques, and shopping centres, reflecting both accessibility and opportunities for social participation (Lucas et al., 2016). Transport referred to distance to public transportation, including bus, metro, and train stations, which has been shown to influence accessibility among older adults (Alsnih &amp; </w:t>
      </w:r>
      <w:proofErr w:type="spellStart"/>
      <w:r w:rsidR="00086BB9" w:rsidRPr="00086BB9">
        <w:rPr>
          <w:rFonts w:ascii="Times New Roman" w:eastAsia="Times New Roman" w:hAnsi="Times New Roman" w:cs="Times New Roman"/>
          <w:kern w:val="0"/>
          <w:sz w:val="24"/>
          <w:szCs w:val="24"/>
          <w:lang w:val="en-GB" w:eastAsia="en-GB"/>
          <w14:ligatures w14:val="none"/>
        </w:rPr>
        <w:t>Hensher</w:t>
      </w:r>
      <w:proofErr w:type="spellEnd"/>
      <w:r w:rsidR="00086BB9" w:rsidRPr="00086BB9">
        <w:rPr>
          <w:rFonts w:ascii="Times New Roman" w:eastAsia="Times New Roman" w:hAnsi="Times New Roman" w:cs="Times New Roman"/>
          <w:kern w:val="0"/>
          <w:sz w:val="24"/>
          <w:szCs w:val="24"/>
          <w:lang w:val="en-GB" w:eastAsia="en-GB"/>
          <w14:ligatures w14:val="none"/>
        </w:rPr>
        <w:t xml:space="preserve">, 2003; Ricciardi et al., 2015). Parking availability was also included, </w:t>
      </w:r>
      <w:r w:rsidR="00887DAD">
        <w:rPr>
          <w:rFonts w:ascii="Times New Roman" w:eastAsia="Times New Roman" w:hAnsi="Times New Roman" w:cs="Times New Roman"/>
          <w:kern w:val="0"/>
          <w:sz w:val="24"/>
          <w:szCs w:val="24"/>
          <w:lang w:val="en-GB" w:eastAsia="en-GB"/>
          <w14:ligatures w14:val="none"/>
        </w:rPr>
        <w:t xml:space="preserve">relevant as </w:t>
      </w:r>
      <w:r w:rsidR="00086BB9" w:rsidRPr="00086BB9">
        <w:rPr>
          <w:rFonts w:ascii="Times New Roman" w:eastAsia="Times New Roman" w:hAnsi="Times New Roman" w:cs="Times New Roman"/>
          <w:kern w:val="0"/>
          <w:sz w:val="24"/>
          <w:szCs w:val="24"/>
          <w:lang w:val="en-GB" w:eastAsia="en-GB"/>
          <w14:ligatures w14:val="none"/>
        </w:rPr>
        <w:t>more than 90% of the sample reported access to an automobile</w:t>
      </w:r>
      <w:r w:rsidR="00A830A9" w:rsidRPr="00A830A9">
        <w:rPr>
          <w:rFonts w:ascii="Times New Roman" w:eastAsia="Times New Roman" w:hAnsi="Times New Roman" w:cs="Times New Roman"/>
          <w:kern w:val="0"/>
          <w:sz w:val="24"/>
          <w:szCs w:val="24"/>
          <w:lang w:val="en-GB" w:eastAsia="en-GB"/>
          <w14:ligatures w14:val="none"/>
        </w:rPr>
        <w:t>.</w:t>
      </w:r>
    </w:p>
    <w:p w14:paraId="3BE2FC0D" w14:textId="77777777" w:rsidR="00A830A9" w:rsidRPr="00A830A9" w:rsidRDefault="00086BB9" w:rsidP="00086BB9">
      <w:pPr>
        <w:spacing w:after="0" w:line="480" w:lineRule="auto"/>
        <w:ind w:firstLine="1304"/>
        <w:rPr>
          <w:rFonts w:ascii="Times New Roman" w:eastAsia="Times New Roman" w:hAnsi="Times New Roman" w:cs="Times New Roman"/>
          <w:kern w:val="0"/>
          <w:sz w:val="24"/>
          <w:szCs w:val="24"/>
          <w:lang w:val="en-GB" w:eastAsia="en-GB"/>
          <w14:ligatures w14:val="none"/>
        </w:rPr>
      </w:pPr>
      <w:r w:rsidRPr="00086BB9">
        <w:rPr>
          <w:rFonts w:ascii="Times New Roman" w:eastAsia="Times New Roman" w:hAnsi="Times New Roman" w:cs="Times New Roman"/>
          <w:kern w:val="0"/>
          <w:sz w:val="24"/>
          <w:szCs w:val="24"/>
          <w:lang w:val="en-GB" w:eastAsia="en-GB"/>
          <w14:ligatures w14:val="none"/>
        </w:rPr>
        <w:t xml:space="preserve">Cost was specified as a percentage change from </w:t>
      </w:r>
      <w:proofErr w:type="gramStart"/>
      <w:r w:rsidRPr="00086BB9">
        <w:rPr>
          <w:rFonts w:ascii="Times New Roman" w:eastAsia="Times New Roman" w:hAnsi="Times New Roman" w:cs="Times New Roman"/>
          <w:kern w:val="0"/>
          <w:sz w:val="24"/>
          <w:szCs w:val="24"/>
          <w:lang w:val="en-GB" w:eastAsia="en-GB"/>
          <w14:ligatures w14:val="none"/>
        </w:rPr>
        <w:t>respondents’</w:t>
      </w:r>
      <w:proofErr w:type="gramEnd"/>
      <w:r w:rsidRPr="00086BB9">
        <w:rPr>
          <w:rFonts w:ascii="Times New Roman" w:eastAsia="Times New Roman" w:hAnsi="Times New Roman" w:cs="Times New Roman"/>
          <w:kern w:val="0"/>
          <w:sz w:val="24"/>
          <w:szCs w:val="24"/>
          <w:lang w:val="en-GB" w:eastAsia="en-GB"/>
          <w14:ligatures w14:val="none"/>
        </w:rPr>
        <w:t xml:space="preserve"> planned future monthly housing costs, collected in the first section of the survey. </w:t>
      </w:r>
      <w:r w:rsidR="00341F59" w:rsidRPr="00341F59">
        <w:rPr>
          <w:rFonts w:ascii="Times New Roman" w:eastAsia="Times New Roman" w:hAnsi="Times New Roman" w:cs="Times New Roman"/>
          <w:kern w:val="0"/>
          <w:sz w:val="24"/>
          <w:szCs w:val="24"/>
          <w:lang w:val="en-GB" w:eastAsia="en-GB"/>
          <w14:ligatures w14:val="none"/>
        </w:rPr>
        <w:t>The experiment was adaptive: for example, a respondent with planned monthly costs of 10,000 SEK saw the 10% increase displayed as "Option #2 Cost: 10% more than planned costs (11,000 SEK)</w:t>
      </w:r>
      <w:r w:rsidR="00341F59">
        <w:rPr>
          <w:rFonts w:ascii="Times New Roman" w:eastAsia="Times New Roman" w:hAnsi="Times New Roman" w:cs="Times New Roman"/>
          <w:kern w:val="0"/>
          <w:sz w:val="24"/>
          <w:szCs w:val="24"/>
          <w:lang w:val="en-GB" w:eastAsia="en-GB"/>
          <w14:ligatures w14:val="none"/>
        </w:rPr>
        <w:t xml:space="preserve">. </w:t>
      </w:r>
      <w:r w:rsidRPr="00086BB9">
        <w:rPr>
          <w:rFonts w:ascii="Times New Roman" w:eastAsia="Times New Roman" w:hAnsi="Times New Roman" w:cs="Times New Roman"/>
          <w:kern w:val="0"/>
          <w:sz w:val="24"/>
          <w:szCs w:val="24"/>
          <w:lang w:val="en-GB" w:eastAsia="en-GB"/>
          <w14:ligatures w14:val="none"/>
        </w:rPr>
        <w:t>Table 1 presents all attributes and levels.</w:t>
      </w:r>
      <w:r w:rsidR="00A830A9" w:rsidRPr="00A830A9">
        <w:rPr>
          <w:rFonts w:ascii="Times New Roman" w:eastAsia="Times New Roman" w:hAnsi="Times New Roman" w:cs="Times New Roman"/>
          <w:kern w:val="0"/>
          <w:sz w:val="24"/>
          <w:szCs w:val="24"/>
          <w:lang w:val="en-GB" w:eastAsia="en-GB"/>
          <w14:ligatures w14:val="none"/>
        </w:rPr>
        <w:t xml:space="preserve"> </w:t>
      </w:r>
    </w:p>
    <w:p w14:paraId="0DEC521F"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3E17291B"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[INSERT TABLE 1 ABOUT HERE]</w:t>
      </w:r>
    </w:p>
    <w:p w14:paraId="1990D358"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640884F9" w14:textId="77777777" w:rsidR="00A830A9" w:rsidRDefault="00F55065" w:rsidP="00F55065">
      <w:pPr>
        <w:spacing w:after="0" w:line="480" w:lineRule="auto"/>
        <w:ind w:firstLine="1304"/>
        <w:rPr>
          <w:rFonts w:ascii="Times New Roman" w:eastAsia="Times New Roman" w:hAnsi="Times New Roman" w:cs="Times New Roman"/>
          <w:kern w:val="0"/>
          <w:sz w:val="24"/>
          <w:szCs w:val="24"/>
          <w:lang w:val="en-GB" w:eastAsia="en-GB"/>
          <w14:ligatures w14:val="none"/>
        </w:rPr>
      </w:pPr>
      <w:r w:rsidRPr="00065263">
        <w:rPr>
          <w:lang w:val="en-US"/>
        </w:rPr>
        <w:t xml:space="preserve">Before beginning the experiment, respondents were provided with definitions and examples for each attribute and instructed to assume that all housing alternatives were otherwise identical. Because a full factorial design would yield an impractically large number of combinations, a D-optimal fractional factorial design was generated using the R package </w:t>
      </w:r>
      <w:proofErr w:type="spellStart"/>
      <w:r w:rsidRPr="00065263">
        <w:rPr>
          <w:lang w:val="en-US"/>
        </w:rPr>
        <w:t>cbcTools</w:t>
      </w:r>
      <w:proofErr w:type="spellEnd"/>
      <w:r w:rsidRPr="00065263">
        <w:rPr>
          <w:lang w:val="en-US"/>
        </w:rPr>
        <w:t xml:space="preserve"> (Helveston, 2025), reducing dimensionality while maintaining statistical efficiency and balanced attribute representation. The experiment included nine choice sets to minimize respondent burden while maintaining statistical power (DeShazo &amp; Fermo, 2002; Mangham et al., 2009; Himmler et al., 2021). No opt-out alternative was included, as all respondents had previously indicated an intention to relocate. Figure 1 presents an example choice set.</w:t>
      </w:r>
    </w:p>
    <w:p w14:paraId="35E23287" w14:textId="77777777" w:rsidR="00F55065" w:rsidRPr="00A830A9" w:rsidRDefault="00F55065" w:rsidP="00F55065">
      <w:pPr>
        <w:spacing w:after="0" w:line="480" w:lineRule="auto"/>
        <w:ind w:firstLine="1304"/>
        <w:rPr>
          <w:rFonts w:ascii="Times New Roman" w:eastAsia="Times New Roman" w:hAnsi="Times New Roman" w:cs="Times New Roman"/>
          <w:kern w:val="0"/>
          <w:sz w:val="24"/>
          <w:szCs w:val="24"/>
          <w:lang w:val="en-GB" w:eastAsia="en-GB"/>
          <w14:ligatures w14:val="none"/>
        </w:rPr>
      </w:pPr>
    </w:p>
    <w:p w14:paraId="41B9385D" w14:textId="77777777" w:rsid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065263">
        <w:rPr>
          <w:lang w:val="en-US"/>
        </w:rPr>
        <w:t>[INSERT FIGURE 1 ABOUT HERE]</w:t>
      </w:r>
    </w:p>
    <w:p w14:paraId="79B42106" w14:textId="77777777" w:rsidR="00F55065" w:rsidRPr="00A830A9" w:rsidRDefault="00F55065" w:rsidP="00A830A9">
      <w:pPr>
        <w:spacing w:after="0" w:line="480" w:lineRule="auto"/>
        <w:rPr>
          <w:rFonts w:ascii="Times New Roman" w:eastAsia="Times New Roman" w:hAnsi="Times New Roman" w:cs="Times New Roman"/>
          <w:kern w:val="0"/>
          <w:sz w:val="24"/>
          <w:szCs w:val="24"/>
          <w:lang w:val="en-GB" w:eastAsia="en-GB"/>
          <w14:ligatures w14:val="none"/>
        </w:rPr>
      </w:pPr>
    </w:p>
    <w:p w14:paraId="0E63C9D6" w14:textId="77777777" w:rsidR="00A830A9"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t>Statistical analysis</w:t>
      </w:r>
    </w:p>
    <w:p w14:paraId="2542C486" w14:textId="77777777" w:rsidR="00F67333" w:rsidRPr="00A830A9" w:rsidRDefault="00F67333"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p>
    <w:p w14:paraId="0D7A21D9" w14:textId="77777777" w:rsidR="00A830A9" w:rsidRPr="00A830A9" w:rsidRDefault="00234A41" w:rsidP="00A830A9">
      <w:pPr>
        <w:spacing w:after="0" w:line="480" w:lineRule="auto"/>
        <w:rPr>
          <w:rFonts w:ascii="Times New Roman" w:eastAsia="Times New Roman" w:hAnsi="Times New Roman" w:cs="Times New Roman"/>
          <w:kern w:val="0"/>
          <w:sz w:val="24"/>
          <w:szCs w:val="24"/>
          <w:lang w:val="en-US" w:eastAsia="en-GB"/>
          <w14:ligatures w14:val="none"/>
        </w:rPr>
      </w:pPr>
      <w:r w:rsidRPr="00234A41">
        <w:rPr>
          <w:rFonts w:ascii="Times New Roman" w:eastAsia="Times New Roman" w:hAnsi="Times New Roman" w:cs="Times New Roman"/>
          <w:kern w:val="0"/>
          <w:sz w:val="24"/>
          <w:szCs w:val="24"/>
          <w:lang w:val="en-US" w:eastAsia="en-GB"/>
          <w14:ligatures w14:val="none"/>
        </w:rPr>
        <w:t>Respondents’ choices were modelled within the random utility theory framework, which assumes individuals choose the alternative that maximizes utility (</w:t>
      </w:r>
      <w:proofErr w:type="spellStart"/>
      <w:r w:rsidRPr="00234A41">
        <w:rPr>
          <w:rFonts w:ascii="Times New Roman" w:eastAsia="Times New Roman" w:hAnsi="Times New Roman" w:cs="Times New Roman"/>
          <w:kern w:val="0"/>
          <w:sz w:val="24"/>
          <w:szCs w:val="24"/>
          <w:lang w:val="en-US" w:eastAsia="en-GB"/>
          <w14:ligatures w14:val="none"/>
        </w:rPr>
        <w:t>Lancsar</w:t>
      </w:r>
      <w:proofErr w:type="spellEnd"/>
      <w:r w:rsidRPr="00234A41">
        <w:rPr>
          <w:rFonts w:ascii="Times New Roman" w:eastAsia="Times New Roman" w:hAnsi="Times New Roman" w:cs="Times New Roman"/>
          <w:kern w:val="0"/>
          <w:sz w:val="24"/>
          <w:szCs w:val="24"/>
          <w:lang w:val="en-US" w:eastAsia="en-GB"/>
          <w14:ligatures w14:val="none"/>
        </w:rPr>
        <w:t xml:space="preserve"> &amp; Louviere, 2008).</w:t>
      </w:r>
      <w:r>
        <w:rPr>
          <w:rFonts w:ascii="Times New Roman" w:eastAsia="Times New Roman" w:hAnsi="Times New Roman" w:cs="Times New Roman"/>
          <w:kern w:val="0"/>
          <w:sz w:val="24"/>
          <w:szCs w:val="24"/>
          <w:lang w:val="en-US" w:eastAsia="en-GB"/>
          <w14:ligatures w14:val="none"/>
        </w:rPr>
        <w:t xml:space="preserve"> </w:t>
      </w:r>
      <w:r w:rsidR="00A830A9" w:rsidRPr="00A830A9">
        <w:rPr>
          <w:rFonts w:ascii="Times New Roman" w:eastAsia="Times New Roman" w:hAnsi="Times New Roman" w:cs="Times New Roman"/>
          <w:kern w:val="0"/>
          <w:sz w:val="24"/>
          <w:szCs w:val="24"/>
          <w:lang w:val="en-GB" w:eastAsia="en-GB"/>
          <w14:ligatures w14:val="none"/>
        </w:rPr>
        <w:t xml:space="preserve">The utility that individual </w:t>
      </w:r>
      <w:proofErr w:type="spellStart"/>
      <w:r w:rsidR="00A830A9" w:rsidRPr="00A830A9">
        <w:rPr>
          <w:rFonts w:ascii="Times New Roman" w:eastAsia="Times New Roman" w:hAnsi="Times New Roman" w:cs="Times New Roman"/>
          <w:i/>
          <w:iCs/>
          <w:kern w:val="0"/>
          <w:sz w:val="24"/>
          <w:szCs w:val="24"/>
          <w:lang w:val="en-GB" w:eastAsia="en-GB"/>
          <w14:ligatures w14:val="none"/>
        </w:rPr>
        <w:t>i</w:t>
      </w:r>
      <w:proofErr w:type="spellEnd"/>
      <w:r w:rsidR="00A830A9" w:rsidRPr="00A830A9">
        <w:rPr>
          <w:rFonts w:ascii="Times New Roman" w:eastAsia="Times New Roman" w:hAnsi="Times New Roman" w:cs="Times New Roman"/>
          <w:kern w:val="0"/>
          <w:sz w:val="24"/>
          <w:szCs w:val="24"/>
          <w:lang w:val="en-GB" w:eastAsia="en-GB"/>
          <w14:ligatures w14:val="none"/>
        </w:rPr>
        <w:t xml:space="preserve"> derives from alternative </w:t>
      </w:r>
      <w:r w:rsidR="00A830A9" w:rsidRPr="00A830A9">
        <w:rPr>
          <w:rFonts w:ascii="Times New Roman" w:eastAsia="Times New Roman" w:hAnsi="Times New Roman" w:cs="Times New Roman"/>
          <w:i/>
          <w:iCs/>
          <w:kern w:val="0"/>
          <w:sz w:val="24"/>
          <w:szCs w:val="24"/>
          <w:lang w:val="en-GB" w:eastAsia="en-GB"/>
          <w14:ligatures w14:val="none"/>
        </w:rPr>
        <w:t>j</w:t>
      </w:r>
      <w:r w:rsidR="00A830A9" w:rsidRPr="00A830A9">
        <w:rPr>
          <w:rFonts w:ascii="Times New Roman" w:eastAsia="Times New Roman" w:hAnsi="Times New Roman" w:cs="Times New Roman"/>
          <w:kern w:val="0"/>
          <w:sz w:val="24"/>
          <w:szCs w:val="24"/>
          <w:lang w:val="en-GB" w:eastAsia="en-GB"/>
          <w14:ligatures w14:val="none"/>
        </w:rPr>
        <w:t xml:space="preserve"> in choice set t is given by:</w:t>
      </w:r>
    </w:p>
    <w:p w14:paraId="21713B28" w14:textId="77777777" w:rsidR="00A830A9" w:rsidRPr="00A830A9"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U</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ε</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#(1)</m:t>
              </m:r>
            </m:e>
          </m:eqArr>
        </m:oMath>
      </m:oMathPara>
    </w:p>
    <w:p w14:paraId="0FF71F49" w14:textId="77777777" w:rsidR="00A830A9" w:rsidRPr="00A830A9" w:rsidRDefault="00A830A9" w:rsidP="00234A41">
      <w:pPr>
        <w:spacing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where </w:t>
      </w:r>
      <m:oMath>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oMath>
      <w:r w:rsidRPr="00A830A9">
        <w:rPr>
          <w:rFonts w:ascii="Times New Roman" w:eastAsia="Times New Roman" w:hAnsi="Times New Roman" w:cs="Times New Roman"/>
          <w:kern w:val="0"/>
          <w:sz w:val="24"/>
          <w:szCs w:val="24"/>
          <w:lang w:val="en-US" w:eastAsia="en-GB"/>
          <w14:ligatures w14:val="none"/>
        </w:rPr>
        <w:t xml:space="preserve"> </w:t>
      </w:r>
      <w:r w:rsidRPr="00A830A9">
        <w:rPr>
          <w:rFonts w:ascii="Times New Roman" w:eastAsia="Times New Roman" w:hAnsi="Times New Roman" w:cs="Times New Roman"/>
          <w:kern w:val="0"/>
          <w:sz w:val="24"/>
          <w:szCs w:val="24"/>
          <w:lang w:val="en-GB" w:eastAsia="en-GB"/>
          <w14:ligatures w14:val="none"/>
        </w:rPr>
        <w:t>is the systematic component of utility and</w:t>
      </w:r>
      <w:r w:rsidRPr="00A830A9">
        <w:rPr>
          <w:rFonts w:ascii="Times New Roman" w:eastAsia="Times New Roman" w:hAnsi="Times New Roman" w:cs="Times New Roman"/>
          <w:kern w:val="0"/>
          <w:sz w:val="24"/>
          <w:szCs w:val="24"/>
          <w:lang w:val="en-US" w:eastAsia="en-GB"/>
          <w14:ligatures w14:val="none"/>
        </w:rPr>
        <w:t xml:space="preserve"> </w:t>
      </w:r>
      <m:oMath>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ε</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oMath>
      <w:r w:rsidRPr="00A830A9">
        <w:rPr>
          <w:rFonts w:ascii="Times New Roman" w:eastAsia="Times New Roman" w:hAnsi="Times New Roman" w:cs="Times New Roman"/>
          <w:kern w:val="0"/>
          <w:sz w:val="24"/>
          <w:szCs w:val="24"/>
          <w:lang w:val="en-US" w:eastAsia="en-GB"/>
          <w14:ligatures w14:val="none"/>
        </w:rPr>
        <w:t>is an unobserved random error term. The systematic utility is specified as:</w:t>
      </w:r>
    </w:p>
    <w:p w14:paraId="1677FE60"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14666DF6" w14:textId="77777777" w:rsidR="00A830A9" w:rsidRPr="00A830A9" w:rsidRDefault="00A830A9" w:rsidP="00234A41">
      <w:pPr>
        <w:spacing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where </w:t>
      </w:r>
      <m:oMath>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X</m:t>
            </m:r>
          </m:e>
          <m:sub>
            <m:r>
              <w:rPr>
                <w:rFonts w:ascii="Cambria Math" w:eastAsia="Times New Roman" w:hAnsi="Cambria Math" w:cs="Times New Roman"/>
                <w:kern w:val="0"/>
                <w:sz w:val="24"/>
                <w:szCs w:val="24"/>
                <w:lang w:val="en-US" w:eastAsia="en-GB"/>
                <w14:ligatures w14:val="none"/>
              </w:rPr>
              <m:t>itjk</m:t>
            </m:r>
          </m:sub>
        </m:sSub>
        <m:r>
          <w:rPr>
            <w:rFonts w:ascii="Cambria Math" w:eastAsia="Times New Roman" w:hAnsi="Cambria Math" w:cs="Times New Roman"/>
            <w:kern w:val="0"/>
            <w:sz w:val="24"/>
            <w:szCs w:val="24"/>
            <w:lang w:val="en-US" w:eastAsia="en-GB"/>
            <w14:ligatures w14:val="none"/>
          </w:rPr>
          <m:t xml:space="preserve"> </m:t>
        </m:r>
      </m:oMath>
      <w:r w:rsidRPr="00A830A9">
        <w:rPr>
          <w:rFonts w:ascii="Times New Roman" w:eastAsia="Times New Roman" w:hAnsi="Times New Roman" w:cs="Times New Roman"/>
          <w:kern w:val="0"/>
          <w:sz w:val="24"/>
          <w:szCs w:val="24"/>
          <w:lang w:val="en-US" w:eastAsia="en-GB"/>
          <w14:ligatures w14:val="none"/>
        </w:rPr>
        <w:t xml:space="preserve">represents the level of attribute </w:t>
      </w:r>
      <w:r w:rsidRPr="00A830A9">
        <w:rPr>
          <w:rFonts w:ascii="Times New Roman" w:eastAsia="Times New Roman" w:hAnsi="Times New Roman" w:cs="Times New Roman"/>
          <w:i/>
          <w:iCs/>
          <w:kern w:val="0"/>
          <w:sz w:val="24"/>
          <w:szCs w:val="24"/>
          <w:lang w:val="en-US" w:eastAsia="en-GB"/>
          <w14:ligatures w14:val="none"/>
        </w:rPr>
        <w:t>k</w:t>
      </w:r>
      <w:r w:rsidRPr="00A830A9">
        <w:rPr>
          <w:rFonts w:ascii="Times New Roman" w:eastAsia="Times New Roman" w:hAnsi="Times New Roman" w:cs="Times New Roman"/>
          <w:kern w:val="0"/>
          <w:sz w:val="24"/>
          <w:szCs w:val="24"/>
          <w:lang w:val="en-US" w:eastAsia="en-GB"/>
          <w14:ligatures w14:val="none"/>
        </w:rPr>
        <w:t xml:space="preserve"> for alternative </w:t>
      </w:r>
      <w:r w:rsidRPr="00A830A9">
        <w:rPr>
          <w:rFonts w:ascii="Times New Roman" w:eastAsia="Times New Roman" w:hAnsi="Times New Roman" w:cs="Times New Roman"/>
          <w:i/>
          <w:iCs/>
          <w:kern w:val="0"/>
          <w:sz w:val="24"/>
          <w:szCs w:val="24"/>
          <w:lang w:val="en-US" w:eastAsia="en-GB"/>
          <w14:ligatures w14:val="none"/>
        </w:rPr>
        <w:t>j</w:t>
      </w:r>
      <w:r w:rsidRPr="00A830A9">
        <w:rPr>
          <w:rFonts w:ascii="Times New Roman" w:eastAsia="Times New Roman" w:hAnsi="Times New Roman" w:cs="Times New Roman"/>
          <w:kern w:val="0"/>
          <w:sz w:val="24"/>
          <w:szCs w:val="24"/>
          <w:lang w:val="en-US" w:eastAsia="en-GB"/>
          <w14:ligatures w14:val="none"/>
        </w:rPr>
        <w:t xml:space="preserve"> in task </w:t>
      </w:r>
      <w:r w:rsidRPr="00A830A9">
        <w:rPr>
          <w:rFonts w:ascii="Times New Roman" w:eastAsia="Times New Roman" w:hAnsi="Times New Roman" w:cs="Times New Roman"/>
          <w:i/>
          <w:iCs/>
          <w:kern w:val="0"/>
          <w:sz w:val="24"/>
          <w:szCs w:val="24"/>
          <w:lang w:val="en-US" w:eastAsia="en-GB"/>
          <w14:ligatures w14:val="none"/>
        </w:rPr>
        <w:t>t</w:t>
      </w:r>
      <w:r w:rsidRPr="00A830A9">
        <w:rPr>
          <w:rFonts w:ascii="Times New Roman" w:eastAsia="Times New Roman" w:hAnsi="Times New Roman" w:cs="Times New Roman"/>
          <w:kern w:val="0"/>
          <w:sz w:val="24"/>
          <w:szCs w:val="24"/>
          <w:lang w:val="en-US" w:eastAsia="en-GB"/>
          <w14:ligatures w14:val="none"/>
        </w:rPr>
        <w:t xml:space="preserve">, and </w:t>
      </w:r>
      <m:oMath>
        <m:r>
          <w:rPr>
            <w:rFonts w:ascii="Cambria Math" w:eastAsia="Times New Roman" w:hAnsi="Cambria Math" w:cs="Times New Roman"/>
            <w:kern w:val="0"/>
            <w:sz w:val="24"/>
            <w:szCs w:val="24"/>
            <w:lang w:val="en-US" w:eastAsia="en-GB"/>
            <w14:ligatures w14:val="none"/>
          </w:rPr>
          <m:t>βk</m:t>
        </m:r>
      </m:oMath>
      <w:r w:rsidRPr="00A830A9">
        <w:rPr>
          <w:rFonts w:ascii="Times New Roman" w:eastAsia="Times New Roman" w:hAnsi="Times New Roman" w:cs="Times New Roman"/>
          <w:kern w:val="0"/>
          <w:sz w:val="24"/>
          <w:szCs w:val="24"/>
          <w:lang w:val="en-US" w:eastAsia="en-GB"/>
          <w14:ligatures w14:val="none"/>
        </w:rPr>
        <w:t xml:space="preserve"> are the corresponding utility coefficients.</w:t>
      </w:r>
    </w:p>
    <w:p w14:paraId="38953BFA"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Under the multinomial logit (MNL) model, preferences are assumed to be homogeneous </w:t>
      </w:r>
      <w:r w:rsidRPr="00A830A9">
        <w:rPr>
          <w:rFonts w:ascii="Times New Roman" w:eastAsia="Times New Roman" w:hAnsi="Times New Roman" w:cs="Times New Roman"/>
          <w:kern w:val="0"/>
          <w:sz w:val="24"/>
          <w:szCs w:val="24"/>
          <w:lang w:val="en-GB" w:eastAsia="en-GB"/>
          <w14:ligatures w14:val="none"/>
        </w:rPr>
        <w:t>and error terms independently and identically distributed, with choice probabilities given by:</w:t>
      </w:r>
    </w:p>
    <w:p w14:paraId="502AB5D8" w14:textId="77777777" w:rsidR="00A830A9" w:rsidRPr="00A830A9"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P</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m:t>
              </m:r>
              <m:func>
                <m:funcPr>
                  <m:ctrlPr>
                    <w:rPr>
                      <w:rFonts w:ascii="Cambria Math" w:eastAsia="Times New Roman" w:hAnsi="Cambria Math" w:cs="Times New Roman"/>
                      <w:i/>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Pr</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y</m:t>
                          </m:r>
                        </m:e>
                        <m:sub>
                          <m:r>
                            <w:rPr>
                              <w:rFonts w:ascii="Cambria Math" w:eastAsia="Times New Roman" w:hAnsi="Cambria Math" w:cs="Times New Roman"/>
                              <w:kern w:val="0"/>
                              <w:sz w:val="24"/>
                              <w:szCs w:val="24"/>
                              <w:lang w:val="en-US" w:eastAsia="en-GB"/>
                              <w14:ligatures w14:val="none"/>
                            </w:rPr>
                            <m:t>it</m:t>
                          </m:r>
                        </m:sub>
                      </m:sSub>
                      <m:r>
                        <w:rPr>
                          <w:rFonts w:ascii="Cambria Math" w:eastAsia="Times New Roman" w:hAnsi="Cambria Math" w:cs="Times New Roman"/>
                          <w:kern w:val="0"/>
                          <w:sz w:val="24"/>
                          <w:szCs w:val="24"/>
                          <w:lang w:val="en-US" w:eastAsia="en-GB"/>
                          <w14:ligatures w14:val="none"/>
                        </w:rPr>
                        <m:t>=j</m:t>
                      </m:r>
                    </m:e>
                  </m:d>
                </m:e>
              </m:func>
              <m:r>
                <w:rPr>
                  <w:rFonts w:ascii="Cambria Math" w:eastAsia="Times New Roman" w:hAnsi="Cambria Math" w:cs="Times New Roman"/>
                  <w:kern w:val="0"/>
                  <w:sz w:val="24"/>
                  <w:szCs w:val="24"/>
                  <w:lang w:val="en-US" w:eastAsia="en-GB"/>
                  <w14:ligatures w14:val="none"/>
                </w:rPr>
                <m:t xml:space="preserve">= </m:t>
              </m:r>
              <m:f>
                <m:fPr>
                  <m:ctrlPr>
                    <w:rPr>
                      <w:rFonts w:ascii="Cambria Math" w:eastAsia="Times New Roman" w:hAnsi="Cambria Math" w:cs="Times New Roman"/>
                      <w:i/>
                      <w:kern w:val="0"/>
                      <w:sz w:val="24"/>
                      <w:szCs w:val="24"/>
                      <w:lang w:val="en-US" w:eastAsia="en-GB"/>
                      <w14:ligatures w14:val="none"/>
                    </w:rPr>
                  </m:ctrlPr>
                </m:fPr>
                <m:num>
                  <m:func>
                    <m:funcPr>
                      <m:ctrlPr>
                        <w:rPr>
                          <w:rFonts w:ascii="Cambria Math" w:eastAsia="Times New Roman" w:hAnsi="Cambria Math" w:cs="Times New Roman"/>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exp</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e>
                      </m:d>
                    </m:e>
                  </m:func>
                </m:num>
                <m:den>
                  <m:sSub>
                    <m:sSubPr>
                      <m:ctrlPr>
                        <w:rPr>
                          <w:rFonts w:ascii="Cambria Math" w:eastAsia="Times New Roman" w:hAnsi="Cambria Math" w:cs="Times New Roman"/>
                          <w:i/>
                          <w:kern w:val="0"/>
                          <w:sz w:val="24"/>
                          <w:szCs w:val="24"/>
                          <w:lang w:val="en-US" w:eastAsia="en-GB"/>
                          <w14:ligatures w14:val="none"/>
                        </w:rPr>
                      </m:ctrlPr>
                    </m:sSubPr>
                    <m:e>
                      <m:r>
                        <m:rPr>
                          <m:sty m:val="p"/>
                        </m:rPr>
                        <w:rPr>
                          <w:rFonts w:ascii="Cambria Math" w:eastAsia="Times New Roman" w:hAnsi="Cambria Math" w:cs="Times New Roman"/>
                          <w:kern w:val="0"/>
                          <w:sz w:val="24"/>
                          <w:szCs w:val="24"/>
                          <w:lang w:val="en-US" w:eastAsia="en-GB"/>
                          <w14:ligatures w14:val="none"/>
                        </w:rPr>
                        <m:t>Σ</m:t>
                      </m:r>
                    </m:e>
                    <m:sub>
                      <m:r>
                        <w:rPr>
                          <w:rFonts w:ascii="Cambria Math" w:eastAsia="Times New Roman" w:hAnsi="Cambria Math" w:cs="Times New Roman"/>
                          <w:kern w:val="0"/>
                          <w:sz w:val="24"/>
                          <w:szCs w:val="24"/>
                          <w:lang w:val="en-US" w:eastAsia="en-GB"/>
                          <w14:ligatures w14:val="none"/>
                        </w:rPr>
                        <m:t>j</m:t>
                      </m:r>
                    </m:sub>
                  </m:sSub>
                  <m:func>
                    <m:funcPr>
                      <m:ctrlPr>
                        <w:rPr>
                          <w:rFonts w:ascii="Cambria Math" w:eastAsia="Times New Roman" w:hAnsi="Cambria Math" w:cs="Times New Roman"/>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exp</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e>
                      </m:d>
                    </m:e>
                  </m:func>
                </m:den>
              </m:f>
              <m:r>
                <w:rPr>
                  <w:rFonts w:ascii="Cambria Math" w:eastAsia="Times New Roman" w:hAnsi="Cambria Math" w:cs="Times New Roman"/>
                  <w:kern w:val="0"/>
                  <w:sz w:val="24"/>
                  <w:szCs w:val="24"/>
                  <w:lang w:val="en-US" w:eastAsia="en-GB"/>
                  <w14:ligatures w14:val="none"/>
                </w:rPr>
                <m:t>#(3)</m:t>
              </m:r>
            </m:e>
          </m:eqArr>
        </m:oMath>
      </m:oMathPara>
    </w:p>
    <w:p w14:paraId="118EF903" w14:textId="77777777" w:rsidR="00234A41" w:rsidRDefault="00234A41"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234A41">
        <w:rPr>
          <w:rFonts w:ascii="Times New Roman" w:eastAsia="Times New Roman" w:hAnsi="Times New Roman" w:cs="Times New Roman"/>
          <w:kern w:val="0"/>
          <w:sz w:val="24"/>
          <w:szCs w:val="24"/>
          <w:lang w:val="en-GB" w:eastAsia="en-GB"/>
          <w14:ligatures w14:val="none"/>
        </w:rPr>
        <w:t xml:space="preserve">To account for unobserved preference heterogeneity, mixed logit models were estimated in which non-monetary attributes were specified as random parameters with correlated normal distributions, while the cost coefficient was fixed (McFadden &amp; Train, 2000). Models were estimated using maximum simulated likelihood with 1000 Sobol draws in the R package </w:t>
      </w:r>
      <w:proofErr w:type="spellStart"/>
      <w:r w:rsidRPr="00234A41">
        <w:rPr>
          <w:rFonts w:ascii="Times New Roman" w:eastAsia="Times New Roman" w:hAnsi="Times New Roman" w:cs="Times New Roman"/>
          <w:kern w:val="0"/>
          <w:sz w:val="24"/>
          <w:szCs w:val="24"/>
          <w:lang w:val="en-GB" w:eastAsia="en-GB"/>
          <w14:ligatures w14:val="none"/>
        </w:rPr>
        <w:t>logitr</w:t>
      </w:r>
      <w:proofErr w:type="spellEnd"/>
      <w:r w:rsidRPr="00234A41">
        <w:rPr>
          <w:rFonts w:ascii="Times New Roman" w:eastAsia="Times New Roman" w:hAnsi="Times New Roman" w:cs="Times New Roman"/>
          <w:kern w:val="0"/>
          <w:sz w:val="24"/>
          <w:szCs w:val="24"/>
          <w:lang w:val="en-GB" w:eastAsia="en-GB"/>
          <w14:ligatures w14:val="none"/>
        </w:rPr>
        <w:t xml:space="preserve"> (Helveston, 2023), using multiple starting values to ensure convergence to the global maximum (Train, 2003). Consistent with recent housing studies, </w:t>
      </w:r>
      <w:r w:rsidRPr="00234A41">
        <w:rPr>
          <w:rFonts w:ascii="Times New Roman" w:eastAsia="Times New Roman" w:hAnsi="Times New Roman" w:cs="Times New Roman"/>
          <w:kern w:val="0"/>
          <w:sz w:val="24"/>
          <w:szCs w:val="24"/>
          <w:lang w:val="en-GB" w:eastAsia="en-GB"/>
          <w14:ligatures w14:val="none"/>
        </w:rPr>
        <w:lastRenderedPageBreak/>
        <w:t>mixed logit models allow utility coefficients to vary across individuals rather than assuming homogeneous preferences (</w:t>
      </w:r>
      <w:proofErr w:type="spellStart"/>
      <w:r w:rsidRPr="00234A41">
        <w:rPr>
          <w:rFonts w:ascii="Times New Roman" w:eastAsia="Times New Roman" w:hAnsi="Times New Roman" w:cs="Times New Roman"/>
          <w:kern w:val="0"/>
          <w:sz w:val="24"/>
          <w:szCs w:val="24"/>
          <w:lang w:val="en-GB" w:eastAsia="en-GB"/>
          <w14:ligatures w14:val="none"/>
        </w:rPr>
        <w:t>Ardeshiri</w:t>
      </w:r>
      <w:proofErr w:type="spellEnd"/>
      <w:r w:rsidRPr="00234A41">
        <w:rPr>
          <w:rFonts w:ascii="Times New Roman" w:eastAsia="Times New Roman" w:hAnsi="Times New Roman" w:cs="Times New Roman"/>
          <w:kern w:val="0"/>
          <w:sz w:val="24"/>
          <w:szCs w:val="24"/>
          <w:lang w:val="en-GB" w:eastAsia="en-GB"/>
          <w14:ligatures w14:val="none"/>
        </w:rPr>
        <w:t xml:space="preserve"> et al., 2024; Aitken et al., 2024; Lee et al., 2025).</w:t>
      </w:r>
    </w:p>
    <w:p w14:paraId="34F39DE4"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The</w:t>
      </w:r>
      <w:r w:rsidR="00234A41">
        <w:rPr>
          <w:rFonts w:ascii="Times New Roman" w:eastAsia="Times New Roman" w:hAnsi="Times New Roman" w:cs="Times New Roman"/>
          <w:kern w:val="0"/>
          <w:sz w:val="24"/>
          <w:szCs w:val="24"/>
          <w:lang w:val="en-US" w:eastAsia="en-GB"/>
          <w14:ligatures w14:val="none"/>
        </w:rPr>
        <w:t xml:space="preserve"> cost coefficient was utilized</w:t>
      </w:r>
      <w:r w:rsidRPr="00A830A9">
        <w:rPr>
          <w:rFonts w:ascii="Times New Roman" w:eastAsia="Times New Roman" w:hAnsi="Times New Roman" w:cs="Times New Roman"/>
          <w:kern w:val="0"/>
          <w:sz w:val="24"/>
          <w:szCs w:val="24"/>
          <w:lang w:val="en-US" w:eastAsia="en-GB"/>
          <w14:ligatures w14:val="none"/>
        </w:rPr>
        <w:t xml:space="preserve"> to compute monetary trade-offs for non-cost attributes. First, the mean marginal rate of substitution (MRS) was estimated for each attribute, where the MRS for attribute</w:t>
      </w:r>
      <w:r w:rsidRPr="00A830A9">
        <w:rPr>
          <w:rFonts w:ascii="Times New Roman" w:eastAsia="Times New Roman" w:hAnsi="Times New Roman" w:cs="Times New Roman"/>
          <w:i/>
          <w:iCs/>
          <w:kern w:val="0"/>
          <w:sz w:val="24"/>
          <w:szCs w:val="24"/>
          <w:lang w:val="en-US" w:eastAsia="en-GB"/>
          <w14:ligatures w14:val="none"/>
        </w:rPr>
        <w:t xml:space="preserve"> k</w:t>
      </w:r>
      <w:r w:rsidRPr="00A830A9">
        <w:rPr>
          <w:rFonts w:ascii="Times New Roman" w:eastAsia="Times New Roman" w:hAnsi="Times New Roman" w:cs="Times New Roman"/>
          <w:kern w:val="0"/>
          <w:sz w:val="24"/>
          <w:szCs w:val="24"/>
          <w:lang w:val="en-US" w:eastAsia="en-GB"/>
          <w14:ligatures w14:val="none"/>
        </w:rPr>
        <w:t xml:space="preserve"> was calculated as:</w:t>
      </w:r>
    </w:p>
    <w:p w14:paraId="00FCF758" w14:textId="77777777" w:rsidR="00A830A9" w:rsidRPr="00A830A9"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MRS</m:t>
                  </m:r>
                </m:e>
                <m:sub>
                  <m:r>
                    <w:rPr>
                      <w:rFonts w:ascii="Cambria Math" w:eastAsia="Times New Roman" w:hAnsi="Cambria Math" w:cs="Times New Roman"/>
                      <w:kern w:val="0"/>
                      <w:sz w:val="24"/>
                      <w:szCs w:val="24"/>
                      <w:lang w:val="en-US" w:eastAsia="en-GB"/>
                      <w14:ligatures w14:val="none"/>
                    </w:rPr>
                    <m:t>k</m:t>
                  </m:r>
                </m:sub>
              </m:sSub>
              <m:r>
                <w:rPr>
                  <w:rFonts w:ascii="Cambria Math" w:eastAsia="Times New Roman" w:hAnsi="Cambria Math" w:cs="Times New Roman"/>
                  <w:kern w:val="0"/>
                  <w:sz w:val="24"/>
                  <w:szCs w:val="24"/>
                  <w:lang w:val="en-US" w:eastAsia="en-GB"/>
                  <w14:ligatures w14:val="none"/>
                </w:rPr>
                <m:t xml:space="preserve">= - </m:t>
              </m:r>
              <m:f>
                <m:fPr>
                  <m:ctrlPr>
                    <w:rPr>
                      <w:rFonts w:ascii="Cambria Math" w:eastAsia="Times New Roman" w:hAnsi="Cambria Math" w:cs="Times New Roman"/>
                      <w:i/>
                      <w:kern w:val="0"/>
                      <w:sz w:val="24"/>
                      <w:szCs w:val="24"/>
                      <w:lang w:val="en-US" w:eastAsia="en-GB"/>
                      <w14:ligatures w14:val="none"/>
                    </w:rPr>
                  </m:ctrlPr>
                </m:fPr>
                <m:num>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e>
                    <m:sub>
                      <m:r>
                        <w:rPr>
                          <w:rFonts w:ascii="Cambria Math" w:eastAsia="Times New Roman" w:hAnsi="Cambria Math" w:cs="Times New Roman"/>
                          <w:kern w:val="0"/>
                          <w:sz w:val="24"/>
                          <w:szCs w:val="24"/>
                          <w:lang w:val="en-US" w:eastAsia="en-GB"/>
                          <w14:ligatures w14:val="none"/>
                        </w:rPr>
                        <m:t>k</m:t>
                      </m:r>
                    </m:sub>
                  </m:sSub>
                </m:num>
                <m:den>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e>
                    <m:sub>
                      <m:r>
                        <w:rPr>
                          <w:rFonts w:ascii="Cambria Math" w:eastAsia="Times New Roman" w:hAnsi="Cambria Math" w:cs="Times New Roman"/>
                          <w:kern w:val="0"/>
                          <w:sz w:val="24"/>
                          <w:szCs w:val="24"/>
                          <w:lang w:val="en-US" w:eastAsia="en-GB"/>
                          <w14:ligatures w14:val="none"/>
                        </w:rPr>
                        <m:t>cost</m:t>
                      </m:r>
                    </m:sub>
                  </m:sSub>
                </m:den>
              </m:f>
              <m:r>
                <w:rPr>
                  <w:rFonts w:ascii="Cambria Math" w:eastAsia="Times New Roman" w:hAnsi="Cambria Math" w:cs="Times New Roman"/>
                  <w:kern w:val="0"/>
                  <w:sz w:val="24"/>
                  <w:szCs w:val="24"/>
                  <w:lang w:val="en-US" w:eastAsia="en-GB"/>
                  <w14:ligatures w14:val="none"/>
                </w:rPr>
                <m:t>#(5)</m:t>
              </m:r>
            </m:e>
          </m:eqArr>
        </m:oMath>
      </m:oMathPara>
    </w:p>
    <w:p w14:paraId="03A99156" w14:textId="77777777" w:rsidR="00A830A9" w:rsidRPr="00A830A9" w:rsidRDefault="003620F2" w:rsidP="00234A41">
      <w:pPr>
        <w:spacing w:after="0" w:line="480" w:lineRule="auto"/>
        <w:rPr>
          <w:rFonts w:ascii="Times New Roman" w:eastAsia="Times New Roman" w:hAnsi="Times New Roman" w:cs="Times New Roman"/>
          <w:kern w:val="0"/>
          <w:sz w:val="24"/>
          <w:szCs w:val="24"/>
          <w:lang w:val="en-US" w:eastAsia="en-GB"/>
          <w14:ligatures w14:val="none"/>
        </w:rPr>
      </w:pPr>
      <w:r>
        <w:rPr>
          <w:rFonts w:ascii="Times New Roman" w:eastAsia="Times New Roman" w:hAnsi="Times New Roman" w:cs="Times New Roman"/>
          <w:kern w:val="0"/>
          <w:sz w:val="24"/>
          <w:szCs w:val="24"/>
          <w:lang w:val="en-US" w:eastAsia="en-GB"/>
          <w14:ligatures w14:val="none"/>
        </w:rPr>
        <w:t>w</w:t>
      </w:r>
      <w:r w:rsidR="00A830A9" w:rsidRPr="00A830A9">
        <w:rPr>
          <w:rFonts w:ascii="Times New Roman" w:eastAsia="Times New Roman" w:hAnsi="Times New Roman" w:cs="Times New Roman"/>
          <w:kern w:val="0"/>
          <w:sz w:val="24"/>
          <w:szCs w:val="24"/>
          <w:lang w:val="en-US" w:eastAsia="en-GB"/>
          <w14:ligatures w14:val="none"/>
        </w:rPr>
        <w:t xml:space="preserve">here </w:t>
      </w:r>
      <m:oMath>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oMath>
      <w:r w:rsidR="00A830A9" w:rsidRPr="00A830A9">
        <w:rPr>
          <w:rFonts w:ascii="Times New Roman" w:eastAsia="Times New Roman" w:hAnsi="Times New Roman" w:cs="Times New Roman"/>
          <w:kern w:val="0"/>
          <w:sz w:val="24"/>
          <w:szCs w:val="24"/>
          <w:lang w:val="en-US" w:eastAsia="en-GB"/>
          <w14:ligatures w14:val="none"/>
        </w:rPr>
        <w:t xml:space="preserve"> </w:t>
      </w:r>
      <w:r w:rsidR="00A830A9" w:rsidRPr="00A830A9">
        <w:rPr>
          <w:rFonts w:ascii="Times New Roman" w:eastAsia="Times New Roman" w:hAnsi="Times New Roman" w:cs="Times New Roman"/>
          <w:i/>
          <w:iCs/>
          <w:kern w:val="0"/>
          <w:sz w:val="24"/>
          <w:szCs w:val="24"/>
          <w:lang w:val="en-US" w:eastAsia="en-GB"/>
          <w14:ligatures w14:val="none"/>
        </w:rPr>
        <w:t>cost</w:t>
      </w:r>
      <w:r w:rsidR="00A830A9" w:rsidRPr="00A830A9">
        <w:rPr>
          <w:rFonts w:ascii="Times New Roman" w:eastAsia="Times New Roman" w:hAnsi="Times New Roman" w:cs="Times New Roman"/>
          <w:kern w:val="0"/>
          <w:sz w:val="24"/>
          <w:szCs w:val="24"/>
          <w:lang w:val="en-US" w:eastAsia="en-GB"/>
          <w14:ligatures w14:val="none"/>
        </w:rPr>
        <w:t xml:space="preserve"> is the estimated coefficient on the cost attribute.  To account for interaction terms with socio-demographic variables, the MRS for attribute </w:t>
      </w:r>
      <w:r w:rsidR="00A830A9" w:rsidRPr="00A830A9">
        <w:rPr>
          <w:rFonts w:ascii="Times New Roman" w:eastAsia="Times New Roman" w:hAnsi="Times New Roman" w:cs="Times New Roman"/>
          <w:i/>
          <w:iCs/>
          <w:kern w:val="0"/>
          <w:sz w:val="24"/>
          <w:szCs w:val="24"/>
          <w:lang w:val="en-US" w:eastAsia="en-GB"/>
          <w14:ligatures w14:val="none"/>
        </w:rPr>
        <w:t>k</w:t>
      </w:r>
      <w:r w:rsidR="00A830A9" w:rsidRPr="00A830A9">
        <w:rPr>
          <w:rFonts w:ascii="Times New Roman" w:eastAsia="Times New Roman" w:hAnsi="Times New Roman" w:cs="Times New Roman"/>
          <w:kern w:val="0"/>
          <w:sz w:val="24"/>
          <w:szCs w:val="24"/>
          <w:lang w:val="en-US" w:eastAsia="en-GB"/>
          <w14:ligatures w14:val="none"/>
        </w:rPr>
        <w:t xml:space="preserve"> and individual characteristic </w:t>
      </w:r>
      <w:r w:rsidR="00A830A9" w:rsidRPr="00A830A9">
        <w:rPr>
          <w:rFonts w:ascii="Times New Roman" w:eastAsia="Times New Roman" w:hAnsi="Times New Roman" w:cs="Times New Roman"/>
          <w:i/>
          <w:iCs/>
          <w:kern w:val="0"/>
          <w:sz w:val="24"/>
          <w:szCs w:val="24"/>
          <w:lang w:val="en-US" w:eastAsia="en-GB"/>
          <w14:ligatures w14:val="none"/>
        </w:rPr>
        <w:t>z</w:t>
      </w:r>
      <w:r w:rsidR="00A830A9" w:rsidRPr="00A830A9">
        <w:rPr>
          <w:rFonts w:ascii="Times New Roman" w:eastAsia="Times New Roman" w:hAnsi="Times New Roman" w:cs="Times New Roman"/>
          <w:kern w:val="0"/>
          <w:sz w:val="24"/>
          <w:szCs w:val="24"/>
          <w:lang w:val="en-US" w:eastAsia="en-GB"/>
          <w14:ligatures w14:val="none"/>
        </w:rPr>
        <w:t xml:space="preserve"> was calculated as:</w:t>
      </w:r>
    </w:p>
    <w:p w14:paraId="1B3943B9" w14:textId="77777777" w:rsidR="00A830A9" w:rsidRPr="00A830A9" w:rsidRDefault="00000000"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MRS</m:t>
                  </m:r>
                </m:e>
                <m:sub>
                  <m:r>
                    <w:rPr>
                      <w:rFonts w:ascii="Cambria Math" w:eastAsia="Times New Roman" w:hAnsi="Cambria Math" w:cs="Times New Roman"/>
                      <w:kern w:val="0"/>
                      <w:sz w:val="24"/>
                      <w:szCs w:val="24"/>
                      <w:lang w:val="en-US" w:eastAsia="en-GB"/>
                      <w14:ligatures w14:val="none"/>
                    </w:rPr>
                    <m:t>kz</m:t>
                  </m:r>
                </m:sub>
              </m:sSub>
              <m:r>
                <w:rPr>
                  <w:rFonts w:ascii="Cambria Math" w:eastAsia="Times New Roman" w:hAnsi="Cambria Math" w:cs="Times New Roman"/>
                  <w:kern w:val="0"/>
                  <w:sz w:val="24"/>
                  <w:szCs w:val="24"/>
                  <w:lang w:val="en-US" w:eastAsia="en-GB"/>
                  <w14:ligatures w14:val="none"/>
                </w:rPr>
                <m:t xml:space="preserve">= - </m:t>
              </m:r>
              <m:f>
                <m:fPr>
                  <m:ctrlPr>
                    <w:rPr>
                      <w:rFonts w:ascii="Cambria Math" w:eastAsia="Times New Roman" w:hAnsi="Cambria Math" w:cs="Times New Roman"/>
                      <w:i/>
                      <w:kern w:val="0"/>
                      <w:sz w:val="24"/>
                      <w:szCs w:val="24"/>
                      <w:lang w:val="en-US" w:eastAsia="en-GB"/>
                      <w14:ligatures w14:val="none"/>
                    </w:rPr>
                  </m:ctrlPr>
                </m:fPr>
                <m:num>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e>
                    <m:sub>
                      <m:r>
                        <w:rPr>
                          <w:rFonts w:ascii="Cambria Math" w:eastAsia="Times New Roman" w:hAnsi="Cambria Math" w:cs="Times New Roman"/>
                          <w:kern w:val="0"/>
                          <w:sz w:val="24"/>
                          <w:szCs w:val="24"/>
                          <w:lang w:val="en-US" w:eastAsia="en-GB"/>
                          <w14:ligatures w14:val="none"/>
                        </w:rPr>
                        <m:t xml:space="preserve">k </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e>
                    <m:sub>
                      <m:r>
                        <w:rPr>
                          <w:rFonts w:ascii="Cambria Math" w:eastAsia="Times New Roman" w:hAnsi="Cambria Math" w:cs="Times New Roman"/>
                          <w:kern w:val="0"/>
                          <w:sz w:val="24"/>
                          <w:szCs w:val="24"/>
                          <w:lang w:val="en-US" w:eastAsia="en-GB"/>
                          <w14:ligatures w14:val="none"/>
                        </w:rPr>
                        <m:t xml:space="preserve">k,z </m:t>
                      </m:r>
                    </m:sub>
                  </m:sSub>
                </m:num>
                <m:den>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e>
                    <m:sub>
                      <m:r>
                        <w:rPr>
                          <w:rFonts w:ascii="Cambria Math" w:eastAsia="Times New Roman" w:hAnsi="Cambria Math" w:cs="Times New Roman"/>
                          <w:kern w:val="0"/>
                          <w:sz w:val="24"/>
                          <w:szCs w:val="24"/>
                          <w:lang w:val="en-US" w:eastAsia="en-GB"/>
                          <w14:ligatures w14:val="none"/>
                        </w:rPr>
                        <m:t>cost</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e>
                    <m:sub>
                      <m:r>
                        <w:rPr>
                          <w:rFonts w:ascii="Cambria Math" w:eastAsia="Times New Roman" w:hAnsi="Cambria Math" w:cs="Times New Roman"/>
                          <w:kern w:val="0"/>
                          <w:sz w:val="24"/>
                          <w:szCs w:val="24"/>
                          <w:lang w:val="en-US" w:eastAsia="en-GB"/>
                          <w14:ligatures w14:val="none"/>
                        </w:rPr>
                        <m:t xml:space="preserve">cost,z </m:t>
                      </m:r>
                    </m:sub>
                  </m:sSub>
                </m:den>
              </m:f>
              <m:r>
                <w:rPr>
                  <w:rFonts w:ascii="Cambria Math" w:eastAsia="Times New Roman" w:hAnsi="Cambria Math" w:cs="Times New Roman"/>
                  <w:kern w:val="0"/>
                  <w:sz w:val="24"/>
                  <w:szCs w:val="24"/>
                  <w:lang w:val="en-US" w:eastAsia="en-GB"/>
                  <w14:ligatures w14:val="none"/>
                </w:rPr>
                <m:t>#(6)</m:t>
              </m:r>
            </m:e>
          </m:eqArr>
        </m:oMath>
      </m:oMathPara>
    </w:p>
    <w:p w14:paraId="7EE7C702"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Willingness-to-pay values were estimated following the approach of </w:t>
      </w:r>
      <w:r w:rsidRPr="00A830A9">
        <w:rPr>
          <w:rFonts w:ascii="Times New Roman" w:eastAsia="Times New Roman" w:hAnsi="Times New Roman" w:cs="Times New Roman"/>
          <w:kern w:val="0"/>
          <w:sz w:val="24"/>
          <w:szCs w:val="24"/>
          <w:lang w:val="en-GB" w:eastAsia="en-GB"/>
          <w14:ligatures w14:val="none"/>
        </w:rPr>
        <w:t>Caplan et al. (2021)</w:t>
      </w:r>
      <w:r w:rsidRPr="00A830A9">
        <w:rPr>
          <w:rFonts w:ascii="Times New Roman" w:eastAsia="Times New Roman" w:hAnsi="Times New Roman" w:cs="Times New Roman"/>
          <w:kern w:val="0"/>
          <w:sz w:val="24"/>
          <w:szCs w:val="24"/>
          <w:lang w:val="en-US" w:eastAsia="en-GB"/>
          <w14:ligatures w14:val="none"/>
        </w:rPr>
        <w:t xml:space="preserve">. As the cost attribute was specified as a percentage change from the respondent’s expected housing cost in 10 % intervals, marginal rates of substitution (MRS) were converted into marginal </w:t>
      </w:r>
      <w:r w:rsidR="00B6514C">
        <w:rPr>
          <w:rFonts w:ascii="Times New Roman" w:eastAsia="Times New Roman" w:hAnsi="Times New Roman" w:cs="Times New Roman"/>
          <w:kern w:val="0"/>
          <w:sz w:val="24"/>
          <w:szCs w:val="24"/>
          <w:lang w:val="en-US" w:eastAsia="en-GB"/>
          <w14:ligatures w14:val="none"/>
        </w:rPr>
        <w:t>willingness-to-pay</w:t>
      </w:r>
      <w:r w:rsidRPr="00A830A9">
        <w:rPr>
          <w:rFonts w:ascii="Times New Roman" w:eastAsia="Times New Roman" w:hAnsi="Times New Roman" w:cs="Times New Roman"/>
          <w:kern w:val="0"/>
          <w:sz w:val="24"/>
          <w:szCs w:val="24"/>
          <w:lang w:val="en-US" w:eastAsia="en-GB"/>
          <w14:ligatures w14:val="none"/>
        </w:rPr>
        <w:t xml:space="preserve"> (MWTP) in monetary terms by scaling with 10 % of the mean reported monthly housing cost:</w:t>
      </w:r>
    </w:p>
    <w:p w14:paraId="1CCA9E7D" w14:textId="77777777" w:rsidR="00A830A9" w:rsidRPr="00A830A9" w:rsidRDefault="00000000" w:rsidP="00A830A9">
      <w:pPr>
        <w:spacing w:after="0" w:line="480" w:lineRule="auto"/>
        <w:rPr>
          <w:rFonts w:ascii="Times New Roman" w:eastAsia="Times New Roman" w:hAnsi="Times New Roman" w:cs="Times New Roman"/>
          <w:kern w:val="0"/>
          <w:sz w:val="24"/>
          <w:szCs w:val="24"/>
          <w:lang w:val="en-GB" w:eastAsia="en-GB"/>
          <w14:ligatures w14:val="none"/>
        </w:rPr>
      </w:pPr>
      <m:oMathPara>
        <m:oMath>
          <m:eqArr>
            <m:eqArrPr>
              <m:maxDist m:val="1"/>
              <m:ctrlPr>
                <w:rPr>
                  <w:rFonts w:ascii="Cambria Math" w:eastAsia="Times New Roman" w:hAnsi="Cambria Math" w:cs="Times New Roman"/>
                  <w:i/>
                  <w:kern w:val="0"/>
                  <w:sz w:val="24"/>
                  <w:szCs w:val="24"/>
                  <w:lang w:val="en-GB" w:eastAsia="en-GB"/>
                  <w14:ligatures w14:val="none"/>
                </w:rPr>
              </m:ctrlPr>
            </m:eqArrPr>
            <m:e>
              <m:sSub>
                <m:sSubPr>
                  <m:ctrlPr>
                    <w:rPr>
                      <w:rFonts w:ascii="Cambria Math" w:eastAsia="Times New Roman" w:hAnsi="Cambria Math" w:cs="Times New Roman"/>
                      <w:kern w:val="0"/>
                      <w:sz w:val="24"/>
                      <w:szCs w:val="24"/>
                      <w:lang w:val="en-GB" w:eastAsia="en-GB"/>
                      <w14:ligatures w14:val="none"/>
                    </w:rPr>
                  </m:ctrlPr>
                </m:sSubPr>
                <m:e>
                  <m:r>
                    <w:rPr>
                      <w:rFonts w:ascii="Cambria Math" w:eastAsia="Times New Roman" w:hAnsi="Cambria Math" w:cs="Times New Roman"/>
                      <w:kern w:val="0"/>
                      <w:sz w:val="24"/>
                      <w:szCs w:val="24"/>
                      <w:lang w:val="en-GB" w:eastAsia="en-GB"/>
                      <w14:ligatures w14:val="none"/>
                    </w:rPr>
                    <m:t>MWTP</m:t>
                  </m:r>
                </m:e>
                <m:sub>
                  <m:r>
                    <w:rPr>
                      <w:rFonts w:ascii="Cambria Math" w:eastAsia="Times New Roman" w:hAnsi="Cambria Math" w:cs="Times New Roman"/>
                      <w:kern w:val="0"/>
                      <w:sz w:val="24"/>
                      <w:szCs w:val="24"/>
                      <w:lang w:val="en-GB" w:eastAsia="en-GB"/>
                      <w14:ligatures w14:val="none"/>
                    </w:rPr>
                    <m:t>k</m:t>
                  </m:r>
                </m:sub>
              </m:sSub>
              <m:r>
                <w:rPr>
                  <w:rFonts w:ascii="Cambria Math" w:eastAsia="Times New Roman" w:hAnsi="Cambria Math" w:cs="Times New Roman"/>
                  <w:kern w:val="0"/>
                  <w:sz w:val="24"/>
                  <w:szCs w:val="24"/>
                  <w:vertAlign w:val="subscript"/>
                  <w:lang w:val="en-GB" w:eastAsia="en-GB"/>
                  <w14:ligatures w14:val="none"/>
                </w:rPr>
                <m:t xml:space="preserve"> </m:t>
              </m:r>
              <m:r>
                <m:rPr>
                  <m:sty m:val="p"/>
                </m:rPr>
                <w:rPr>
                  <w:rFonts w:ascii="Cambria Math" w:eastAsia="Times New Roman" w:hAnsi="Cambria Math" w:cs="Times New Roman"/>
                  <w:kern w:val="0"/>
                  <w:sz w:val="24"/>
                  <w:szCs w:val="24"/>
                  <w:lang w:val="en-GB" w:eastAsia="en-GB"/>
                  <w14:ligatures w14:val="none"/>
                </w:rPr>
                <m:t xml:space="preserve">= </m:t>
              </m:r>
              <m:sSub>
                <m:sSubPr>
                  <m:ctrlPr>
                    <w:rPr>
                      <w:rFonts w:ascii="Cambria Math" w:eastAsia="Times New Roman" w:hAnsi="Cambria Math" w:cs="Times New Roman"/>
                      <w:kern w:val="0"/>
                      <w:sz w:val="24"/>
                      <w:szCs w:val="24"/>
                      <w:lang w:val="en-GB" w:eastAsia="en-GB"/>
                      <w14:ligatures w14:val="none"/>
                    </w:rPr>
                  </m:ctrlPr>
                </m:sSubPr>
                <m:e>
                  <m:r>
                    <m:rPr>
                      <m:sty m:val="p"/>
                    </m:rPr>
                    <w:rPr>
                      <w:rFonts w:ascii="Cambria Math" w:eastAsia="Times New Roman" w:hAnsi="Cambria Math" w:cs="Times New Roman"/>
                      <w:kern w:val="0"/>
                      <w:sz w:val="24"/>
                      <w:szCs w:val="24"/>
                      <w:lang w:val="en-GB" w:eastAsia="en-GB"/>
                      <w14:ligatures w14:val="none"/>
                    </w:rPr>
                    <m:t>MRS</m:t>
                  </m:r>
                  <m:r>
                    <w:rPr>
                      <w:rFonts w:ascii="Cambria Math" w:eastAsia="Times New Roman" w:hAnsi="Cambria Math" w:cs="Times New Roman"/>
                      <w:kern w:val="0"/>
                      <w:sz w:val="24"/>
                      <w:szCs w:val="24"/>
                      <w:vertAlign w:val="subscript"/>
                      <w:lang w:val="en-GB" w:eastAsia="en-GB"/>
                      <w14:ligatures w14:val="none"/>
                    </w:rPr>
                    <m:t xml:space="preserve"> </m:t>
                  </m:r>
                </m:e>
                <m:sub>
                  <m:r>
                    <w:rPr>
                      <w:rFonts w:ascii="Cambria Math" w:eastAsia="Times New Roman" w:hAnsi="Cambria Math" w:cs="Times New Roman"/>
                      <w:kern w:val="0"/>
                      <w:sz w:val="24"/>
                      <w:szCs w:val="24"/>
                      <w:lang w:val="en-GB" w:eastAsia="en-GB"/>
                      <w14:ligatures w14:val="none"/>
                    </w:rPr>
                    <m:t>k</m:t>
                  </m:r>
                </m:sub>
              </m:sSub>
              <m:r>
                <m:rPr>
                  <m:sty m:val="p"/>
                </m:rPr>
                <w:rPr>
                  <w:rFonts w:ascii="Cambria Math" w:eastAsia="Times New Roman" w:hAnsi="Cambria Math" w:cs="Times New Roman"/>
                  <w:kern w:val="0"/>
                  <w:sz w:val="24"/>
                  <w:szCs w:val="24"/>
                  <w:lang w:val="en-GB" w:eastAsia="en-GB"/>
                  <w14:ligatures w14:val="none"/>
                </w:rPr>
                <m:t xml:space="preserve">× 0.10 × </m:t>
              </m:r>
              <m:r>
                <w:rPr>
                  <w:rFonts w:ascii="Cambria Math" w:eastAsia="Times New Roman" w:hAnsi="Cambria Math" w:cs="Times New Roman"/>
                  <w:kern w:val="0"/>
                  <w:sz w:val="24"/>
                  <w:szCs w:val="24"/>
                  <w:lang w:val="en-GB" w:eastAsia="en-GB"/>
                  <w14:ligatures w14:val="none"/>
                </w:rPr>
                <m:t>Planned Cost#(7)</m:t>
              </m:r>
            </m:e>
          </m:eqArr>
        </m:oMath>
      </m:oMathPara>
    </w:p>
    <w:p w14:paraId="242EDBEE" w14:textId="77777777" w:rsidR="00A830A9" w:rsidRPr="00A830A9" w:rsidRDefault="00A830A9" w:rsidP="003620F2">
      <w:pPr>
        <w:spacing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where </w:t>
      </w:r>
      <w:r w:rsidRPr="00A830A9">
        <w:rPr>
          <w:rFonts w:ascii="Times New Roman" w:eastAsia="Times New Roman" w:hAnsi="Times New Roman" w:cs="Times New Roman"/>
          <w:i/>
          <w:iCs/>
          <w:kern w:val="0"/>
          <w:sz w:val="24"/>
          <w:szCs w:val="24"/>
          <w:lang w:val="en-US" w:eastAsia="en-GB"/>
          <w14:ligatures w14:val="none"/>
        </w:rPr>
        <w:t>Planned Cost</w:t>
      </w:r>
      <w:r w:rsidRPr="00A830A9">
        <w:rPr>
          <w:rFonts w:ascii="Times New Roman" w:eastAsia="Times New Roman" w:hAnsi="Times New Roman" w:cs="Times New Roman"/>
          <w:kern w:val="0"/>
          <w:sz w:val="24"/>
          <w:szCs w:val="24"/>
          <w:lang w:val="en-US" w:eastAsia="en-GB"/>
          <w14:ligatures w14:val="none"/>
        </w:rPr>
        <w:t xml:space="preserve"> denotes the </w:t>
      </w:r>
      <w:proofErr w:type="gramStart"/>
      <w:r w:rsidRPr="00A830A9">
        <w:rPr>
          <w:rFonts w:ascii="Times New Roman" w:eastAsia="Times New Roman" w:hAnsi="Times New Roman" w:cs="Times New Roman"/>
          <w:kern w:val="0"/>
          <w:sz w:val="24"/>
          <w:szCs w:val="24"/>
          <w:lang w:val="en-US" w:eastAsia="en-GB"/>
          <w14:ligatures w14:val="none"/>
        </w:rPr>
        <w:t>mean</w:t>
      </w:r>
      <w:proofErr w:type="gramEnd"/>
      <w:r w:rsidRPr="00A830A9">
        <w:rPr>
          <w:rFonts w:ascii="Times New Roman" w:eastAsia="Times New Roman" w:hAnsi="Times New Roman" w:cs="Times New Roman"/>
          <w:kern w:val="0"/>
          <w:sz w:val="24"/>
          <w:szCs w:val="24"/>
          <w:lang w:val="en-US" w:eastAsia="en-GB"/>
          <w14:ligatures w14:val="none"/>
        </w:rPr>
        <w:t xml:space="preserve"> of </w:t>
      </w:r>
      <w:proofErr w:type="gramStart"/>
      <w:r w:rsidRPr="00A830A9">
        <w:rPr>
          <w:rFonts w:ascii="Times New Roman" w:eastAsia="Times New Roman" w:hAnsi="Times New Roman" w:cs="Times New Roman"/>
          <w:kern w:val="0"/>
          <w:sz w:val="24"/>
          <w:szCs w:val="24"/>
          <w:lang w:val="en-US" w:eastAsia="en-GB"/>
          <w14:ligatures w14:val="none"/>
        </w:rPr>
        <w:t>respondents’</w:t>
      </w:r>
      <w:proofErr w:type="gramEnd"/>
      <w:r w:rsidRPr="00A830A9">
        <w:rPr>
          <w:rFonts w:ascii="Times New Roman" w:eastAsia="Times New Roman" w:hAnsi="Times New Roman" w:cs="Times New Roman"/>
          <w:kern w:val="0"/>
          <w:sz w:val="24"/>
          <w:szCs w:val="24"/>
          <w:lang w:val="en-US" w:eastAsia="en-GB"/>
          <w14:ligatures w14:val="none"/>
        </w:rPr>
        <w:t xml:space="preserve"> stated planned monthly housing cost, captured in the DCE questionnaire. These MWTP estimates represent the amount, in SEK per month, that respondents are willing to pay for improvements in each housing attribute, relative to their planned future housing costs.  </w:t>
      </w:r>
    </w:p>
    <w:p w14:paraId="34B80DFB" w14:textId="77777777" w:rsid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Mixed logit models were first estimated separately for homeowners and renters, with reference levels defined as the least preferred option for each attribute. </w:t>
      </w:r>
      <w:r w:rsidR="003620F2" w:rsidRPr="003620F2">
        <w:rPr>
          <w:rFonts w:ascii="Times New Roman" w:eastAsia="Times New Roman" w:hAnsi="Times New Roman" w:cs="Times New Roman"/>
          <w:kern w:val="0"/>
          <w:sz w:val="24"/>
          <w:szCs w:val="24"/>
          <w:lang w:val="en-GB" w:eastAsia="en-GB"/>
          <w14:ligatures w14:val="none"/>
        </w:rPr>
        <w:t xml:space="preserve">Interaction models were estimated for gender, age, and health status by interacting all attribute levels with the relevant subgroup indicator. Main effects represent the reference group, while interaction </w:t>
      </w:r>
      <w:r w:rsidR="003620F2" w:rsidRPr="003620F2">
        <w:rPr>
          <w:rFonts w:ascii="Times New Roman" w:eastAsia="Times New Roman" w:hAnsi="Times New Roman" w:cs="Times New Roman"/>
          <w:kern w:val="0"/>
          <w:sz w:val="24"/>
          <w:szCs w:val="24"/>
          <w:lang w:val="en-GB" w:eastAsia="en-GB"/>
          <w14:ligatures w14:val="none"/>
        </w:rPr>
        <w:lastRenderedPageBreak/>
        <w:t>terms capture subgroup deviations. MWTP values and confidence intervals were derived using the delta method</w:t>
      </w:r>
      <w:r w:rsidR="003620F2">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kern w:val="0"/>
          <w:sz w:val="24"/>
          <w:szCs w:val="24"/>
          <w:lang w:val="en-GB" w:eastAsia="en-GB"/>
          <w14:ligatures w14:val="none"/>
        </w:rPr>
        <w:t>(Wooldridge, 2010).</w:t>
      </w:r>
    </w:p>
    <w:p w14:paraId="13FD2BD4" w14:textId="77777777" w:rsidR="00A54720" w:rsidRPr="00065263" w:rsidRDefault="00000000">
      <w:pPr>
        <w:rPr>
          <w:lang w:val="en-US"/>
        </w:rPr>
      </w:pPr>
      <w:r w:rsidRPr="00065263">
        <w:rPr>
          <w:lang w:val="en-US"/>
        </w:rPr>
        <w:t xml:space="preserve">To complement the mixed logit specification and identify unobserved segments of respondents with distinct preference structures, latent class logit models were estimated on the pooled sample using the </w:t>
      </w:r>
      <w:proofErr w:type="spellStart"/>
      <w:r w:rsidRPr="00065263">
        <w:rPr>
          <w:lang w:val="en-US"/>
        </w:rPr>
        <w:t>gmnl</w:t>
      </w:r>
      <w:proofErr w:type="spellEnd"/>
      <w:r w:rsidRPr="00065263">
        <w:rPr>
          <w:lang w:val="en-US"/>
        </w:rPr>
        <w:t xml:space="preserve"> package in R (</w:t>
      </w:r>
      <w:proofErr w:type="spellStart"/>
      <w:r w:rsidRPr="00065263">
        <w:rPr>
          <w:lang w:val="en-US"/>
        </w:rPr>
        <w:t>Sarrias</w:t>
      </w:r>
      <w:proofErr w:type="spellEnd"/>
      <w:r w:rsidRPr="00065263">
        <w:rPr>
          <w:lang w:val="en-US"/>
        </w:rPr>
        <w:t xml:space="preserve"> &amp; </w:t>
      </w:r>
      <w:proofErr w:type="spellStart"/>
      <w:r w:rsidRPr="00065263">
        <w:rPr>
          <w:lang w:val="en-US"/>
        </w:rPr>
        <w:t>Daziano</w:t>
      </w:r>
      <w:proofErr w:type="spellEnd"/>
      <w:r w:rsidRPr="00065263">
        <w:rPr>
          <w:lang w:val="en-US"/>
        </w:rPr>
        <w:t>, 2017). Models with two, three, and four classes were compared using log-likelihood, AIC, BIC, CAIC, and relative entropy (Supplementary Table S4); the three-class solution was selected as the preferred specification, balancing improved fit and class separation over the two-class solution against the more limited interpretability of a four-class solution.</w:t>
      </w:r>
    </w:p>
    <w:p w14:paraId="72872F17" w14:textId="77777777" w:rsidR="003620F2" w:rsidRDefault="003620F2"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p>
    <w:p w14:paraId="472685B5" w14:textId="77777777" w:rsidR="00010272" w:rsidRDefault="00010272" w:rsidP="00010272">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010272">
        <w:rPr>
          <w:rFonts w:ascii="Times New Roman" w:eastAsia="Times New Roman" w:hAnsi="Times New Roman" w:cs="Arial"/>
          <w:b/>
          <w:bCs/>
          <w:i/>
          <w:iCs/>
          <w:kern w:val="0"/>
          <w:sz w:val="24"/>
          <w:szCs w:val="28"/>
          <w:lang w:val="en-US" w:eastAsia="en-GB"/>
          <w14:ligatures w14:val="none"/>
        </w:rPr>
        <w:t>Use of artificial intelligence tools</w:t>
      </w:r>
    </w:p>
    <w:p w14:paraId="2BE45070" w14:textId="77777777" w:rsidR="00F67333" w:rsidRPr="00010272" w:rsidRDefault="00F67333" w:rsidP="00010272">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70EEB0CD" w14:textId="77777777" w:rsidR="00010272" w:rsidRDefault="00010272" w:rsidP="00010272">
      <w:pPr>
        <w:spacing w:after="0" w:line="480" w:lineRule="auto"/>
        <w:rPr>
          <w:rFonts w:ascii="Times New Roman" w:eastAsia="Times New Roman" w:hAnsi="Times New Roman" w:cs="Times New Roman"/>
          <w:kern w:val="0"/>
          <w:sz w:val="24"/>
          <w:szCs w:val="24"/>
          <w:lang w:val="en-GB" w:eastAsia="en-GB"/>
          <w14:ligatures w14:val="none"/>
        </w:rPr>
      </w:pPr>
      <w:r w:rsidRPr="00010272">
        <w:rPr>
          <w:rFonts w:ascii="Times New Roman" w:eastAsia="Times New Roman" w:hAnsi="Times New Roman" w:cs="Times New Roman"/>
          <w:kern w:val="0"/>
          <w:sz w:val="24"/>
          <w:szCs w:val="24"/>
          <w:lang w:val="en-GB" w:eastAsia="en-GB"/>
          <w14:ligatures w14:val="none"/>
        </w:rPr>
        <w:t>This work used OpenAI’s ChatGPT (GPT-5.5) for language improvement. All content was reviewed and verified by the authors.</w:t>
      </w:r>
    </w:p>
    <w:p w14:paraId="100199B1" w14:textId="77777777" w:rsidR="00010272" w:rsidRPr="00A830A9" w:rsidRDefault="00010272" w:rsidP="00010272">
      <w:pPr>
        <w:spacing w:after="0" w:line="480" w:lineRule="auto"/>
        <w:rPr>
          <w:rFonts w:ascii="Times New Roman" w:eastAsia="Times New Roman" w:hAnsi="Times New Roman" w:cs="Times New Roman"/>
          <w:kern w:val="0"/>
          <w:sz w:val="24"/>
          <w:szCs w:val="24"/>
          <w:lang w:val="en-GB" w:eastAsia="en-GB"/>
          <w14:ligatures w14:val="none"/>
        </w:rPr>
      </w:pPr>
    </w:p>
    <w:p w14:paraId="2871E076" w14:textId="77777777" w:rsidR="00A830A9"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t>Results</w:t>
      </w:r>
    </w:p>
    <w:p w14:paraId="33BCDB72" w14:textId="77777777" w:rsidR="00F67333" w:rsidRPr="00A830A9" w:rsidRDefault="00F67333"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p>
    <w:p w14:paraId="6F3B7050" w14:textId="77777777" w:rsidR="00A830A9"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A830A9">
        <w:rPr>
          <w:rFonts w:ascii="Times New Roman" w:eastAsia="Times New Roman" w:hAnsi="Times New Roman" w:cs="Arial"/>
          <w:b/>
          <w:bCs/>
          <w:i/>
          <w:iCs/>
          <w:kern w:val="0"/>
          <w:sz w:val="24"/>
          <w:szCs w:val="28"/>
          <w:lang w:val="en-US" w:eastAsia="en-GB"/>
          <w14:ligatures w14:val="none"/>
        </w:rPr>
        <w:t>Sample characteristics</w:t>
      </w:r>
    </w:p>
    <w:p w14:paraId="5650AD57" w14:textId="77777777" w:rsidR="00F67333" w:rsidRPr="00A830A9" w:rsidRDefault="00F67333"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7016BB3E"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Of the 957 respondents, 790 were homeowners and 167 were renters. The sample was slightly majority female (55.3%), with most participants aged 65–74 years (43.5%) followed by those aged 75+ (36.5%). Most respondents were partnered (60.6%), retired (77.1%), and lived in apartments or condominium housing (63.0%). Most had attained at least three years of university education (47.6%) and lived in city or town locations (62.2%). Slightly more than half of the respondents described their health as “Very good” or better (50.04%). Households predominantly consisted of one or two members (95.2%), with 3.8% reporting three or more. The mean monthly household income was 52,000 SEK, and the average planned monthly housing cost was 10,000 SEK. Table 2 provides descriptive statistics for the study sample, disaggregated by housing tenure.</w:t>
      </w:r>
    </w:p>
    <w:p w14:paraId="331A3528"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0F760E49"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[INSERT TABLE 2 ABOUT HERE]</w:t>
      </w:r>
    </w:p>
    <w:p w14:paraId="3F0EB653"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327563A6" w14:textId="77777777" w:rsidR="00A830A9" w:rsidRPr="00A830A9"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A830A9">
        <w:rPr>
          <w:rFonts w:ascii="Times New Roman" w:eastAsia="Times New Roman" w:hAnsi="Times New Roman" w:cs="Arial"/>
          <w:b/>
          <w:bCs/>
          <w:i/>
          <w:iCs/>
          <w:kern w:val="0"/>
          <w:sz w:val="24"/>
          <w:szCs w:val="28"/>
          <w:lang w:val="en-US" w:eastAsia="en-GB"/>
          <w14:ligatures w14:val="none"/>
        </w:rPr>
        <w:t>Standard model results</w:t>
      </w:r>
    </w:p>
    <w:p w14:paraId="5C7C9472" w14:textId="77777777" w:rsidR="00A830A9" w:rsidRPr="00A830A9"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Table 3 presents the results from the standard mixed logit models estimated separately for renters and homeowners. A positive (negative) coefficient estimate indicates </w:t>
      </w:r>
      <w:proofErr w:type="gramStart"/>
      <w:r w:rsidRPr="00A830A9">
        <w:rPr>
          <w:rFonts w:ascii="Times New Roman" w:eastAsia="Times New Roman" w:hAnsi="Times New Roman" w:cs="Times New Roman"/>
          <w:kern w:val="0"/>
          <w:sz w:val="24"/>
          <w:szCs w:val="24"/>
          <w:lang w:val="en-US" w:eastAsia="en-GB"/>
          <w14:ligatures w14:val="none"/>
        </w:rPr>
        <w:t>and</w:t>
      </w:r>
      <w:proofErr w:type="gramEnd"/>
      <w:r w:rsidRPr="00A830A9">
        <w:rPr>
          <w:rFonts w:ascii="Times New Roman" w:eastAsia="Times New Roman" w:hAnsi="Times New Roman" w:cs="Times New Roman"/>
          <w:kern w:val="0"/>
          <w:sz w:val="24"/>
          <w:szCs w:val="24"/>
          <w:lang w:val="en-US" w:eastAsia="en-GB"/>
          <w14:ligatures w14:val="none"/>
        </w:rPr>
        <w:t xml:space="preserve"> increase (decrease) in the average respondent’s utility level.  Across both tenure groups, the estimated coefficients display the expected signs and are generally highly statistically significant. Significant standard deviations reported in columns three and five </w:t>
      </w:r>
      <w:proofErr w:type="gramStart"/>
      <w:r w:rsidRPr="00A830A9">
        <w:rPr>
          <w:rFonts w:ascii="Times New Roman" w:eastAsia="Times New Roman" w:hAnsi="Times New Roman" w:cs="Times New Roman"/>
          <w:kern w:val="0"/>
          <w:sz w:val="24"/>
          <w:szCs w:val="24"/>
          <w:lang w:val="en-US" w:eastAsia="en-GB"/>
          <w14:ligatures w14:val="none"/>
        </w:rPr>
        <w:t>provides</w:t>
      </w:r>
      <w:proofErr w:type="gramEnd"/>
      <w:r w:rsidRPr="00A830A9">
        <w:rPr>
          <w:rFonts w:ascii="Times New Roman" w:eastAsia="Times New Roman" w:hAnsi="Times New Roman" w:cs="Times New Roman"/>
          <w:kern w:val="0"/>
          <w:sz w:val="24"/>
          <w:szCs w:val="24"/>
          <w:lang w:val="en-US" w:eastAsia="en-GB"/>
          <w14:ligatures w14:val="none"/>
        </w:rPr>
        <w:t xml:space="preserve"> evidence of unobserved heterogeneity in the samples.</w:t>
      </w:r>
    </w:p>
    <w:p w14:paraId="3257BBA5"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6AC687CC"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[INSERT TABLE 3 ABOUT HERE]</w:t>
      </w:r>
    </w:p>
    <w:p w14:paraId="5D549BA9"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11E49AA8"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The corresponding monetary MWTP estimates, derived from these coefficients, are reported alongside them in Table 3, with 95% confidence intervals. Among homeowners, MWTP values indicate substantial willingness-to-pay for improved accessibility and amenities.  For example, homeowners were willing to pay 397 SEK and 598 SEK per month to live within 500 meters, instead of 15 km, from the nearest green area and shops, respectively.  Parking amenities were highly valued.  Compared to no reserved parking, respondents were willing to pay 587 SEK for </w:t>
      </w:r>
      <w:proofErr w:type="gramStart"/>
      <w:r w:rsidRPr="00A830A9">
        <w:rPr>
          <w:rFonts w:ascii="Times New Roman" w:eastAsia="Times New Roman" w:hAnsi="Times New Roman" w:cs="Times New Roman"/>
          <w:kern w:val="0"/>
          <w:sz w:val="24"/>
          <w:szCs w:val="24"/>
          <w:lang w:val="en-US" w:eastAsia="en-GB"/>
          <w14:ligatures w14:val="none"/>
        </w:rPr>
        <w:t>a reserved</w:t>
      </w:r>
      <w:proofErr w:type="gramEnd"/>
      <w:r w:rsidRPr="00A830A9">
        <w:rPr>
          <w:rFonts w:ascii="Times New Roman" w:eastAsia="Times New Roman" w:hAnsi="Times New Roman" w:cs="Times New Roman"/>
          <w:kern w:val="0"/>
          <w:sz w:val="24"/>
          <w:szCs w:val="24"/>
          <w:lang w:val="en-US" w:eastAsia="en-GB"/>
          <w14:ligatures w14:val="none"/>
        </w:rPr>
        <w:t xml:space="preserve"> garage space and 478 SEK for reserved parking space. </w:t>
      </w:r>
    </w:p>
    <w:p w14:paraId="0A0DE6F7"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Renters reveal similar preference patterns but with generally lower MWTP magnitudes.  Renters were willing to pay 346 SEK per month to reside within 500 m of green space and 408 SEK for proximity to shops within 500 meters. These values remain economically meaningful yet modestly below those of owners. Renters also show strong preferences for parking access, although their MWTP for a reserved garage (254 SEK) or </w:t>
      </w:r>
      <w:r w:rsidRPr="00A830A9">
        <w:rPr>
          <w:rFonts w:ascii="Times New Roman" w:eastAsia="Times New Roman" w:hAnsi="Times New Roman" w:cs="Times New Roman"/>
          <w:kern w:val="0"/>
          <w:sz w:val="24"/>
          <w:szCs w:val="24"/>
          <w:lang w:val="en-US" w:eastAsia="en-GB"/>
          <w14:ligatures w14:val="none"/>
        </w:rPr>
        <w:lastRenderedPageBreak/>
        <w:t>space (249 SEK) is roughly half that of homeowners. As discussed below, this gap reflects renters' substantially greater price sensitivity rather than weaker underlying preferences for these attributes.</w:t>
      </w:r>
    </w:p>
    <w:p w14:paraId="52625397"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212DBB19" w14:textId="77777777" w:rsidR="00A830A9"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A830A9">
        <w:rPr>
          <w:rFonts w:ascii="Times New Roman" w:eastAsia="Times New Roman" w:hAnsi="Times New Roman" w:cs="Arial"/>
          <w:b/>
          <w:bCs/>
          <w:i/>
          <w:iCs/>
          <w:kern w:val="0"/>
          <w:sz w:val="24"/>
          <w:szCs w:val="28"/>
          <w:lang w:val="en-US" w:eastAsia="en-GB"/>
          <w14:ligatures w14:val="none"/>
        </w:rPr>
        <w:t>Observed heterogeneity model results</w:t>
      </w:r>
    </w:p>
    <w:p w14:paraId="726F6F7E" w14:textId="77777777" w:rsidR="00F67333" w:rsidRPr="00A830A9" w:rsidRDefault="00F67333"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1E28A8D1" w14:textId="46887F96" w:rsidR="00F67333" w:rsidRPr="00065263" w:rsidRDefault="00A830A9" w:rsidP="00A830A9">
      <w:pPr>
        <w:keepNext/>
        <w:spacing w:before="360" w:after="60" w:line="360" w:lineRule="auto"/>
        <w:ind w:right="567"/>
        <w:contextualSpacing/>
        <w:outlineLvl w:val="2"/>
        <w:rPr>
          <w:rFonts w:ascii="Times New Roman" w:eastAsia="Times New Roman" w:hAnsi="Times New Roman" w:cs="Arial"/>
          <w:bCs/>
          <w:i/>
          <w:kern w:val="0"/>
          <w:sz w:val="24"/>
          <w:szCs w:val="26"/>
          <w:lang w:val="en-US" w:eastAsia="en-GB"/>
          <w14:ligatures w14:val="none"/>
        </w:rPr>
      </w:pPr>
      <w:r w:rsidRPr="00065263">
        <w:rPr>
          <w:lang w:val="en-US"/>
        </w:rPr>
        <w:t>Heterogeneity by age, gender, and health</w:t>
      </w:r>
    </w:p>
    <w:p w14:paraId="18E1211C"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065263">
        <w:rPr>
          <w:lang w:val="en-US"/>
        </w:rPr>
        <w:t>Interaction models testing age, gender, and health revealed selective rather than pervasive heterogeneity in preferences (Supplementary Tables S1–S3). Among homeowners, older respondents were less cost-sensitive and placed greater value on public transport proximity (MWTP 136 SEK vs 15 SEK for a 600 m transit stop), while preferences for green space, shops, and parking were broadly stable across age groups; among renters, only proximity to shops varied significantly by age. Female homeowners placed greater value on green space (478 vs 313 SEK) and transit proximity (288 vs 157 SEK), whereas male homeowners placed greater value on parking (624 vs 550 SEK for a garage); no gender interactions were significant among renters. Homeowners in better health placed greater value on green space proximity (416 vs 293 SEK), while those in poorer health, across both tenure groups, placed greater value on nearby public transport (164 vs 47 SEK among homeowners). Across all three dimensions, mobility-related attributes were more sensitive to subgroup circumstances than amenity preferences, which remained broadly valued throughout the sample.</w:t>
      </w:r>
    </w:p>
    <w:p w14:paraId="0FBFF815" w14:textId="77777777" w:rsidR="00A54720" w:rsidRPr="00065263" w:rsidRDefault="00000000">
      <w:pPr>
        <w:rPr>
          <w:lang w:val="en-US"/>
        </w:rPr>
      </w:pPr>
      <w:r w:rsidRPr="00065263">
        <w:rPr>
          <w:b/>
          <w:i/>
          <w:lang w:val="en-US"/>
        </w:rPr>
        <w:t>Latent class results</w:t>
      </w:r>
    </w:p>
    <w:p w14:paraId="529CE6FD" w14:textId="77777777" w:rsidR="00A54720" w:rsidRPr="00065263" w:rsidRDefault="00000000">
      <w:pPr>
        <w:rPr>
          <w:lang w:val="en-US"/>
        </w:rPr>
      </w:pPr>
      <w:r w:rsidRPr="00065263">
        <w:rPr>
          <w:lang w:val="en-US"/>
        </w:rPr>
        <w:t>Latent class models were estimated with two to four classes on the pooled sample (Supplementary Table S4). Model fit improved with additional classes (BIC: LC-2 = 8,297.4; LC-3 = 7,996.9; LC-4 = 7,981.5), as did relative entropy (0.635, 0.682, 0.732), indicating progressively cleaner class separation. The three-class solution was retained as the preferred specification, balancing improved fit and separation over the two-class solution against the smaller, less readily interpretable classes obtained with a four-class solution.</w:t>
      </w:r>
    </w:p>
    <w:p w14:paraId="68565BF0" w14:textId="77777777" w:rsidR="00A54720" w:rsidRPr="00065263" w:rsidRDefault="00A54720">
      <w:pPr>
        <w:rPr>
          <w:lang w:val="en-US"/>
        </w:rPr>
      </w:pPr>
    </w:p>
    <w:p w14:paraId="5411F2D5" w14:textId="77777777" w:rsidR="00A54720" w:rsidRPr="00065263" w:rsidRDefault="00000000">
      <w:pPr>
        <w:rPr>
          <w:lang w:val="en-US"/>
        </w:rPr>
      </w:pPr>
      <w:r w:rsidRPr="00065263">
        <w:rPr>
          <w:lang w:val="en-US"/>
        </w:rPr>
        <w:t>[INSERT TABLE 4 ABOUT HERE]</w:t>
      </w:r>
    </w:p>
    <w:p w14:paraId="4F9DBDC1" w14:textId="77777777" w:rsidR="00A54720" w:rsidRPr="00065263" w:rsidRDefault="00000000">
      <w:pPr>
        <w:rPr>
          <w:lang w:val="en-US"/>
        </w:rPr>
      </w:pPr>
      <w:r w:rsidRPr="00065263">
        <w:rPr>
          <w:lang w:val="en-US"/>
        </w:rPr>
        <w:lastRenderedPageBreak/>
        <w:t>The three classes captured qualitatively distinct preference structures (Table 4). Class 1 (“Shop-seekers,” 38.8% of respondents) placed the strongest weight on proximity to shops (MWTP 589 SEK at 500 m) and was the most price-sensitive of the three classes, with little preference for green space at moderate distances. Class 2 (“Nature-seekers,” 24.7%, the smallest class) valued proximity to green space far more than any other class (MWTP 841 SEK at 500 m) but showed a small, statistically significant negative preference for a transit stop at 600 m. Class 3 (“Car-</w:t>
      </w:r>
      <w:proofErr w:type="spellStart"/>
      <w:r w:rsidRPr="00065263">
        <w:rPr>
          <w:lang w:val="en-US"/>
        </w:rPr>
        <w:t>centred</w:t>
      </w:r>
      <w:proofErr w:type="spellEnd"/>
      <w:r w:rsidRPr="00065263">
        <w:rPr>
          <w:lang w:val="en-US"/>
        </w:rPr>
        <w:t>,” 36.5%) placed by far the greatest weight on parking (MWTP 1,095 SEK for a reserved garage, roughly triple that of the other two classes) and was the least price-sensitive segment. Across all three classes, proximity to shops at 500 m and reserved parking were valued positively and significantly, but the relative ranking and magnitude of these valuations differed markedly by class. Based on modal class assignment, the Car-</w:t>
      </w:r>
      <w:proofErr w:type="spellStart"/>
      <w:r w:rsidRPr="00065263">
        <w:rPr>
          <w:lang w:val="en-US"/>
        </w:rPr>
        <w:t>centred</w:t>
      </w:r>
      <w:proofErr w:type="spellEnd"/>
      <w:r w:rsidRPr="00065263">
        <w:rPr>
          <w:lang w:val="en-US"/>
        </w:rPr>
        <w:t xml:space="preserve"> class was somewhat older (72.1 years vs 71.2 and 70.7) and more likely to be homeowners (87.2% vs 81.3% and 79.0%) and male (52.4% female vs 58.3% and 62.7%) than the Shop-seekers or Nature-seekers classes, though these demographic differences were modest relative to the differences in preference structure (Supplementary Table S5).</w:t>
      </w:r>
    </w:p>
    <w:p w14:paraId="71856FEC"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p>
    <w:p w14:paraId="2723B6A2" w14:textId="77777777" w:rsidR="00A830A9" w:rsidRPr="00A830A9"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t>Discussion and Implications</w:t>
      </w:r>
    </w:p>
    <w:p w14:paraId="20222F1C" w14:textId="77777777" w:rsidR="00A830A9" w:rsidRPr="00A830A9"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This study provides new evidence on how older adults in Sweden value housing and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attributes when considering relocation. Using a DCE embedded in the Prospective RELOC-AGE project, the analysis identifies strong preferences for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attributes and reveals meaningful heterogeneity across tenure, age, gender, and health. The findings extend prior </w:t>
      </w:r>
      <w:proofErr w:type="spellStart"/>
      <w:r w:rsidRPr="00A830A9">
        <w:rPr>
          <w:rFonts w:ascii="Times New Roman" w:eastAsia="Times New Roman" w:hAnsi="Times New Roman" w:cs="Times New Roman"/>
          <w:kern w:val="0"/>
          <w:sz w:val="24"/>
          <w:szCs w:val="24"/>
          <w:lang w:val="en-US" w:eastAsia="en-GB"/>
          <w14:ligatures w14:val="none"/>
        </w:rPr>
        <w:t>behavioural</w:t>
      </w:r>
      <w:proofErr w:type="spellEnd"/>
      <w:r w:rsidRPr="00A830A9">
        <w:rPr>
          <w:rFonts w:ascii="Times New Roman" w:eastAsia="Times New Roman" w:hAnsi="Times New Roman" w:cs="Times New Roman"/>
          <w:kern w:val="0"/>
          <w:sz w:val="24"/>
          <w:szCs w:val="24"/>
          <w:lang w:val="en-US" w:eastAsia="en-GB"/>
          <w14:ligatures w14:val="none"/>
        </w:rPr>
        <w:t xml:space="preserve"> housing research by quantifying trade-offs older adults are willing to make, rather than relying on descriptive or revealed-preference approaches that may be restricted due to data limitations.</w:t>
      </w:r>
    </w:p>
    <w:p w14:paraId="5A75F8DF" w14:textId="77777777" w:rsidR="00A830A9" w:rsidRPr="00A830A9"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Across both tenure groups, all non-cost attributes attracted positive coefficients, confirming that respondents systematically preferred locations with closer proximity to green areas, shops, and public transportation, as well as access to reserved parking. The negative and significant cost coefficient aligns with expectations, confirming that higher monthly housing costs reduce utility. The statistically significant standard deviation estimates for many random parameters provide strong evidence of unobserved preference heterogeneity in the sample, justifying the mixed logit specification over simpler models.</w:t>
      </w:r>
    </w:p>
    <w:p w14:paraId="7AD96996" w14:textId="77777777" w:rsidR="00A830A9" w:rsidRPr="00A830A9"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Homeowners expressed higher MWTP values than renters across almost all attributes, but this pattern requires interpretation alongside the utility coefficients in Table 3, which show that renters assigned larger weights to green space, shop proximity, and transit than owners, indicating stronger underlying preferences for these neighbourhood amenities. The lower MWTP values among renters therefore reflect their substantially greater price sensitivity, with the renter cost coefficient nearly twice as large in magnitude (9.54 vs 5.08), plausibly linked to tighter budget constraints rather than weaker preferences. Parking is the clearest illustration of this dynamic: it is the one attribute where owners show somewhat stronger underlying preferences, yet even here the MWTP gap substantially exceeds what the coefficient difference alone would suggest, again driven by differential price sensitivity. These results are consistent with the broader literature linking tenure to resource constraints and investment orientation (Caplan et al., 2021; </w:t>
      </w:r>
      <w:proofErr w:type="spellStart"/>
      <w:r w:rsidRPr="00A830A9">
        <w:rPr>
          <w:rFonts w:ascii="Times New Roman" w:eastAsia="Times New Roman" w:hAnsi="Times New Roman" w:cs="Times New Roman"/>
          <w:kern w:val="0"/>
          <w:sz w:val="24"/>
          <w:szCs w:val="24"/>
          <w:lang w:val="en-GB" w:eastAsia="en-GB"/>
          <w14:ligatures w14:val="none"/>
        </w:rPr>
        <w:t>Ardeshiri</w:t>
      </w:r>
      <w:proofErr w:type="spellEnd"/>
      <w:r w:rsidRPr="00A830A9">
        <w:rPr>
          <w:rFonts w:ascii="Times New Roman" w:eastAsia="Times New Roman" w:hAnsi="Times New Roman" w:cs="Times New Roman"/>
          <w:kern w:val="0"/>
          <w:sz w:val="24"/>
          <w:szCs w:val="24"/>
          <w:lang w:val="en-GB" w:eastAsia="en-GB"/>
          <w14:ligatures w14:val="none"/>
        </w:rPr>
        <w:t xml:space="preserve"> et al., 2024) and suggest that renters may value well-located housing as much as owners but face greater barriers to expressing that value in the market.</w:t>
      </w:r>
    </w:p>
    <w:p w14:paraId="01B492E3" w14:textId="77777777" w:rsidR="00A830A9" w:rsidRPr="00A830A9"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065263">
        <w:rPr>
          <w:lang w:val="en-US"/>
        </w:rPr>
        <w:t xml:space="preserve">Age, gender, and health shaped preferences in selective, attribute-specific ways rather than uniformly. Older homeowners were less cost-sensitive and placed greater value on public transport proximity, consistent with growing reliance on accessible transit as functional capacity changes (Alsnih &amp; </w:t>
      </w:r>
      <w:proofErr w:type="spellStart"/>
      <w:r w:rsidRPr="00065263">
        <w:rPr>
          <w:lang w:val="en-US"/>
        </w:rPr>
        <w:t>Hensher</w:t>
      </w:r>
      <w:proofErr w:type="spellEnd"/>
      <w:r w:rsidRPr="00065263">
        <w:rPr>
          <w:lang w:val="en-US"/>
        </w:rPr>
        <w:t xml:space="preserve">, 2003; Mollenkopf et al., 2004), while preferences for green space, shops, and parking remained broadly stable with age, reflecting the sustained role of green space in supporting wellbeing across the ageing spectrum (Paquet et al., 2013; Cohen-Cline et al., 2015; </w:t>
      </w:r>
      <w:proofErr w:type="spellStart"/>
      <w:r w:rsidRPr="00065263">
        <w:rPr>
          <w:lang w:val="en-US"/>
        </w:rPr>
        <w:t>Landby</w:t>
      </w:r>
      <w:proofErr w:type="spellEnd"/>
      <w:r w:rsidRPr="00065263">
        <w:rPr>
          <w:lang w:val="en-US"/>
        </w:rPr>
        <w:t xml:space="preserve"> &amp; </w:t>
      </w:r>
      <w:proofErr w:type="spellStart"/>
      <w:r w:rsidRPr="00065263">
        <w:rPr>
          <w:lang w:val="en-US"/>
        </w:rPr>
        <w:t>Godtman</w:t>
      </w:r>
      <w:proofErr w:type="spellEnd"/>
      <w:r w:rsidRPr="00065263">
        <w:rPr>
          <w:lang w:val="en-US"/>
        </w:rPr>
        <w:t xml:space="preserve"> Kling, 2025). Gender differences were concentrated among homeowners: women valued green space and transit access more highly, while men valued parking more highly, consistent with broader evidence on gendered mobility </w:t>
      </w:r>
      <w:proofErr w:type="spellStart"/>
      <w:r w:rsidRPr="00065263">
        <w:rPr>
          <w:lang w:val="en-US"/>
        </w:rPr>
        <w:t>behaviour</w:t>
      </w:r>
      <w:proofErr w:type="spellEnd"/>
      <w:r w:rsidRPr="00065263">
        <w:rPr>
          <w:lang w:val="en-US"/>
        </w:rPr>
        <w:t xml:space="preserve"> (Polk, 2004; Rosenbloom, 2006; Scheiner &amp; Holz-Rau, 2017); no gender interactions were significant among renters, plausibly reflecting differences in financial resources and car </w:t>
      </w:r>
      <w:r w:rsidRPr="00065263">
        <w:rPr>
          <w:lang w:val="en-US"/>
        </w:rPr>
        <w:lastRenderedPageBreak/>
        <w:t xml:space="preserve">ownership. Health status operated primarily through attributes linked to mobility and environmental engagement: better health increased the value placed on green space, while poorer health increased the value placed on nearby transport, consistent with evidence linking declining health to greater reliance on accessible public transport (Alsnih &amp; </w:t>
      </w:r>
      <w:proofErr w:type="spellStart"/>
      <w:r w:rsidRPr="00065263">
        <w:rPr>
          <w:lang w:val="en-US"/>
        </w:rPr>
        <w:t>Hensher</w:t>
      </w:r>
      <w:proofErr w:type="spellEnd"/>
      <w:r w:rsidRPr="00065263">
        <w:rPr>
          <w:lang w:val="en-US"/>
        </w:rPr>
        <w:t>, 2003; Mollenkopf et al., 2004).</w:t>
      </w:r>
    </w:p>
    <w:p w14:paraId="0773B774" w14:textId="77777777" w:rsidR="00A830A9" w:rsidRPr="00A830A9"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Taken together, the interaction models reveal selective rather than pervasive preference heterogeneity. Observable socio-demographic characteristics explain limited variation in residential preferences, while the mixed logit random parameters capture substantial unobserved heterogeneity. The most consistent finding is that mobility-related attributes, particularly public transport access, are more sensitive to individual circumstances than amenity preferences such as green space and shops, which remain broadly valued across subgroups. This suggests that transport provision warrants more careful tailoring to subgroup needs, particularly for those in poorer health and advanced age. These results align with evidence from the United States and the Netherlands (Caplan et al., 2021; </w:t>
      </w:r>
      <w:proofErr w:type="spellStart"/>
      <w:r w:rsidRPr="00A830A9">
        <w:rPr>
          <w:rFonts w:ascii="Times New Roman" w:eastAsia="Times New Roman" w:hAnsi="Times New Roman" w:cs="Times New Roman"/>
          <w:kern w:val="0"/>
          <w:sz w:val="24"/>
          <w:szCs w:val="24"/>
          <w:lang w:val="en-GB" w:eastAsia="en-GB"/>
          <w14:ligatures w14:val="none"/>
        </w:rPr>
        <w:t>Ossokina</w:t>
      </w:r>
      <w:proofErr w:type="spellEnd"/>
      <w:r w:rsidRPr="00A830A9">
        <w:rPr>
          <w:rFonts w:ascii="Times New Roman" w:eastAsia="Times New Roman" w:hAnsi="Times New Roman" w:cs="Times New Roman"/>
          <w:kern w:val="0"/>
          <w:sz w:val="24"/>
          <w:szCs w:val="24"/>
          <w:lang w:val="en-GB" w:eastAsia="en-GB"/>
          <w14:ligatures w14:val="none"/>
        </w:rPr>
        <w:t xml:space="preserve"> &amp; </w:t>
      </w:r>
      <w:proofErr w:type="spellStart"/>
      <w:r w:rsidRPr="00A830A9">
        <w:rPr>
          <w:rFonts w:ascii="Times New Roman" w:eastAsia="Times New Roman" w:hAnsi="Times New Roman" w:cs="Times New Roman"/>
          <w:kern w:val="0"/>
          <w:sz w:val="24"/>
          <w:szCs w:val="24"/>
          <w:lang w:val="en-GB" w:eastAsia="en-GB"/>
          <w14:ligatures w14:val="none"/>
        </w:rPr>
        <w:t>Arentze</w:t>
      </w:r>
      <w:proofErr w:type="spellEnd"/>
      <w:r w:rsidRPr="00A830A9">
        <w:rPr>
          <w:rFonts w:ascii="Times New Roman" w:eastAsia="Times New Roman" w:hAnsi="Times New Roman" w:cs="Times New Roman"/>
          <w:kern w:val="0"/>
          <w:sz w:val="24"/>
          <w:szCs w:val="24"/>
          <w:lang w:val="en-GB" w:eastAsia="en-GB"/>
          <w14:ligatures w14:val="none"/>
        </w:rPr>
        <w:t>, 2022), while contributing new evidence from a Scandinavian context</w:t>
      </w:r>
      <w:r w:rsidR="008851D9">
        <w:rPr>
          <w:rFonts w:ascii="Times New Roman" w:eastAsia="Times New Roman" w:hAnsi="Times New Roman" w:cs="Times New Roman"/>
          <w:kern w:val="0"/>
          <w:sz w:val="24"/>
          <w:szCs w:val="24"/>
          <w:lang w:val="en-GB" w:eastAsia="en-GB"/>
          <w14:ligatures w14:val="none"/>
        </w:rPr>
        <w:t>.</w:t>
      </w:r>
    </w:p>
    <w:p w14:paraId="7D519E54" w14:textId="77777777" w:rsidR="00A54720" w:rsidRPr="00065263" w:rsidRDefault="00000000">
      <w:pPr>
        <w:rPr>
          <w:lang w:val="en-US"/>
        </w:rPr>
      </w:pPr>
      <w:r w:rsidRPr="00065263">
        <w:rPr>
          <w:lang w:val="en-US"/>
        </w:rPr>
        <w:t>The latent class results add an important complement to the interaction-based analysis above. Whereas observable characteristics such as age, gender, and health explained only modest, attribute-specific variation in preferences, the latent class models reveal three statistically well-separated segments defined primarily by unobserved taste differences: price-sensitive “Shop-seekers”; a smaller “Nature-seekers” segment relatively indifferent to close transit proximity; and less price-sensitive, parking-oriented “Car-</w:t>
      </w:r>
      <w:proofErr w:type="spellStart"/>
      <w:r w:rsidRPr="00065263">
        <w:rPr>
          <w:lang w:val="en-US"/>
        </w:rPr>
        <w:t>centred</w:t>
      </w:r>
      <w:proofErr w:type="spellEnd"/>
      <w:r w:rsidRPr="00065263">
        <w:rPr>
          <w:lang w:val="en-US"/>
        </w:rPr>
        <w:t xml:space="preserve">” respondents. These segments were only modestly associated with age, tenure, and gender (Supplementary Table S5), indicating that much of the heterogeneity in housing preferences among older adults considering relocation is not well captured by standard socio-demographic characteristics alone. This reinforces the value of combining regression-based and person-centered approaches to preference heterogeneity (Train, 2003) when designing age-inclusive housing policy. Housing and </w:t>
      </w:r>
      <w:proofErr w:type="spellStart"/>
      <w:r w:rsidRPr="00065263">
        <w:rPr>
          <w:lang w:val="en-US"/>
        </w:rPr>
        <w:t>neighbourhood</w:t>
      </w:r>
      <w:proofErr w:type="spellEnd"/>
      <w:r w:rsidRPr="00065263">
        <w:rPr>
          <w:lang w:val="en-US"/>
        </w:rPr>
        <w:t xml:space="preserve"> interventions targeted solely by age, gender, or health status may therefore miss substantial variation in what older adults value, underscoring the potential benefit of a broader segmentation approach to designing diverse housing options.</w:t>
      </w:r>
    </w:p>
    <w:p w14:paraId="3F33EE66" w14:textId="77777777" w:rsid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The results highlight the importance of integrating housing, transport, and land-use planning to support older adults considering relocation. Transport access plays a critical role </w:t>
      </w:r>
      <w:r w:rsidRPr="00A830A9">
        <w:rPr>
          <w:rFonts w:ascii="Times New Roman" w:eastAsia="Times New Roman" w:hAnsi="Times New Roman" w:cs="Times New Roman"/>
          <w:kern w:val="0"/>
          <w:sz w:val="24"/>
          <w:szCs w:val="24"/>
          <w:lang w:val="en-GB" w:eastAsia="en-GB"/>
          <w14:ligatures w14:val="none"/>
        </w:rPr>
        <w:lastRenderedPageBreak/>
        <w:t>in sustaining autonomy regardless of age, gender, or health. The income gradients implicit in MWTP differences across tenure groups highlight the risk that market mechanisms may exacerbate spatial inequality, limiting access to well-located housing for lower-income older adults, and policies that preserve affordability and tenure diversity in high-amenity locations are important to avoid reinforcing socioeconomic segregation in later life. Improving the usability of green environments through level pathways, seating, lighting, and safe crossings may further ensure that the wellbeing benefits of green space remain available across the ageing spectrum.</w:t>
      </w:r>
    </w:p>
    <w:p w14:paraId="464D8D5B" w14:textId="77777777" w:rsidR="00B6514C" w:rsidRPr="00A830A9" w:rsidRDefault="00B6514C"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2834AEC8" w14:textId="77777777" w:rsidR="00A830A9"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A830A9">
        <w:rPr>
          <w:rFonts w:ascii="Times New Roman" w:eastAsia="Times New Roman" w:hAnsi="Times New Roman" w:cs="Arial"/>
          <w:b/>
          <w:bCs/>
          <w:i/>
          <w:iCs/>
          <w:kern w:val="0"/>
          <w:sz w:val="24"/>
          <w:szCs w:val="28"/>
          <w:lang w:val="en-US" w:eastAsia="en-GB"/>
          <w14:ligatures w14:val="none"/>
        </w:rPr>
        <w:t>Limitations</w:t>
      </w:r>
    </w:p>
    <w:p w14:paraId="0821F684" w14:textId="77777777" w:rsidR="00B6514C" w:rsidRPr="00A830A9" w:rsidRDefault="00B6514C"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19FAE0D9" w14:textId="77777777" w:rsidR="00A830A9" w:rsidRPr="00A830A9"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Several limitations warrant consideration. The sample comprises individuals registered with an interest in relocating, skewed toward higher educational attainment and income, which limits generalizability. The </w:t>
      </w:r>
      <w:proofErr w:type="gramStart"/>
      <w:r w:rsidRPr="00A830A9">
        <w:rPr>
          <w:rFonts w:ascii="Times New Roman" w:eastAsia="Times New Roman" w:hAnsi="Times New Roman" w:cs="Times New Roman"/>
          <w:kern w:val="0"/>
          <w:sz w:val="24"/>
          <w:szCs w:val="24"/>
          <w:lang w:val="en-US" w:eastAsia="en-GB"/>
          <w14:ligatures w14:val="none"/>
        </w:rPr>
        <w:t>attribute set</w:t>
      </w:r>
      <w:proofErr w:type="gramEnd"/>
      <w:r w:rsidRPr="00A830A9">
        <w:rPr>
          <w:rFonts w:ascii="Times New Roman" w:eastAsia="Times New Roman" w:hAnsi="Times New Roman" w:cs="Times New Roman"/>
          <w:kern w:val="0"/>
          <w:sz w:val="24"/>
          <w:szCs w:val="24"/>
          <w:lang w:val="en-US" w:eastAsia="en-GB"/>
          <w14:ligatures w14:val="none"/>
        </w:rPr>
        <w:t xml:space="preserve"> focused on locational factors and did not capture dwelling-level characteristics or other attributes relevant to older adults such as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safety or social infrastructure. The exclusion of an opt-out option may introduce hypothetical bias, potentially inflating MWTP estimates, and monetary estimates are context-specific and may not </w:t>
      </w:r>
      <w:proofErr w:type="spellStart"/>
      <w:r w:rsidRPr="00A830A9">
        <w:rPr>
          <w:rFonts w:ascii="Times New Roman" w:eastAsia="Times New Roman" w:hAnsi="Times New Roman" w:cs="Times New Roman"/>
          <w:kern w:val="0"/>
          <w:sz w:val="24"/>
          <w:szCs w:val="24"/>
          <w:lang w:val="en-US" w:eastAsia="en-GB"/>
          <w14:ligatures w14:val="none"/>
        </w:rPr>
        <w:t>generalise</w:t>
      </w:r>
      <w:proofErr w:type="spellEnd"/>
      <w:r w:rsidRPr="00A830A9">
        <w:rPr>
          <w:rFonts w:ascii="Times New Roman" w:eastAsia="Times New Roman" w:hAnsi="Times New Roman" w:cs="Times New Roman"/>
          <w:kern w:val="0"/>
          <w:sz w:val="24"/>
          <w:szCs w:val="24"/>
          <w:lang w:val="en-US" w:eastAsia="en-GB"/>
          <w14:ligatures w14:val="none"/>
        </w:rPr>
        <w:t xml:space="preserve"> across different housing markets or welfare contexts.</w:t>
      </w:r>
    </w:p>
    <w:p w14:paraId="729C6D6A" w14:textId="5E2C6921" w:rsidR="00B6514C" w:rsidRPr="00A830A9" w:rsidRDefault="00A830A9" w:rsidP="00AB5D02">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The cross-sectional design precludes assessment of how preferences evolve over time, and future research would benefit from longitudinal and mixed-method approaches. Additionally, MWTP estimates reflect both preference intensity and price sensitivity, and comparisons across tenure groups should be interpreted with this in mind, as differences in </w:t>
      </w:r>
      <w:proofErr w:type="spellStart"/>
      <w:r w:rsidRPr="00A830A9">
        <w:rPr>
          <w:rFonts w:ascii="Times New Roman" w:eastAsia="Times New Roman" w:hAnsi="Times New Roman" w:cs="Times New Roman"/>
          <w:kern w:val="0"/>
          <w:sz w:val="24"/>
          <w:szCs w:val="24"/>
          <w:lang w:val="en-US" w:eastAsia="en-GB"/>
          <w14:ligatures w14:val="none"/>
        </w:rPr>
        <w:t>monetised</w:t>
      </w:r>
      <w:proofErr w:type="spellEnd"/>
      <w:r w:rsidRPr="00A830A9">
        <w:rPr>
          <w:rFonts w:ascii="Times New Roman" w:eastAsia="Times New Roman" w:hAnsi="Times New Roman" w:cs="Times New Roman"/>
          <w:kern w:val="0"/>
          <w:sz w:val="24"/>
          <w:szCs w:val="24"/>
          <w:lang w:val="en-US" w:eastAsia="en-GB"/>
          <w14:ligatures w14:val="none"/>
        </w:rPr>
        <w:t xml:space="preserve"> valuations may partly capture divergent budget constraints rather than divergent preferences.</w:t>
      </w:r>
    </w:p>
    <w:p w14:paraId="761E6ED2" w14:textId="77777777" w:rsidR="00A830A9"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lastRenderedPageBreak/>
        <w:t>Conclusion</w:t>
      </w:r>
    </w:p>
    <w:p w14:paraId="5896C786" w14:textId="77777777" w:rsidR="00A830A9" w:rsidRPr="00A830A9"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This study demonstrates that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attributes emerge as a central determinant of housing choice among older adults in Sweden. Proximity to shops, services, green space, and public transport consistently increases residential utility, as does access to dedicated parking, though the relative importance of these attributes varies by tenure, age, gender, and health status. Homeowners expressed higher </w:t>
      </w:r>
      <w:r w:rsidR="00B6514C">
        <w:rPr>
          <w:rFonts w:ascii="Times New Roman" w:eastAsia="Times New Roman" w:hAnsi="Times New Roman" w:cs="Times New Roman"/>
          <w:kern w:val="0"/>
          <w:sz w:val="24"/>
          <w:szCs w:val="24"/>
          <w:lang w:val="en-US" w:eastAsia="en-GB"/>
          <w14:ligatures w14:val="none"/>
        </w:rPr>
        <w:t>willingness-to-pay</w:t>
      </w:r>
      <w:r w:rsidRPr="00A830A9">
        <w:rPr>
          <w:rFonts w:ascii="Times New Roman" w:eastAsia="Times New Roman" w:hAnsi="Times New Roman" w:cs="Times New Roman"/>
          <w:kern w:val="0"/>
          <w:sz w:val="24"/>
          <w:szCs w:val="24"/>
          <w:lang w:val="en-US" w:eastAsia="en-GB"/>
          <w14:ligatures w14:val="none"/>
        </w:rPr>
        <w:t xml:space="preserve"> across all attributes, a pattern driven in large part by renters' substantially greater price sensitivity rather than weaker underlying preferences, as utility coefficients confirm that renters assign at least equal weight to most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amenities. That renters display economically meaningful but systematically lower valuations across all attributes points to the risk that market mechanisms may limit access to well-located housing for lower-income older adults, reinforcing spatial inequality in later life.</w:t>
      </w:r>
    </w:p>
    <w:p w14:paraId="2B713D0B" w14:textId="77777777" w:rsidR="00A830A9" w:rsidRPr="00A830A9"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Observable socio-demographic characteristics explain only a modest share of preference variation. Where subgroup differences do emerge, they are concentrated in mobility-related attributes, particularly public transport access, which is more sensitive to age and health status than preferences for green space or shops, which remain broadly stable across groups. This suggests that while the general case for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accessibility is robust across the older adult population, transport provision warrants particular attention as a policy lever for supporting autonomy among those in poorer health and advanced age.</w:t>
      </w:r>
    </w:p>
    <w:p w14:paraId="323F8EE9" w14:textId="77777777" w:rsidR="00A830A9" w:rsidRPr="0099048C" w:rsidRDefault="00A830A9" w:rsidP="0007202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For policymakers and planners, the findings reinforce the importance of integrating housing, transport, and land-use planning in support of older adults. Age-friendly housing strategies should prioritize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context alongside dwelling design, ensuring that accessible housing is located within reasonable distances of essential services and green spaces. Policies that preserve affordability and tenure diversity in high-amenity locations are </w:t>
      </w:r>
      <w:r w:rsidRPr="00A830A9">
        <w:rPr>
          <w:rFonts w:ascii="Times New Roman" w:eastAsia="Times New Roman" w:hAnsi="Times New Roman" w:cs="Times New Roman"/>
          <w:kern w:val="0"/>
          <w:sz w:val="24"/>
          <w:szCs w:val="24"/>
          <w:lang w:val="en-US" w:eastAsia="en-GB"/>
          <w14:ligatures w14:val="none"/>
        </w:rPr>
        <w:lastRenderedPageBreak/>
        <w:t>equally important to avoid reinforcing socioeconomic segregation in later life.</w:t>
      </w:r>
      <w:r w:rsidR="00072029">
        <w:rPr>
          <w:rFonts w:ascii="Times New Roman" w:eastAsia="Times New Roman" w:hAnsi="Times New Roman" w:cs="Times New Roman"/>
          <w:kern w:val="0"/>
          <w:sz w:val="24"/>
          <w:szCs w:val="24"/>
          <w:lang w:val="en-US" w:eastAsia="en-GB"/>
          <w14:ligatures w14:val="none"/>
        </w:rPr>
        <w:t xml:space="preserve">  </w:t>
      </w:r>
      <w:r w:rsidRPr="00A830A9">
        <w:rPr>
          <w:rFonts w:ascii="Times New Roman" w:eastAsia="Times New Roman" w:hAnsi="Times New Roman" w:cs="Times New Roman"/>
          <w:kern w:val="0"/>
          <w:sz w:val="24"/>
          <w:szCs w:val="24"/>
          <w:lang w:val="en-US" w:eastAsia="en-GB"/>
          <w14:ligatures w14:val="none"/>
        </w:rPr>
        <w:t xml:space="preserve">As the global population continues to age, </w:t>
      </w:r>
      <w:proofErr w:type="spellStart"/>
      <w:r w:rsidRPr="00A830A9">
        <w:rPr>
          <w:rFonts w:ascii="Times New Roman" w:eastAsia="Times New Roman" w:hAnsi="Times New Roman" w:cs="Times New Roman"/>
          <w:kern w:val="0"/>
          <w:sz w:val="24"/>
          <w:szCs w:val="24"/>
          <w:lang w:val="en-US" w:eastAsia="en-GB"/>
          <w14:ligatures w14:val="none"/>
        </w:rPr>
        <w:t>recognising</w:t>
      </w:r>
      <w:proofErr w:type="spellEnd"/>
      <w:r w:rsidRPr="00A830A9">
        <w:rPr>
          <w:rFonts w:ascii="Times New Roman" w:eastAsia="Times New Roman" w:hAnsi="Times New Roman" w:cs="Times New Roman"/>
          <w:kern w:val="0"/>
          <w:sz w:val="24"/>
          <w:szCs w:val="24"/>
          <w:lang w:val="en-US" w:eastAsia="en-GB"/>
          <w14:ligatures w14:val="none"/>
        </w:rPr>
        <w:t xml:space="preserve"> and planning for the diversity of later-life residential preferences becomes increasingly important for supporting independence, wellbeing, and social inclusion.</w:t>
      </w:r>
      <w:r w:rsidRPr="00A830A9">
        <w:rPr>
          <w:rFonts w:ascii="Times New Roman" w:eastAsia="Times New Roman" w:hAnsi="Times New Roman" w:cs="Times New Roman"/>
          <w:kern w:val="0"/>
          <w:sz w:val="24"/>
          <w:szCs w:val="24"/>
          <w:lang w:val="en-GB" w:eastAsia="en-GB"/>
          <w14:ligatures w14:val="none"/>
        </w:rPr>
        <w:br w:type="page"/>
      </w:r>
    </w:p>
    <w:p w14:paraId="4B5A5829"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p>
    <w:p w14:paraId="63F4FCBA" w14:textId="77777777" w:rsidR="00A830A9" w:rsidRPr="00A830A9"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t>References</w:t>
      </w:r>
    </w:p>
    <w:p w14:paraId="4890519F"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Abramsson, M., &amp; Andersson, E. K. (2012). Residential Mobility Patterns of Elderly—Leaving the House for an Apartment.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27</w:t>
      </w:r>
      <w:r w:rsidRPr="00A830A9">
        <w:rPr>
          <w:rFonts w:ascii="Times New Roman" w:eastAsia="Times New Roman" w:hAnsi="Times New Roman" w:cs="Times New Roman"/>
          <w:kern w:val="0"/>
          <w:sz w:val="24"/>
          <w:szCs w:val="24"/>
          <w:lang w:val="en-GB" w:eastAsia="en-GB"/>
          <w14:ligatures w14:val="none"/>
        </w:rPr>
        <w:t>(5), 582–604. https://doi.org/10.1080/02673037.2012.697553</w:t>
      </w:r>
    </w:p>
    <w:p w14:paraId="639829BC"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Abramsson, M., &amp; Andersson, E. K. (2015). Changing locations: Central or peripheral moves of seniors? </w:t>
      </w:r>
      <w:r w:rsidRPr="00A830A9">
        <w:rPr>
          <w:rFonts w:ascii="Times New Roman" w:eastAsia="Times New Roman" w:hAnsi="Times New Roman" w:cs="Times New Roman"/>
          <w:i/>
          <w:iCs/>
          <w:kern w:val="0"/>
          <w:sz w:val="24"/>
          <w:szCs w:val="24"/>
          <w:lang w:val="en-GB" w:eastAsia="en-GB"/>
          <w14:ligatures w14:val="none"/>
        </w:rPr>
        <w:t>Journal of Housing and the Built Environment</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30</w:t>
      </w:r>
      <w:r w:rsidRPr="00A830A9">
        <w:rPr>
          <w:rFonts w:ascii="Times New Roman" w:eastAsia="Times New Roman" w:hAnsi="Times New Roman" w:cs="Times New Roman"/>
          <w:kern w:val="0"/>
          <w:sz w:val="24"/>
          <w:szCs w:val="24"/>
          <w:lang w:val="en-GB" w:eastAsia="en-GB"/>
          <w14:ligatures w14:val="none"/>
        </w:rPr>
        <w:t>(4), 535–551. https://doi.org/10.1007/s10901-014-9427-0</w:t>
      </w:r>
    </w:p>
    <w:p w14:paraId="5F85FD7E"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Aitken, D., Willis, K., &amp; Gilroy, R. (2024). Do older homebuyers prefer dwellings with accessibility and adaptability features? Findings from an exploratory study.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39</w:t>
      </w:r>
      <w:r w:rsidRPr="00A830A9">
        <w:rPr>
          <w:rFonts w:ascii="Times New Roman" w:eastAsia="Times New Roman" w:hAnsi="Times New Roman" w:cs="Times New Roman"/>
          <w:kern w:val="0"/>
          <w:sz w:val="24"/>
          <w:szCs w:val="24"/>
          <w:lang w:val="en-GB" w:eastAsia="en-GB"/>
          <w14:ligatures w14:val="none"/>
        </w:rPr>
        <w:t>(3), 608–630. https://doi.org/10.1080/02673037.2022.2060944</w:t>
      </w:r>
    </w:p>
    <w:p w14:paraId="325AAFB4"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Alsnih, R., &amp; Hensher, D. A. (2003). The mobility and accessibility expectations of seniors in an aging population. </w:t>
      </w:r>
      <w:r w:rsidRPr="00A830A9">
        <w:rPr>
          <w:rFonts w:ascii="Times New Roman" w:eastAsia="Times New Roman" w:hAnsi="Times New Roman" w:cs="Times New Roman"/>
          <w:i/>
          <w:iCs/>
          <w:kern w:val="0"/>
          <w:sz w:val="24"/>
          <w:szCs w:val="24"/>
          <w:lang w:val="en-GB" w:eastAsia="en-GB"/>
          <w14:ligatures w14:val="none"/>
        </w:rPr>
        <w:t>Transportation Research Part A: Policy and Practice</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37</w:t>
      </w:r>
      <w:r w:rsidRPr="00A830A9">
        <w:rPr>
          <w:rFonts w:ascii="Times New Roman" w:eastAsia="Times New Roman" w:hAnsi="Times New Roman" w:cs="Times New Roman"/>
          <w:kern w:val="0"/>
          <w:sz w:val="24"/>
          <w:szCs w:val="24"/>
          <w:lang w:val="en-GB" w:eastAsia="en-GB"/>
          <w14:ligatures w14:val="none"/>
        </w:rPr>
        <w:t>(10), 903–916. https://doi.org/10.1016/S0965-8564(03)00073-9</w:t>
      </w:r>
    </w:p>
    <w:p w14:paraId="5C135991"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Ardeshiri, A., Washington, L., Vij, A., Leishman, C., &amp; Beer, A. (2024). Housing preferences for owner-occupied versus investment properties in Sydney, Australia.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0</w:t>
      </w:r>
      <w:r w:rsidRPr="00A830A9">
        <w:rPr>
          <w:rFonts w:ascii="Times New Roman" w:eastAsia="Times New Roman" w:hAnsi="Times New Roman" w:cs="Times New Roman"/>
          <w:kern w:val="0"/>
          <w:sz w:val="24"/>
          <w:szCs w:val="24"/>
          <w:lang w:val="en-GB" w:eastAsia="en-GB"/>
          <w14:ligatures w14:val="none"/>
        </w:rPr>
        <w:t>(0), 1–23. https://doi.org/10.1080/02673037.2024.2428749</w:t>
      </w:r>
    </w:p>
    <w:p w14:paraId="6D5FECF6"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Caplan, A. J., Akhundjanov, S. B., &amp; Toll, K. (2021). Measuring heterogeneous preferences for residential amenities. </w:t>
      </w:r>
      <w:r w:rsidRPr="00A830A9">
        <w:rPr>
          <w:rFonts w:ascii="Times New Roman" w:eastAsia="Times New Roman" w:hAnsi="Times New Roman" w:cs="Times New Roman"/>
          <w:i/>
          <w:iCs/>
          <w:kern w:val="0"/>
          <w:sz w:val="24"/>
          <w:szCs w:val="24"/>
          <w:lang w:val="en-GB" w:eastAsia="en-GB"/>
          <w14:ligatures w14:val="none"/>
        </w:rPr>
        <w:t>Regional Science and Urban Economics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87</w:t>
      </w:r>
      <w:r w:rsidRPr="00A830A9">
        <w:rPr>
          <w:rFonts w:ascii="Times New Roman" w:eastAsia="Times New Roman" w:hAnsi="Times New Roman" w:cs="Times New Roman"/>
          <w:kern w:val="0"/>
          <w:sz w:val="24"/>
          <w:szCs w:val="24"/>
          <w:lang w:val="en-GB" w:eastAsia="en-GB"/>
          <w14:ligatures w14:val="none"/>
        </w:rPr>
        <w:t>, 103646. https://doi.org/10.1016/j.regsciurbeco.2021.103646</w:t>
      </w:r>
    </w:p>
    <w:p w14:paraId="141278AE"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Chaulagain, S. (2025). Unveiling the Relocation Journey: A Qualitative Study of Key Factors Influencing Older Adults’ Decisions to Relocate to Senior Living Communities. </w:t>
      </w:r>
      <w:r w:rsidRPr="00A830A9">
        <w:rPr>
          <w:rFonts w:ascii="Times New Roman" w:eastAsia="Times New Roman" w:hAnsi="Times New Roman" w:cs="Times New Roman"/>
          <w:i/>
          <w:iCs/>
          <w:kern w:val="0"/>
          <w:sz w:val="24"/>
          <w:szCs w:val="24"/>
          <w:lang w:val="en-GB" w:eastAsia="en-GB"/>
          <w14:ligatures w14:val="none"/>
        </w:rPr>
        <w:t>Journal of Ageing and Longevity</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5</w:t>
      </w:r>
      <w:r w:rsidRPr="00A830A9">
        <w:rPr>
          <w:rFonts w:ascii="Times New Roman" w:eastAsia="Times New Roman" w:hAnsi="Times New Roman" w:cs="Times New Roman"/>
          <w:kern w:val="0"/>
          <w:sz w:val="24"/>
          <w:szCs w:val="24"/>
          <w:lang w:val="en-GB" w:eastAsia="en-GB"/>
          <w14:ligatures w14:val="none"/>
        </w:rPr>
        <w:t>(2), 13. https://doi.org/10.3390/jal5020013</w:t>
      </w:r>
    </w:p>
    <w:p w14:paraId="23AC607D"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Clark, W., Deurloo, M., &amp; Dieleman, F. (2006). Residential Mobility and Neighbourhood Outcomes.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21</w:t>
      </w:r>
      <w:r w:rsidRPr="00A830A9">
        <w:rPr>
          <w:rFonts w:ascii="Times New Roman" w:eastAsia="Times New Roman" w:hAnsi="Times New Roman" w:cs="Times New Roman"/>
          <w:kern w:val="0"/>
          <w:sz w:val="24"/>
          <w:szCs w:val="24"/>
          <w:lang w:val="en-GB" w:eastAsia="en-GB"/>
          <w14:ligatures w14:val="none"/>
        </w:rPr>
        <w:t>(3), 323–342. https://doi.org/10.1080/02673030600585946</w:t>
      </w:r>
    </w:p>
    <w:p w14:paraId="26FE5482"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Cohen-Cline, H., Turkheimer, E., &amp; Duncan, G. E. (2015). Access to green space, physical activity and mental health: A twin study. </w:t>
      </w:r>
      <w:r w:rsidRPr="00A830A9">
        <w:rPr>
          <w:rFonts w:ascii="Times New Roman" w:eastAsia="Times New Roman" w:hAnsi="Times New Roman" w:cs="Times New Roman"/>
          <w:i/>
          <w:iCs/>
          <w:kern w:val="0"/>
          <w:sz w:val="24"/>
          <w:szCs w:val="24"/>
          <w:lang w:val="en-GB" w:eastAsia="en-GB"/>
          <w14:ligatures w14:val="none"/>
        </w:rPr>
        <w:t>Journal of Epidemiology and Community Health</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69</w:t>
      </w:r>
      <w:r w:rsidRPr="00A830A9">
        <w:rPr>
          <w:rFonts w:ascii="Times New Roman" w:eastAsia="Times New Roman" w:hAnsi="Times New Roman" w:cs="Times New Roman"/>
          <w:kern w:val="0"/>
          <w:sz w:val="24"/>
          <w:szCs w:val="24"/>
          <w:lang w:val="en-GB" w:eastAsia="en-GB"/>
          <w14:ligatures w14:val="none"/>
        </w:rPr>
        <w:t>(6), 523–529. https://doi.org/10.1136/jech-2014-204667</w:t>
      </w:r>
    </w:p>
    <w:p w14:paraId="05FCC271"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eastAsia="en-GB"/>
          <w14:ligatures w14:val="none"/>
        </w:rPr>
        <w:t xml:space="preserve">Damhuis, R., &amp; Van Gent, W. (2024). </w:t>
      </w:r>
      <w:r w:rsidRPr="00A830A9">
        <w:rPr>
          <w:rFonts w:ascii="Times New Roman" w:eastAsia="Times New Roman" w:hAnsi="Times New Roman" w:cs="Times New Roman"/>
          <w:kern w:val="0"/>
          <w:sz w:val="24"/>
          <w:szCs w:val="24"/>
          <w:lang w:val="en-GB" w:eastAsia="en-GB"/>
          <w14:ligatures w14:val="none"/>
        </w:rPr>
        <w:t xml:space="preserve">The period effects of crisis and recovery on life course and residential mobility of owner-occupants.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39</w:t>
      </w:r>
      <w:r w:rsidRPr="00A830A9">
        <w:rPr>
          <w:rFonts w:ascii="Times New Roman" w:eastAsia="Times New Roman" w:hAnsi="Times New Roman" w:cs="Times New Roman"/>
          <w:kern w:val="0"/>
          <w:sz w:val="24"/>
          <w:szCs w:val="24"/>
          <w:lang w:val="en-GB" w:eastAsia="en-GB"/>
          <w14:ligatures w14:val="none"/>
        </w:rPr>
        <w:t>(4), 1066–1086. https://doi.org/10.1080/02673037.2022.2101626</w:t>
      </w:r>
    </w:p>
    <w:p w14:paraId="4CBC19E7"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De Jong, P., Rouwendal, J., &amp; Brouwer, A. (2022). Staying put out of choice or constraint? The residential choice behaviour of Dutch older adults. </w:t>
      </w:r>
      <w:r w:rsidRPr="00A830A9">
        <w:rPr>
          <w:rFonts w:ascii="Times New Roman" w:eastAsia="Times New Roman" w:hAnsi="Times New Roman" w:cs="Times New Roman"/>
          <w:i/>
          <w:iCs/>
          <w:kern w:val="0"/>
          <w:sz w:val="24"/>
          <w:szCs w:val="24"/>
          <w:lang w:val="en-GB" w:eastAsia="en-GB"/>
          <w14:ligatures w14:val="none"/>
        </w:rPr>
        <w:t>Population, Space and Place</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28</w:t>
      </w:r>
      <w:r w:rsidRPr="00A830A9">
        <w:rPr>
          <w:rFonts w:ascii="Times New Roman" w:eastAsia="Times New Roman" w:hAnsi="Times New Roman" w:cs="Times New Roman"/>
          <w:kern w:val="0"/>
          <w:sz w:val="24"/>
          <w:szCs w:val="24"/>
          <w:lang w:val="en-GB" w:eastAsia="en-GB"/>
          <w14:ligatures w14:val="none"/>
        </w:rPr>
        <w:t>(4), e2553. https://doi.org/10.1002/psp.2553</w:t>
      </w:r>
    </w:p>
    <w:p w14:paraId="673A9D3D" w14:textId="77777777" w:rsid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DeShazo, J. R., &amp; Fermo, G. (2002). Designing Choice Sets for Stated Preference Methods: The Effects of Complexity on Choice Consistency. </w:t>
      </w:r>
      <w:r w:rsidRPr="00A830A9">
        <w:rPr>
          <w:rFonts w:ascii="Times New Roman" w:eastAsia="Times New Roman" w:hAnsi="Times New Roman" w:cs="Times New Roman"/>
          <w:i/>
          <w:iCs/>
          <w:kern w:val="0"/>
          <w:sz w:val="24"/>
          <w:szCs w:val="24"/>
          <w:lang w:val="en-GB" w:eastAsia="en-GB"/>
          <w14:ligatures w14:val="none"/>
        </w:rPr>
        <w:t>Journal of Environmental Economics and Management</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44</w:t>
      </w:r>
      <w:r w:rsidRPr="00A830A9">
        <w:rPr>
          <w:rFonts w:ascii="Times New Roman" w:eastAsia="Times New Roman" w:hAnsi="Times New Roman" w:cs="Times New Roman"/>
          <w:kern w:val="0"/>
          <w:sz w:val="24"/>
          <w:szCs w:val="24"/>
          <w:lang w:val="en-GB" w:eastAsia="en-GB"/>
          <w14:ligatures w14:val="none"/>
        </w:rPr>
        <w:t>(1), 123–143. https://doi.org/10.1006/jeem.2001.1199</w:t>
      </w:r>
    </w:p>
    <w:p w14:paraId="4EAF23B2"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Eriksson, E., Wazinski, K., Wanka, A., Kylén, M., Oswald, F., Slaug, B., Iwarsson, S., &amp; Schmidt, S. M. (2022). Perceived Housing in Relation to Retirement and Relocation: A Qualitative Interview Study among Older Adults. </w:t>
      </w:r>
      <w:r w:rsidRPr="00A830A9">
        <w:rPr>
          <w:rFonts w:ascii="Times New Roman" w:eastAsia="Times New Roman" w:hAnsi="Times New Roman" w:cs="Times New Roman"/>
          <w:i/>
          <w:iCs/>
          <w:kern w:val="0"/>
          <w:sz w:val="24"/>
          <w:szCs w:val="24"/>
          <w:lang w:val="en-GB" w:eastAsia="en-GB"/>
          <w14:ligatures w14:val="none"/>
        </w:rPr>
        <w:t>International Journal of Environmental Research and Public Health</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19</w:t>
      </w:r>
      <w:r w:rsidRPr="00A830A9">
        <w:rPr>
          <w:rFonts w:ascii="Times New Roman" w:eastAsia="Times New Roman" w:hAnsi="Times New Roman" w:cs="Times New Roman"/>
          <w:kern w:val="0"/>
          <w:sz w:val="24"/>
          <w:szCs w:val="24"/>
          <w:lang w:val="en-GB" w:eastAsia="en-GB"/>
          <w14:ligatures w14:val="none"/>
        </w:rPr>
        <w:t>(20), 13314. https://doi.org/10.3390/ijerph192013314</w:t>
      </w:r>
    </w:p>
    <w:p w14:paraId="2FF94B24"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Ewen, H. H., Hahn, S. J., Erickson, M. A., &amp; Krout, J. A. (2014). Aging in Place or Relocation? Plans of Community-Dwelling Older Adults. </w:t>
      </w:r>
      <w:r w:rsidRPr="00A830A9">
        <w:rPr>
          <w:rFonts w:ascii="Times New Roman" w:eastAsia="Times New Roman" w:hAnsi="Times New Roman" w:cs="Times New Roman"/>
          <w:i/>
          <w:iCs/>
          <w:kern w:val="0"/>
          <w:sz w:val="24"/>
          <w:szCs w:val="24"/>
          <w:lang w:val="en-GB" w:eastAsia="en-GB"/>
          <w14:ligatures w14:val="none"/>
        </w:rPr>
        <w:t>Journal of Housing for the Elderly</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28</w:t>
      </w:r>
      <w:r w:rsidRPr="00A830A9">
        <w:rPr>
          <w:rFonts w:ascii="Times New Roman" w:eastAsia="Times New Roman" w:hAnsi="Times New Roman" w:cs="Times New Roman"/>
          <w:kern w:val="0"/>
          <w:sz w:val="24"/>
          <w:szCs w:val="24"/>
          <w:lang w:val="en-GB" w:eastAsia="en-GB"/>
          <w14:ligatures w14:val="none"/>
        </w:rPr>
        <w:t>(3), 288–309. sih (97901642). https://doi.org/10.1080/02763893.2014.930366</w:t>
      </w:r>
    </w:p>
    <w:p w14:paraId="09C47800"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Grimmer, K., Foot, J., Pastakia, K., &amp; Kay, D. (2015). Consumer views about aging-in-place. </w:t>
      </w:r>
      <w:r w:rsidRPr="00A830A9">
        <w:rPr>
          <w:rFonts w:ascii="Times New Roman" w:eastAsia="Times New Roman" w:hAnsi="Times New Roman" w:cs="Times New Roman"/>
          <w:i/>
          <w:iCs/>
          <w:kern w:val="0"/>
          <w:sz w:val="24"/>
          <w:szCs w:val="24"/>
          <w:lang w:val="en-GB" w:eastAsia="en-GB"/>
          <w14:ligatures w14:val="none"/>
        </w:rPr>
        <w:t>Clinical Interventions in Aging</w:t>
      </w:r>
      <w:r w:rsidRPr="00A830A9">
        <w:rPr>
          <w:rFonts w:ascii="Times New Roman" w:eastAsia="Times New Roman" w:hAnsi="Times New Roman" w:cs="Times New Roman"/>
          <w:kern w:val="0"/>
          <w:sz w:val="24"/>
          <w:szCs w:val="24"/>
          <w:lang w:val="en-GB" w:eastAsia="en-GB"/>
          <w14:ligatures w14:val="none"/>
        </w:rPr>
        <w:t>, 1803. https://doi.org/10.2147/CIA.S90672</w:t>
      </w:r>
    </w:p>
    <w:p w14:paraId="513C5C42"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Helveston, J. P. (2023). </w:t>
      </w:r>
      <w:r w:rsidRPr="00A830A9">
        <w:rPr>
          <w:rFonts w:ascii="Times New Roman" w:eastAsia="Times New Roman" w:hAnsi="Times New Roman" w:cs="Times New Roman"/>
          <w:b/>
          <w:bCs/>
          <w:kern w:val="0"/>
          <w:sz w:val="24"/>
          <w:szCs w:val="24"/>
          <w:lang w:val="en-GB" w:eastAsia="en-GB"/>
          <w14:ligatures w14:val="none"/>
        </w:rPr>
        <w:t>logitr</w:t>
      </w:r>
      <w:r w:rsidRPr="00A830A9">
        <w:rPr>
          <w:rFonts w:ascii="Times New Roman" w:eastAsia="Times New Roman" w:hAnsi="Times New Roman" w:cs="Times New Roman"/>
          <w:kern w:val="0"/>
          <w:sz w:val="24"/>
          <w:szCs w:val="24"/>
          <w:lang w:val="en-GB" w:eastAsia="en-GB"/>
          <w14:ligatures w14:val="none"/>
        </w:rPr>
        <w:t xml:space="preserve">: Fast Estimation of Multinomial and Mixed Logit Models with Preference Space and Willingness-to-Pay Space Utility Parameterizations. </w:t>
      </w:r>
      <w:r w:rsidRPr="00A830A9">
        <w:rPr>
          <w:rFonts w:ascii="Times New Roman" w:eastAsia="Times New Roman" w:hAnsi="Times New Roman" w:cs="Times New Roman"/>
          <w:i/>
          <w:iCs/>
          <w:kern w:val="0"/>
          <w:sz w:val="24"/>
          <w:szCs w:val="24"/>
          <w:lang w:val="en-GB" w:eastAsia="en-GB"/>
          <w14:ligatures w14:val="none"/>
        </w:rPr>
        <w:t>Journal of Statistical Software</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105</w:t>
      </w:r>
      <w:r w:rsidRPr="00A830A9">
        <w:rPr>
          <w:rFonts w:ascii="Times New Roman" w:eastAsia="Times New Roman" w:hAnsi="Times New Roman" w:cs="Times New Roman"/>
          <w:kern w:val="0"/>
          <w:sz w:val="24"/>
          <w:szCs w:val="24"/>
          <w:lang w:val="en-GB" w:eastAsia="en-GB"/>
          <w14:ligatures w14:val="none"/>
        </w:rPr>
        <w:t>(10). https://doi.org/10.18637/jss.v105.i10</w:t>
      </w:r>
    </w:p>
    <w:p w14:paraId="13AC3C07"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Helveston, J. P. (2025). </w:t>
      </w:r>
      <w:r w:rsidRPr="00A830A9">
        <w:rPr>
          <w:rFonts w:ascii="Times New Roman" w:eastAsia="Times New Roman" w:hAnsi="Times New Roman" w:cs="Times New Roman"/>
          <w:i/>
          <w:iCs/>
          <w:kern w:val="0"/>
          <w:sz w:val="24"/>
          <w:szCs w:val="24"/>
          <w:lang w:val="en-GB" w:eastAsia="en-GB"/>
          <w14:ligatures w14:val="none"/>
        </w:rPr>
        <w:t>cbcTools: Design and Analyze Choice-Based Conjoint Experiments. R package</w:t>
      </w:r>
      <w:r w:rsidRPr="00A830A9">
        <w:rPr>
          <w:rFonts w:ascii="Times New Roman" w:eastAsia="Times New Roman" w:hAnsi="Times New Roman" w:cs="Times New Roman"/>
          <w:kern w:val="0"/>
          <w:sz w:val="24"/>
          <w:szCs w:val="24"/>
          <w:lang w:val="en-GB" w:eastAsia="en-GB"/>
          <w14:ligatures w14:val="none"/>
        </w:rPr>
        <w:t xml:space="preserve"> [Computer software]. https://jhelvy.github.io/cbcTools/</w:t>
      </w:r>
    </w:p>
    <w:p w14:paraId="5187892C"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Hensher, D. A., Rose, J. M., &amp; Greene, W. H. (2015). </w:t>
      </w:r>
      <w:r w:rsidRPr="00A830A9">
        <w:rPr>
          <w:rFonts w:ascii="Times New Roman" w:eastAsia="Times New Roman" w:hAnsi="Times New Roman" w:cs="Times New Roman"/>
          <w:i/>
          <w:iCs/>
          <w:kern w:val="0"/>
          <w:sz w:val="24"/>
          <w:szCs w:val="24"/>
          <w:lang w:val="en-GB" w:eastAsia="en-GB"/>
          <w14:ligatures w14:val="none"/>
        </w:rPr>
        <w:t>Applied Choice Analysis</w:t>
      </w:r>
      <w:r w:rsidRPr="00A830A9">
        <w:rPr>
          <w:rFonts w:ascii="Times New Roman" w:eastAsia="Times New Roman" w:hAnsi="Times New Roman" w:cs="Times New Roman"/>
          <w:kern w:val="0"/>
          <w:sz w:val="24"/>
          <w:szCs w:val="24"/>
          <w:lang w:val="en-GB" w:eastAsia="en-GB"/>
          <w14:ligatures w14:val="none"/>
        </w:rPr>
        <w:t xml:space="preserve"> (2nd ed.). Cambridge University Press. https://doi.org/10.1017/CBO9781316136232</w:t>
      </w:r>
    </w:p>
    <w:p w14:paraId="57A63267"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Himmler, S., Soekhai, V., van Exel, J., &amp; Brouwer, W. (2021). What works better for preference elicitation among older people? Cognitive burden of discrete choice experiment and case 2 best-worst scaling in an online setting. </w:t>
      </w:r>
      <w:r w:rsidRPr="00A830A9">
        <w:rPr>
          <w:rFonts w:ascii="Times New Roman" w:eastAsia="Times New Roman" w:hAnsi="Times New Roman" w:cs="Times New Roman"/>
          <w:i/>
          <w:iCs/>
          <w:kern w:val="0"/>
          <w:sz w:val="24"/>
          <w:szCs w:val="24"/>
          <w:lang w:val="en-GB" w:eastAsia="en-GB"/>
          <w14:ligatures w14:val="none"/>
        </w:rPr>
        <w:t>Journal of Choice Modelling</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38</w:t>
      </w:r>
      <w:r w:rsidRPr="00A830A9">
        <w:rPr>
          <w:rFonts w:ascii="Times New Roman" w:eastAsia="Times New Roman" w:hAnsi="Times New Roman" w:cs="Times New Roman"/>
          <w:kern w:val="0"/>
          <w:sz w:val="24"/>
          <w:szCs w:val="24"/>
          <w:lang w:val="en-GB" w:eastAsia="en-GB"/>
          <w14:ligatures w14:val="none"/>
        </w:rPr>
        <w:t>, 100265. https://doi.org/10.1016/j.jocm.2020.100265</w:t>
      </w:r>
    </w:p>
    <w:p w14:paraId="1DE875F5"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Lancsar, E., &amp; Louviere, J. (2008). Conducting Discrete Choice Experiments to Inform Healthcare Decision Making: A User??s Guide. </w:t>
      </w:r>
      <w:r w:rsidRPr="00A830A9">
        <w:rPr>
          <w:rFonts w:ascii="Times New Roman" w:eastAsia="Times New Roman" w:hAnsi="Times New Roman" w:cs="Times New Roman"/>
          <w:i/>
          <w:iCs/>
          <w:kern w:val="0"/>
          <w:sz w:val="24"/>
          <w:szCs w:val="24"/>
          <w:lang w:val="en-GB" w:eastAsia="en-GB"/>
          <w14:ligatures w14:val="none"/>
        </w:rPr>
        <w:t>PharmacoEconomics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26</w:t>
      </w:r>
      <w:r w:rsidRPr="00A830A9">
        <w:rPr>
          <w:rFonts w:ascii="Times New Roman" w:eastAsia="Times New Roman" w:hAnsi="Times New Roman" w:cs="Times New Roman"/>
          <w:kern w:val="0"/>
          <w:sz w:val="24"/>
          <w:szCs w:val="24"/>
          <w:lang w:val="en-GB" w:eastAsia="en-GB"/>
          <w14:ligatures w14:val="none"/>
        </w:rPr>
        <w:t>(8), 661–677. https://doi.org/10.2165/00019053-200826080-00004</w:t>
      </w:r>
    </w:p>
    <w:p w14:paraId="7A01F7FD"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Landby, E., &amp; Godtman Kling, K. (2025). Living close to nature: How older adults in Sweden navigate relocation in later life. </w:t>
      </w:r>
      <w:r w:rsidRPr="00A830A9">
        <w:rPr>
          <w:rFonts w:ascii="Times New Roman" w:eastAsia="Times New Roman" w:hAnsi="Times New Roman" w:cs="Times New Roman"/>
          <w:i/>
          <w:iCs/>
          <w:kern w:val="0"/>
          <w:sz w:val="24"/>
          <w:szCs w:val="24"/>
          <w:lang w:val="en-GB" w:eastAsia="en-GB"/>
          <w14:ligatures w14:val="none"/>
        </w:rPr>
        <w:t>Fennia - International Journal of Geography</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203</w:t>
      </w:r>
      <w:r w:rsidRPr="00A830A9">
        <w:rPr>
          <w:rFonts w:ascii="Times New Roman" w:eastAsia="Times New Roman" w:hAnsi="Times New Roman" w:cs="Times New Roman"/>
          <w:kern w:val="0"/>
          <w:sz w:val="24"/>
          <w:szCs w:val="24"/>
          <w:lang w:val="en-GB" w:eastAsia="en-GB"/>
          <w14:ligatures w14:val="none"/>
        </w:rPr>
        <w:t>(2), 164–181. https://doi.org/10.11143/fennia.145630</w:t>
      </w:r>
    </w:p>
    <w:p w14:paraId="3893A9C2"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Lee, P.-H., Han, Q., de Vries, B., &amp; Juan, Y.-K. (2025). Heterogeneities in willingness to pay for circular affordable housing: Insight from young users.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40</w:t>
      </w:r>
      <w:r w:rsidRPr="00A830A9">
        <w:rPr>
          <w:rFonts w:ascii="Times New Roman" w:eastAsia="Times New Roman" w:hAnsi="Times New Roman" w:cs="Times New Roman"/>
          <w:kern w:val="0"/>
          <w:sz w:val="24"/>
          <w:szCs w:val="24"/>
          <w:lang w:val="en-GB" w:eastAsia="en-GB"/>
          <w14:ligatures w14:val="none"/>
        </w:rPr>
        <w:t>(11), 2450–2480. https://doi.org/10.1080/02673037.2024.2404063</w:t>
      </w:r>
    </w:p>
    <w:p w14:paraId="13E45344"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Lofqvist, C., Granbom, M., Himmelsbach, I., Iwarsson, S., Oswald, F., &amp; Haak, M. (2013). Voices on Relocation and Aging in Place in Very Old Age—A Complex and Ambivalent Matter. </w:t>
      </w:r>
      <w:r w:rsidRPr="00A830A9">
        <w:rPr>
          <w:rFonts w:ascii="Times New Roman" w:eastAsia="Times New Roman" w:hAnsi="Times New Roman" w:cs="Times New Roman"/>
          <w:i/>
          <w:iCs/>
          <w:kern w:val="0"/>
          <w:sz w:val="24"/>
          <w:szCs w:val="24"/>
          <w:lang w:val="en-GB" w:eastAsia="en-GB"/>
          <w14:ligatures w14:val="none"/>
        </w:rPr>
        <w:t>The Gerontologist</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53</w:t>
      </w:r>
      <w:r w:rsidRPr="00A830A9">
        <w:rPr>
          <w:rFonts w:ascii="Times New Roman" w:eastAsia="Times New Roman" w:hAnsi="Times New Roman" w:cs="Times New Roman"/>
          <w:kern w:val="0"/>
          <w:sz w:val="24"/>
          <w:szCs w:val="24"/>
          <w:lang w:val="en-GB" w:eastAsia="en-GB"/>
          <w14:ligatures w14:val="none"/>
        </w:rPr>
        <w:t>(6), 919–927. https://doi.org/10.1093/geront/gnt034</w:t>
      </w:r>
    </w:p>
    <w:p w14:paraId="395B1EBC" w14:textId="77777777" w:rsidR="00A830A9" w:rsidRPr="00065263"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Lu, P., &amp; Kong, D. (2024). Community-Based Residential Relocation in Middle and Older Age: A United States–China Comparison Study on Its Predictors and Associated Mortality Risk. </w:t>
      </w:r>
      <w:r w:rsidRPr="00A830A9">
        <w:rPr>
          <w:rFonts w:ascii="Times New Roman" w:eastAsia="Times New Roman" w:hAnsi="Times New Roman" w:cs="Times New Roman"/>
          <w:i/>
          <w:iCs/>
          <w:kern w:val="0"/>
          <w:sz w:val="24"/>
          <w:szCs w:val="24"/>
          <w:lang w:val="en-GB" w:eastAsia="en-GB"/>
          <w14:ligatures w14:val="none"/>
        </w:rPr>
        <w:t>Journal of Aging and Health</w:t>
      </w:r>
      <w:r w:rsidRPr="00A830A9">
        <w:rPr>
          <w:rFonts w:ascii="Times New Roman" w:eastAsia="Times New Roman" w:hAnsi="Times New Roman" w:cs="Times New Roman"/>
          <w:kern w:val="0"/>
          <w:sz w:val="24"/>
          <w:szCs w:val="24"/>
          <w:lang w:val="en-GB" w:eastAsia="en-GB"/>
          <w14:ligatures w14:val="none"/>
        </w:rPr>
        <w:t xml:space="preserve">, 08982643241276270. </w:t>
      </w:r>
      <w:hyperlink r:id="rId8" w:history="1">
        <w:r w:rsidR="006F4ACA" w:rsidRPr="00065263">
          <w:rPr>
            <w:rStyle w:val="Hyperlink"/>
            <w:rFonts w:ascii="Times New Roman" w:eastAsia="Times New Roman" w:hAnsi="Times New Roman" w:cs="Times New Roman"/>
            <w:kern w:val="0"/>
            <w:sz w:val="24"/>
            <w:szCs w:val="24"/>
            <w:lang w:val="en-US" w:eastAsia="en-GB"/>
            <w14:ligatures w14:val="none"/>
          </w:rPr>
          <w:t>https://doi.org/10.1177/08982643241276270</w:t>
        </w:r>
      </w:hyperlink>
    </w:p>
    <w:p w14:paraId="77B6F3A0" w14:textId="77777777" w:rsidR="006F4ACA" w:rsidRPr="00A830A9" w:rsidRDefault="006F4ACA"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065263">
        <w:rPr>
          <w:rFonts w:ascii="Times New Roman" w:eastAsia="Times New Roman" w:hAnsi="Times New Roman" w:cs="Times New Roman"/>
          <w:kern w:val="0"/>
          <w:sz w:val="24"/>
          <w:szCs w:val="24"/>
          <w:lang w:val="en-US" w:eastAsia="en-GB"/>
          <w14:ligatures w14:val="none"/>
        </w:rPr>
        <w:t xml:space="preserve">Lucas, K., Mattioli, G., </w:t>
      </w:r>
      <w:proofErr w:type="spellStart"/>
      <w:r w:rsidRPr="00065263">
        <w:rPr>
          <w:rFonts w:ascii="Times New Roman" w:eastAsia="Times New Roman" w:hAnsi="Times New Roman" w:cs="Times New Roman"/>
          <w:kern w:val="0"/>
          <w:sz w:val="24"/>
          <w:szCs w:val="24"/>
          <w:lang w:val="en-US" w:eastAsia="en-GB"/>
          <w14:ligatures w14:val="none"/>
        </w:rPr>
        <w:t>Verlinghieri</w:t>
      </w:r>
      <w:proofErr w:type="spellEnd"/>
      <w:r w:rsidRPr="00065263">
        <w:rPr>
          <w:rFonts w:ascii="Times New Roman" w:eastAsia="Times New Roman" w:hAnsi="Times New Roman" w:cs="Times New Roman"/>
          <w:kern w:val="0"/>
          <w:sz w:val="24"/>
          <w:szCs w:val="24"/>
          <w:lang w:val="en-US" w:eastAsia="en-GB"/>
          <w14:ligatures w14:val="none"/>
        </w:rPr>
        <w:t xml:space="preserve">, E., &amp; Guzman, A. (2016). </w:t>
      </w:r>
      <w:r w:rsidRPr="006F4ACA">
        <w:rPr>
          <w:rFonts w:ascii="Times New Roman" w:eastAsia="Times New Roman" w:hAnsi="Times New Roman" w:cs="Times New Roman"/>
          <w:kern w:val="0"/>
          <w:sz w:val="24"/>
          <w:szCs w:val="24"/>
          <w:lang w:val="en-GB" w:eastAsia="en-GB"/>
          <w14:ligatures w14:val="none"/>
        </w:rPr>
        <w:t>Transport poverty and its adverse social consequences. Proceedings of the Institution of Civil Engineers: Transport, 169(6), 353–365. https://doi.org/10.1680/jtran.15.00073</w:t>
      </w:r>
    </w:p>
    <w:p w14:paraId="40AD3F74"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Maas, J. (2006). Green space, urbanity, and health: How strong is the relation? </w:t>
      </w:r>
      <w:r w:rsidRPr="00A830A9">
        <w:rPr>
          <w:rFonts w:ascii="Times New Roman" w:eastAsia="Times New Roman" w:hAnsi="Times New Roman" w:cs="Times New Roman"/>
          <w:i/>
          <w:iCs/>
          <w:kern w:val="0"/>
          <w:sz w:val="24"/>
          <w:szCs w:val="24"/>
          <w:lang w:val="en-GB" w:eastAsia="en-GB"/>
          <w14:ligatures w14:val="none"/>
        </w:rPr>
        <w:t>Journal of Epidemiology &amp; Community Health</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60</w:t>
      </w:r>
      <w:r w:rsidRPr="00A830A9">
        <w:rPr>
          <w:rFonts w:ascii="Times New Roman" w:eastAsia="Times New Roman" w:hAnsi="Times New Roman" w:cs="Times New Roman"/>
          <w:kern w:val="0"/>
          <w:sz w:val="24"/>
          <w:szCs w:val="24"/>
          <w:lang w:val="en-GB" w:eastAsia="en-GB"/>
          <w14:ligatures w14:val="none"/>
        </w:rPr>
        <w:t>(7), 587–592. https://doi.org/10.1136/jech.2005.043125</w:t>
      </w:r>
    </w:p>
    <w:p w14:paraId="51682892"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Mangham, L. J., Hanson, K., &amp; McPake, B. (2009). How to do (or not to do) … Designing a discrete choice experiment for application in a low-income country. </w:t>
      </w:r>
      <w:r w:rsidRPr="00A830A9">
        <w:rPr>
          <w:rFonts w:ascii="Times New Roman" w:eastAsia="Times New Roman" w:hAnsi="Times New Roman" w:cs="Times New Roman"/>
          <w:i/>
          <w:iCs/>
          <w:kern w:val="0"/>
          <w:sz w:val="24"/>
          <w:szCs w:val="24"/>
          <w:lang w:val="en-GB" w:eastAsia="en-GB"/>
          <w14:ligatures w14:val="none"/>
        </w:rPr>
        <w:t>Health Policy and Planning</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24</w:t>
      </w:r>
      <w:r w:rsidRPr="00A830A9">
        <w:rPr>
          <w:rFonts w:ascii="Times New Roman" w:eastAsia="Times New Roman" w:hAnsi="Times New Roman" w:cs="Times New Roman"/>
          <w:kern w:val="0"/>
          <w:sz w:val="24"/>
          <w:szCs w:val="24"/>
          <w:lang w:val="en-GB" w:eastAsia="en-GB"/>
          <w14:ligatures w14:val="none"/>
        </w:rPr>
        <w:t>(2), 151–158. https://doi.org/10.1093/heapol/czn047</w:t>
      </w:r>
    </w:p>
    <w:p w14:paraId="23E9444E"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McFadden, D. (1974). The measurement of urban travel demand. </w:t>
      </w:r>
      <w:r w:rsidRPr="00A830A9">
        <w:rPr>
          <w:rFonts w:ascii="Times New Roman" w:eastAsia="Times New Roman" w:hAnsi="Times New Roman" w:cs="Times New Roman"/>
          <w:i/>
          <w:iCs/>
          <w:kern w:val="0"/>
          <w:sz w:val="24"/>
          <w:szCs w:val="24"/>
          <w:lang w:val="en-GB" w:eastAsia="en-GB"/>
          <w14:ligatures w14:val="none"/>
        </w:rPr>
        <w:t>Journal of Public Economics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w:t>
      </w:r>
      <w:r w:rsidRPr="00A830A9">
        <w:rPr>
          <w:rFonts w:ascii="Times New Roman" w:eastAsia="Times New Roman" w:hAnsi="Times New Roman" w:cs="Times New Roman"/>
          <w:kern w:val="0"/>
          <w:sz w:val="24"/>
          <w:szCs w:val="24"/>
          <w:lang w:val="en-GB" w:eastAsia="en-GB"/>
          <w14:ligatures w14:val="none"/>
        </w:rPr>
        <w:t>(4), 303–328. https://doi.org/10.1016/0047-2727(74)90003-6</w:t>
      </w:r>
    </w:p>
    <w:p w14:paraId="46EE20F4"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McFadden, D., &amp; Train, K. (2000). Mixed MNL models for discrete response. </w:t>
      </w:r>
      <w:r w:rsidRPr="00A830A9">
        <w:rPr>
          <w:rFonts w:ascii="Times New Roman" w:eastAsia="Times New Roman" w:hAnsi="Times New Roman" w:cs="Times New Roman"/>
          <w:i/>
          <w:iCs/>
          <w:kern w:val="0"/>
          <w:sz w:val="24"/>
          <w:szCs w:val="24"/>
          <w:lang w:val="en-GB" w:eastAsia="en-GB"/>
          <w14:ligatures w14:val="none"/>
        </w:rPr>
        <w:t>Journal of Applied Econometrics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15</w:t>
      </w:r>
      <w:r w:rsidRPr="00A830A9">
        <w:rPr>
          <w:rFonts w:ascii="Times New Roman" w:eastAsia="Times New Roman" w:hAnsi="Times New Roman" w:cs="Times New Roman"/>
          <w:kern w:val="0"/>
          <w:sz w:val="24"/>
          <w:szCs w:val="24"/>
          <w:lang w:val="en-GB" w:eastAsia="en-GB"/>
          <w14:ligatures w14:val="none"/>
        </w:rPr>
        <w:t>(5), 447–470. https://doi.org/10.1002/1099-1255(200009/10)15:5&lt;447::AID-JAE570&gt;3.0.CO;2-1</w:t>
      </w:r>
    </w:p>
    <w:p w14:paraId="38730875"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eastAsia="en-GB"/>
          <w14:ligatures w14:val="none"/>
        </w:rPr>
        <w:t>Mollenkopf, H., Marcellini, F., Ruoppila, I., Sz</w:t>
      </w:r>
      <w:r w:rsidRPr="00A830A9">
        <w:rPr>
          <w:rFonts w:ascii="Times New Roman" w:eastAsia="Times New Roman" w:hAnsi="Times New Roman" w:cs="Times New Roman"/>
          <w:kern w:val="0"/>
          <w:sz w:val="24"/>
          <w:szCs w:val="24"/>
          <w:lang w:val="en-GB" w:eastAsia="en-GB"/>
          <w14:ligatures w14:val="none"/>
        </w:rPr>
        <w:t>�</w:t>
      </w:r>
      <w:r w:rsidRPr="00A830A9">
        <w:rPr>
          <w:rFonts w:ascii="Times New Roman" w:eastAsia="Times New Roman" w:hAnsi="Times New Roman" w:cs="Times New Roman"/>
          <w:kern w:val="0"/>
          <w:sz w:val="24"/>
          <w:szCs w:val="24"/>
          <w:lang w:eastAsia="en-GB"/>
          <w14:ligatures w14:val="none"/>
        </w:rPr>
        <w:t xml:space="preserve">man, Z., Tacken, M., &amp; Wahl, H.-W. (2004). </w:t>
      </w:r>
      <w:r w:rsidRPr="00A830A9">
        <w:rPr>
          <w:rFonts w:ascii="Times New Roman" w:eastAsia="Times New Roman" w:hAnsi="Times New Roman" w:cs="Times New Roman"/>
          <w:kern w:val="0"/>
          <w:sz w:val="24"/>
          <w:szCs w:val="24"/>
          <w:lang w:val="en-GB" w:eastAsia="en-GB"/>
          <w14:ligatures w14:val="none"/>
        </w:rPr>
        <w:t xml:space="preserve">Social and behavioural science perspectives on out-of-home mobility in later life: Findings from the European project MOBILATE. </w:t>
      </w:r>
      <w:r w:rsidRPr="00A830A9">
        <w:rPr>
          <w:rFonts w:ascii="Times New Roman" w:eastAsia="Times New Roman" w:hAnsi="Times New Roman" w:cs="Times New Roman"/>
          <w:i/>
          <w:iCs/>
          <w:kern w:val="0"/>
          <w:sz w:val="24"/>
          <w:szCs w:val="24"/>
          <w:lang w:val="en-GB" w:eastAsia="en-GB"/>
          <w14:ligatures w14:val="none"/>
        </w:rPr>
        <w:t>European Journal of Ageing</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w:t>
      </w:r>
      <w:r w:rsidRPr="00A830A9">
        <w:rPr>
          <w:rFonts w:ascii="Times New Roman" w:eastAsia="Times New Roman" w:hAnsi="Times New Roman" w:cs="Times New Roman"/>
          <w:kern w:val="0"/>
          <w:sz w:val="24"/>
          <w:szCs w:val="24"/>
          <w:lang w:val="en-GB" w:eastAsia="en-GB"/>
          <w14:ligatures w14:val="none"/>
        </w:rPr>
        <w:t>(1), 45–53. https://doi.org/10.1007/s10433-004-0004-3</w:t>
      </w:r>
    </w:p>
    <w:p w14:paraId="301845D9"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Nielsen, T. S., &amp; Hansen, K. B. (2007). Do green areas affect health? Results from a Danish survey on the use of green areas and health indicators. </w:t>
      </w:r>
      <w:r w:rsidRPr="00A830A9">
        <w:rPr>
          <w:rFonts w:ascii="Times New Roman" w:eastAsia="Times New Roman" w:hAnsi="Times New Roman" w:cs="Times New Roman"/>
          <w:i/>
          <w:iCs/>
          <w:kern w:val="0"/>
          <w:sz w:val="24"/>
          <w:szCs w:val="24"/>
          <w:lang w:val="en-GB" w:eastAsia="en-GB"/>
          <w14:ligatures w14:val="none"/>
        </w:rPr>
        <w:t>Health &amp; Place</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13</w:t>
      </w:r>
      <w:r w:rsidRPr="00A830A9">
        <w:rPr>
          <w:rFonts w:ascii="Times New Roman" w:eastAsia="Times New Roman" w:hAnsi="Times New Roman" w:cs="Times New Roman"/>
          <w:kern w:val="0"/>
          <w:sz w:val="24"/>
          <w:szCs w:val="24"/>
          <w:lang w:val="en-GB" w:eastAsia="en-GB"/>
          <w14:ligatures w14:val="none"/>
        </w:rPr>
        <w:t>(4), 839–850. https://doi.org/10.1016/j.healthplace.2007.02.001</w:t>
      </w:r>
    </w:p>
    <w:p w14:paraId="2E3C6B67"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Ossokina, I. V., &amp; Arentze, T. A. (2022). Reference-dependent housing choice behaviour: Why are older people reluctant to move?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1–19. https://doi.org/10.1080/02673037.2022.2151984</w:t>
      </w:r>
    </w:p>
    <w:p w14:paraId="5EF11287"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Ossokina, I. V., Arentze, T. A., Van Gameren, D., &amp; Van Den Heuvel, D. (2020). </w:t>
      </w:r>
      <w:r w:rsidRPr="00A830A9">
        <w:rPr>
          <w:rFonts w:ascii="Times New Roman" w:eastAsia="Times New Roman" w:hAnsi="Times New Roman" w:cs="Times New Roman"/>
          <w:kern w:val="0"/>
          <w:sz w:val="24"/>
          <w:szCs w:val="24"/>
          <w:lang w:val="en-GB" w:eastAsia="en-GB"/>
          <w14:ligatures w14:val="none"/>
        </w:rPr>
        <w:t xml:space="preserve">Best living concepts for elderly homeowners: Combining a stated choice experiment with architectural design. </w:t>
      </w:r>
      <w:r w:rsidRPr="00A830A9">
        <w:rPr>
          <w:rFonts w:ascii="Times New Roman" w:eastAsia="Times New Roman" w:hAnsi="Times New Roman" w:cs="Times New Roman"/>
          <w:i/>
          <w:iCs/>
          <w:kern w:val="0"/>
          <w:sz w:val="24"/>
          <w:szCs w:val="24"/>
          <w:lang w:val="en-GB" w:eastAsia="en-GB"/>
          <w14:ligatures w14:val="none"/>
        </w:rPr>
        <w:t>Journal of Housing and the Built Environment</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35</w:t>
      </w:r>
      <w:r w:rsidRPr="00A830A9">
        <w:rPr>
          <w:rFonts w:ascii="Times New Roman" w:eastAsia="Times New Roman" w:hAnsi="Times New Roman" w:cs="Times New Roman"/>
          <w:kern w:val="0"/>
          <w:sz w:val="24"/>
          <w:szCs w:val="24"/>
          <w:lang w:val="en-GB" w:eastAsia="en-GB"/>
          <w14:ligatures w14:val="none"/>
        </w:rPr>
        <w:t>(3), 847–865. https://doi.org/10.1007/s10901-019-09716-5</w:t>
      </w:r>
    </w:p>
    <w:p w14:paraId="6160A327"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Paquet, C., Orschulok, T. P., Coffee, N. T., Howard, N. J., Hugo, G., Taylor, A. W., Adams, R. J., &amp; Daniel, M. (2013). Are accessibility and characteristics of public open spaces associated with a better cardiometabolic health? </w:t>
      </w:r>
      <w:r w:rsidRPr="00A830A9">
        <w:rPr>
          <w:rFonts w:ascii="Times New Roman" w:eastAsia="Times New Roman" w:hAnsi="Times New Roman" w:cs="Times New Roman"/>
          <w:i/>
          <w:iCs/>
          <w:kern w:val="0"/>
          <w:sz w:val="24"/>
          <w:szCs w:val="24"/>
          <w:lang w:val="en-GB" w:eastAsia="en-GB"/>
          <w14:ligatures w14:val="none"/>
        </w:rPr>
        <w:t>Landscape and Urban Planning</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118</w:t>
      </w:r>
      <w:r w:rsidRPr="00A830A9">
        <w:rPr>
          <w:rFonts w:ascii="Times New Roman" w:eastAsia="Times New Roman" w:hAnsi="Times New Roman" w:cs="Times New Roman"/>
          <w:kern w:val="0"/>
          <w:sz w:val="24"/>
          <w:szCs w:val="24"/>
          <w:lang w:val="en-GB" w:eastAsia="en-GB"/>
          <w14:ligatures w14:val="none"/>
        </w:rPr>
        <w:t>, 70–78. https://doi.org/10.1016/j.landurbplan.2012.11.011</w:t>
      </w:r>
    </w:p>
    <w:p w14:paraId="535FEE67"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Polk, M. (2004). The influence of gender on daily car use and on willingness to reduce car use in Sweden. </w:t>
      </w:r>
      <w:r w:rsidRPr="00A830A9">
        <w:rPr>
          <w:rFonts w:ascii="Times New Roman" w:eastAsia="Times New Roman" w:hAnsi="Times New Roman" w:cs="Times New Roman"/>
          <w:i/>
          <w:iCs/>
          <w:kern w:val="0"/>
          <w:sz w:val="24"/>
          <w:szCs w:val="24"/>
          <w:lang w:val="en-GB" w:eastAsia="en-GB"/>
          <w14:ligatures w14:val="none"/>
        </w:rPr>
        <w:t>Journal of Transport Geography</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12</w:t>
      </w:r>
      <w:r w:rsidRPr="00A830A9">
        <w:rPr>
          <w:rFonts w:ascii="Times New Roman" w:eastAsia="Times New Roman" w:hAnsi="Times New Roman" w:cs="Times New Roman"/>
          <w:kern w:val="0"/>
          <w:sz w:val="24"/>
          <w:szCs w:val="24"/>
          <w:lang w:val="en-GB" w:eastAsia="en-GB"/>
          <w14:ligatures w14:val="none"/>
        </w:rPr>
        <w:t>(3), 185–195. https://doi.org/10.1016/j.jtrangeo.2004.04.002</w:t>
      </w:r>
    </w:p>
    <w:p w14:paraId="2249BA17"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Ricciardi, A. M., Xia, J., &amp; Currie, G. (2015). Exploring public transport equity between separate disadvantaged cohorts: A case study in Perth, Australia. </w:t>
      </w:r>
      <w:r w:rsidRPr="00A830A9">
        <w:rPr>
          <w:rFonts w:ascii="Times New Roman" w:eastAsia="Times New Roman" w:hAnsi="Times New Roman" w:cs="Times New Roman"/>
          <w:i/>
          <w:iCs/>
          <w:kern w:val="0"/>
          <w:sz w:val="24"/>
          <w:szCs w:val="24"/>
          <w:lang w:val="en-GB" w:eastAsia="en-GB"/>
          <w14:ligatures w14:val="none"/>
        </w:rPr>
        <w:t>Journal of Transport Geography</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43</w:t>
      </w:r>
      <w:r w:rsidRPr="00A830A9">
        <w:rPr>
          <w:rFonts w:ascii="Times New Roman" w:eastAsia="Times New Roman" w:hAnsi="Times New Roman" w:cs="Times New Roman"/>
          <w:kern w:val="0"/>
          <w:sz w:val="24"/>
          <w:szCs w:val="24"/>
          <w:lang w:val="en-GB" w:eastAsia="en-GB"/>
          <w14:ligatures w14:val="none"/>
        </w:rPr>
        <w:t>, 111–122. https://doi.org/10.1016/j.jtrangeo.2015.01.011</w:t>
      </w:r>
    </w:p>
    <w:p w14:paraId="0174C193"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Robison, J. T., &amp; Moen, P. (2000). A Life-Course Perspective on Housing Expectations and Shifts in Late Midlife. </w:t>
      </w:r>
      <w:r w:rsidRPr="00A830A9">
        <w:rPr>
          <w:rFonts w:ascii="Times New Roman" w:eastAsia="Times New Roman" w:hAnsi="Times New Roman" w:cs="Times New Roman"/>
          <w:i/>
          <w:iCs/>
          <w:kern w:val="0"/>
          <w:sz w:val="24"/>
          <w:szCs w:val="24"/>
          <w:lang w:val="en-GB" w:eastAsia="en-GB"/>
          <w14:ligatures w14:val="none"/>
        </w:rPr>
        <w:t>Research on Aging</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22</w:t>
      </w:r>
      <w:r w:rsidRPr="00A830A9">
        <w:rPr>
          <w:rFonts w:ascii="Times New Roman" w:eastAsia="Times New Roman" w:hAnsi="Times New Roman" w:cs="Times New Roman"/>
          <w:kern w:val="0"/>
          <w:sz w:val="24"/>
          <w:szCs w:val="24"/>
          <w:lang w:val="en-GB" w:eastAsia="en-GB"/>
          <w14:ligatures w14:val="none"/>
        </w:rPr>
        <w:t>(5), 499–532. https://doi.org/10.1177/0164027500225003</w:t>
      </w:r>
    </w:p>
    <w:p w14:paraId="7732E73C"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Rosenbloom, S. (2006). Is the Driving Experience of Older Women Changing?: Safety and Mobility Consequences over Time. </w:t>
      </w:r>
      <w:r w:rsidRPr="00A830A9">
        <w:rPr>
          <w:rFonts w:ascii="Times New Roman" w:eastAsia="Times New Roman" w:hAnsi="Times New Roman" w:cs="Times New Roman"/>
          <w:i/>
          <w:iCs/>
          <w:kern w:val="0"/>
          <w:sz w:val="24"/>
          <w:szCs w:val="24"/>
          <w:lang w:val="en-GB" w:eastAsia="en-GB"/>
          <w14:ligatures w14:val="none"/>
        </w:rPr>
        <w:t>Transportation Research Record: Journal of the Transportation Research Board</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1956</w:t>
      </w:r>
      <w:r w:rsidRPr="00A830A9">
        <w:rPr>
          <w:rFonts w:ascii="Times New Roman" w:eastAsia="Times New Roman" w:hAnsi="Times New Roman" w:cs="Times New Roman"/>
          <w:kern w:val="0"/>
          <w:sz w:val="24"/>
          <w:szCs w:val="24"/>
          <w:lang w:val="en-GB" w:eastAsia="en-GB"/>
          <w14:ligatures w14:val="none"/>
        </w:rPr>
        <w:t>(1), 127–132. https://doi.org/10.1177/0361198106195600116</w:t>
      </w:r>
    </w:p>
    <w:p w14:paraId="76DDE9E5"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Roy, N., Dubé, R., Després, C., Freitas, A., &amp; Légaré, F. (2018). Choosing between staying at home or moving: A systematic review of factors influencing housing decisions among frail older adults. </w:t>
      </w:r>
      <w:r w:rsidRPr="00A830A9">
        <w:rPr>
          <w:rFonts w:ascii="Times New Roman" w:eastAsia="Times New Roman" w:hAnsi="Times New Roman" w:cs="Times New Roman"/>
          <w:i/>
          <w:iCs/>
          <w:kern w:val="0"/>
          <w:sz w:val="24"/>
          <w:szCs w:val="24"/>
          <w:lang w:val="en-GB" w:eastAsia="en-GB"/>
          <w14:ligatures w14:val="none"/>
        </w:rPr>
        <w:t>PLOS ONE</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13</w:t>
      </w:r>
      <w:r w:rsidRPr="00A830A9">
        <w:rPr>
          <w:rFonts w:ascii="Times New Roman" w:eastAsia="Times New Roman" w:hAnsi="Times New Roman" w:cs="Times New Roman"/>
          <w:kern w:val="0"/>
          <w:sz w:val="24"/>
          <w:szCs w:val="24"/>
          <w:lang w:val="en-GB" w:eastAsia="en-GB"/>
          <w14:ligatures w14:val="none"/>
        </w:rPr>
        <w:t>(1), e0189266. https://doi.org/10.1371/journal.pone.0189266</w:t>
      </w:r>
    </w:p>
    <w:p w14:paraId="3A6300BC" w14:textId="77777777" w:rsidR="00A54720" w:rsidRPr="00065263" w:rsidRDefault="00000000">
      <w:pPr>
        <w:rPr>
          <w:lang w:val="en-US"/>
        </w:rPr>
      </w:pPr>
      <w:proofErr w:type="spellStart"/>
      <w:r w:rsidRPr="00065263">
        <w:rPr>
          <w:lang w:val="en-US"/>
        </w:rPr>
        <w:t>Sarrias</w:t>
      </w:r>
      <w:proofErr w:type="spellEnd"/>
      <w:r w:rsidRPr="00065263">
        <w:rPr>
          <w:lang w:val="en-US"/>
        </w:rPr>
        <w:t xml:space="preserve">, M., &amp; </w:t>
      </w:r>
      <w:proofErr w:type="spellStart"/>
      <w:r w:rsidRPr="00065263">
        <w:rPr>
          <w:lang w:val="en-US"/>
        </w:rPr>
        <w:t>Daziano</w:t>
      </w:r>
      <w:proofErr w:type="spellEnd"/>
      <w:r w:rsidRPr="00065263">
        <w:rPr>
          <w:lang w:val="en-US"/>
        </w:rPr>
        <w:t xml:space="preserve">, R. (2017). Multinomial Logit Models with Continuous and Discrete Individual Heterogeneity in R: The </w:t>
      </w:r>
      <w:proofErr w:type="spellStart"/>
      <w:r w:rsidRPr="00065263">
        <w:rPr>
          <w:lang w:val="en-US"/>
        </w:rPr>
        <w:t>gmnl</w:t>
      </w:r>
      <w:proofErr w:type="spellEnd"/>
      <w:r w:rsidRPr="00065263">
        <w:rPr>
          <w:lang w:val="en-US"/>
        </w:rPr>
        <w:t xml:space="preserve"> Package. Journal of Statistical Software, 79(2), 1–46. https://doi.org/10.18637/jss.v079.i02</w:t>
      </w:r>
    </w:p>
    <w:p w14:paraId="03200098"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Scheiner, J., &amp; Holz-Rau, C. (2017). Women’s complex daily lives: A gendered look at trip chaining and activity pattern entropy in Germany. </w:t>
      </w:r>
      <w:r w:rsidRPr="00A830A9">
        <w:rPr>
          <w:rFonts w:ascii="Times New Roman" w:eastAsia="Times New Roman" w:hAnsi="Times New Roman" w:cs="Times New Roman"/>
          <w:i/>
          <w:iCs/>
          <w:kern w:val="0"/>
          <w:sz w:val="24"/>
          <w:szCs w:val="24"/>
          <w:lang w:val="en-GB" w:eastAsia="en-GB"/>
          <w14:ligatures w14:val="none"/>
        </w:rPr>
        <w:t>Transportation</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44</w:t>
      </w:r>
      <w:r w:rsidRPr="00A830A9">
        <w:rPr>
          <w:rFonts w:ascii="Times New Roman" w:eastAsia="Times New Roman" w:hAnsi="Times New Roman" w:cs="Times New Roman"/>
          <w:kern w:val="0"/>
          <w:sz w:val="24"/>
          <w:szCs w:val="24"/>
          <w:lang w:val="en-GB" w:eastAsia="en-GB"/>
          <w14:ligatures w14:val="none"/>
        </w:rPr>
        <w:t>(1), 117–138. https://doi.org/10.1007/s11116-015-9627-9</w:t>
      </w:r>
    </w:p>
    <w:p w14:paraId="7DC387F4"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Schulz, M., Gross, C., &amp; Teti, A. (2025). </w:t>
      </w:r>
      <w:r w:rsidRPr="00A830A9">
        <w:rPr>
          <w:rFonts w:ascii="Times New Roman" w:eastAsia="Times New Roman" w:hAnsi="Times New Roman" w:cs="Times New Roman"/>
          <w:i/>
          <w:iCs/>
          <w:kern w:val="0"/>
          <w:sz w:val="24"/>
          <w:szCs w:val="24"/>
          <w:lang w:val="en-GB" w:eastAsia="en-GB"/>
          <w14:ligatures w14:val="none"/>
        </w:rPr>
        <w:t>Owning, Renting and Environmental Proactivity: The Role of Housing Tenure in Hypothetical Housing Decisions</w:t>
      </w:r>
      <w:r w:rsidRPr="00A830A9">
        <w:rPr>
          <w:rFonts w:ascii="Times New Roman" w:eastAsia="Times New Roman" w:hAnsi="Times New Roman" w:cs="Times New Roman"/>
          <w:kern w:val="0"/>
          <w:sz w:val="24"/>
          <w:szCs w:val="24"/>
          <w:lang w:val="en-GB" w:eastAsia="en-GB"/>
          <w14:ligatures w14:val="none"/>
        </w:rPr>
        <w:t>.</w:t>
      </w:r>
    </w:p>
    <w:p w14:paraId="51439972"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Sturm, R., &amp; Cohen, D. (2014). </w:t>
      </w:r>
      <w:r w:rsidRPr="00A830A9">
        <w:rPr>
          <w:rFonts w:ascii="Times New Roman" w:eastAsia="Times New Roman" w:hAnsi="Times New Roman" w:cs="Times New Roman"/>
          <w:i/>
          <w:iCs/>
          <w:kern w:val="0"/>
          <w:sz w:val="24"/>
          <w:szCs w:val="24"/>
          <w:lang w:val="en-GB" w:eastAsia="en-GB"/>
          <w14:ligatures w14:val="none"/>
        </w:rPr>
        <w:t>Proximity to Urban Parks and Mental Health</w:t>
      </w:r>
      <w:r w:rsidRPr="00A830A9">
        <w:rPr>
          <w:rFonts w:ascii="Times New Roman" w:eastAsia="Times New Roman" w:hAnsi="Times New Roman" w:cs="Times New Roman"/>
          <w:kern w:val="0"/>
          <w:sz w:val="24"/>
          <w:szCs w:val="24"/>
          <w:lang w:val="en-GB" w:eastAsia="en-GB"/>
          <w14:ligatures w14:val="none"/>
        </w:rPr>
        <w:t>.</w:t>
      </w:r>
    </w:p>
    <w:p w14:paraId="29629A49"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Train, K. (Ed.). (2003). </w:t>
      </w:r>
      <w:r w:rsidRPr="00A830A9">
        <w:rPr>
          <w:rFonts w:ascii="Times New Roman" w:eastAsia="Times New Roman" w:hAnsi="Times New Roman" w:cs="Times New Roman"/>
          <w:i/>
          <w:iCs/>
          <w:kern w:val="0"/>
          <w:sz w:val="24"/>
          <w:szCs w:val="24"/>
          <w:lang w:val="en-GB" w:eastAsia="en-GB"/>
          <w14:ligatures w14:val="none"/>
        </w:rPr>
        <w:t>Discrete choice methods with simulation</w:t>
      </w:r>
      <w:r w:rsidRPr="00A830A9">
        <w:rPr>
          <w:rFonts w:ascii="Times New Roman" w:eastAsia="Times New Roman" w:hAnsi="Times New Roman" w:cs="Times New Roman"/>
          <w:kern w:val="0"/>
          <w:sz w:val="24"/>
          <w:szCs w:val="24"/>
          <w:lang w:val="en-GB" w:eastAsia="en-GB"/>
          <w14:ligatures w14:val="none"/>
        </w:rPr>
        <w:t>. Cambridge University Press.</w:t>
      </w:r>
    </w:p>
    <w:p w14:paraId="46C59D43" w14:textId="77777777" w:rsid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United Nations Department of Economic and Social Affairs. (2023). </w:t>
      </w:r>
      <w:r w:rsidRPr="00A830A9">
        <w:rPr>
          <w:rFonts w:ascii="Times New Roman" w:eastAsia="Times New Roman" w:hAnsi="Times New Roman" w:cs="Times New Roman"/>
          <w:i/>
          <w:iCs/>
          <w:kern w:val="0"/>
          <w:sz w:val="24"/>
          <w:szCs w:val="24"/>
          <w:lang w:val="en-GB" w:eastAsia="en-GB"/>
          <w14:ligatures w14:val="none"/>
        </w:rPr>
        <w:t>World Social Report 2023: Leaving No One Behind in an Ageing World</w:t>
      </w:r>
      <w:r w:rsidRPr="00A830A9">
        <w:rPr>
          <w:rFonts w:ascii="Times New Roman" w:eastAsia="Times New Roman" w:hAnsi="Times New Roman" w:cs="Times New Roman"/>
          <w:kern w:val="0"/>
          <w:sz w:val="24"/>
          <w:szCs w:val="24"/>
          <w:lang w:val="en-GB" w:eastAsia="en-GB"/>
          <w14:ligatures w14:val="none"/>
        </w:rPr>
        <w:t xml:space="preserve">. United Nations. </w:t>
      </w:r>
      <w:hyperlink r:id="rId9" w:history="1">
        <w:r w:rsidR="00760DD8" w:rsidRPr="008D4517">
          <w:rPr>
            <w:rStyle w:val="Hyperlink"/>
            <w:rFonts w:ascii="Times New Roman" w:eastAsia="Times New Roman" w:hAnsi="Times New Roman" w:cs="Times New Roman"/>
            <w:kern w:val="0"/>
            <w:sz w:val="24"/>
            <w:szCs w:val="24"/>
            <w:lang w:val="en-GB" w:eastAsia="en-GB"/>
            <w14:ligatures w14:val="none"/>
          </w:rPr>
          <w:t>https://doi.org/10.18356/9789210019682</w:t>
        </w:r>
      </w:hyperlink>
    </w:p>
    <w:p w14:paraId="262EFCC4" w14:textId="77777777" w:rsidR="00760DD8" w:rsidRPr="00A830A9" w:rsidRDefault="00760DD8"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760DD8">
        <w:rPr>
          <w:rFonts w:ascii="Times New Roman" w:eastAsia="Times New Roman" w:hAnsi="Times New Roman" w:cs="Times New Roman"/>
          <w:kern w:val="0"/>
          <w:sz w:val="24"/>
          <w:szCs w:val="24"/>
          <w:lang w:val="en-GB" w:eastAsia="en-GB"/>
          <w14:ligatures w14:val="none"/>
        </w:rPr>
        <w:t>U.S. National Library of Medicine. (2021). ClinicalTrials.gov. https://clinicaltrials.gov/study/NCT04765696</w:t>
      </w:r>
    </w:p>
    <w:p w14:paraId="73A3B47B"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Wiles, J. L., Leibing, A., Guberman, N., Reeve, J., &amp; Allen, R. E. S. (2012). The Meaning of 'Aging in Place' to Older People. </w:t>
      </w:r>
      <w:r w:rsidRPr="00A830A9">
        <w:rPr>
          <w:rFonts w:ascii="Times New Roman" w:eastAsia="Times New Roman" w:hAnsi="Times New Roman" w:cs="Times New Roman"/>
          <w:i/>
          <w:iCs/>
          <w:kern w:val="0"/>
          <w:sz w:val="24"/>
          <w:szCs w:val="24"/>
          <w:lang w:val="en-GB" w:eastAsia="en-GB"/>
          <w14:ligatures w14:val="none"/>
        </w:rPr>
        <w:t>The Gerontologist</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52</w:t>
      </w:r>
      <w:r w:rsidRPr="00A830A9">
        <w:rPr>
          <w:rFonts w:ascii="Times New Roman" w:eastAsia="Times New Roman" w:hAnsi="Times New Roman" w:cs="Times New Roman"/>
          <w:kern w:val="0"/>
          <w:sz w:val="24"/>
          <w:szCs w:val="24"/>
          <w:lang w:val="en-GB" w:eastAsia="en-GB"/>
          <w14:ligatures w14:val="none"/>
        </w:rPr>
        <w:t>(3), 357–366. https://doi.org/10.1093/geront/gnr098</w:t>
      </w:r>
    </w:p>
    <w:p w14:paraId="6A4FC53F"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Wooldridge, J. M. (2010). </w:t>
      </w:r>
      <w:r w:rsidRPr="00A830A9">
        <w:rPr>
          <w:rFonts w:ascii="Times New Roman" w:eastAsia="Times New Roman" w:hAnsi="Times New Roman" w:cs="Times New Roman"/>
          <w:i/>
          <w:iCs/>
          <w:kern w:val="0"/>
          <w:sz w:val="24"/>
          <w:szCs w:val="24"/>
          <w:lang w:val="en-GB" w:eastAsia="en-GB"/>
          <w14:ligatures w14:val="none"/>
        </w:rPr>
        <w:t>Econometric Analysis of Cross Section and Panel Data, second edition</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kern w:val="0"/>
          <w:sz w:val="24"/>
          <w:szCs w:val="24"/>
          <w:lang w:eastAsia="en-GB"/>
          <w14:ligatures w14:val="none"/>
        </w:rPr>
        <w:t>MIT Press.</w:t>
      </w:r>
    </w:p>
    <w:p w14:paraId="114EF7C1"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eastAsia="en-GB"/>
          <w14:ligatures w14:val="none"/>
        </w:rPr>
        <w:lastRenderedPageBreak/>
        <w:t xml:space="preserve">Zingmark, M., Björk, J., Granbom, M., Gefenaite, G., Nordeström, F., Schmidt, S. M., Rantanen, T., Slaug, B., &amp; Iwarsson, S. (2021). </w:t>
      </w:r>
      <w:r w:rsidRPr="00A830A9">
        <w:rPr>
          <w:rFonts w:ascii="Times New Roman" w:eastAsia="Times New Roman" w:hAnsi="Times New Roman" w:cs="Times New Roman"/>
          <w:kern w:val="0"/>
          <w:sz w:val="24"/>
          <w:szCs w:val="24"/>
          <w:lang w:val="en-GB" w:eastAsia="en-GB"/>
          <w14:ligatures w14:val="none"/>
        </w:rPr>
        <w:t xml:space="preserve">Exploring Associations of Housing, Relocation, and Active and Healthy Aging in Sweden: Protocol for a Prospective Longitudinal Mixed Methods Study. </w:t>
      </w:r>
      <w:r w:rsidRPr="00A830A9">
        <w:rPr>
          <w:rFonts w:ascii="Times New Roman" w:eastAsia="Times New Roman" w:hAnsi="Times New Roman" w:cs="Times New Roman"/>
          <w:i/>
          <w:iCs/>
          <w:kern w:val="0"/>
          <w:sz w:val="24"/>
          <w:szCs w:val="24"/>
          <w:lang w:val="en-GB" w:eastAsia="en-GB"/>
          <w14:ligatures w14:val="none"/>
        </w:rPr>
        <w:t>JMIR Research Protocols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10</w:t>
      </w:r>
      <w:r w:rsidRPr="00A830A9">
        <w:rPr>
          <w:rFonts w:ascii="Times New Roman" w:eastAsia="Times New Roman" w:hAnsi="Times New Roman" w:cs="Times New Roman"/>
          <w:kern w:val="0"/>
          <w:sz w:val="24"/>
          <w:szCs w:val="24"/>
          <w:lang w:val="en-GB" w:eastAsia="en-GB"/>
          <w14:ligatures w14:val="none"/>
        </w:rPr>
        <w:t>(9), e31137. https://doi.org/10.2196/31137</w:t>
      </w:r>
    </w:p>
    <w:p w14:paraId="1D834FE0"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519C1705"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6C2C0211"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6F582B8D"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br w:type="page"/>
      </w:r>
    </w:p>
    <w:p w14:paraId="248BB749"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1F033720"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596684AA"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Table 1. Attributes and their corresponding levels used in the experiment</w:t>
      </w:r>
    </w:p>
    <w:tbl>
      <w:tblPr>
        <w:tblStyle w:val="TableGridLight1"/>
        <w:tblpPr w:leftFromText="180" w:rightFromText="180" w:vertAnchor="text" w:horzAnchor="margin" w:tblpY="274"/>
        <w:tblW w:w="0" w:type="auto"/>
        <w:tblLook w:val="04A0" w:firstRow="1" w:lastRow="0" w:firstColumn="1" w:lastColumn="0" w:noHBand="0" w:noVBand="1"/>
      </w:tblPr>
      <w:tblGrid>
        <w:gridCol w:w="4315"/>
        <w:gridCol w:w="3426"/>
      </w:tblGrid>
      <w:tr w:rsidR="00A830A9" w:rsidRPr="00A830A9" w14:paraId="51081AB3" w14:textId="77777777" w:rsidTr="00F552A0">
        <w:trPr>
          <w:trHeight w:val="432"/>
        </w:trPr>
        <w:tc>
          <w:tcPr>
            <w:tcW w:w="4315" w:type="dxa"/>
            <w:hideMark/>
          </w:tcPr>
          <w:p w14:paraId="4CFC56E2" w14:textId="77777777" w:rsidR="00A830A9" w:rsidRPr="00A830A9" w:rsidRDefault="00A830A9" w:rsidP="00A830A9">
            <w:pPr>
              <w:jc w:val="center"/>
              <w:rPr>
                <w:b/>
                <w:bCs/>
                <w:lang w:val="en-US"/>
              </w:rPr>
            </w:pPr>
            <w:r w:rsidRPr="00A830A9">
              <w:rPr>
                <w:b/>
                <w:bCs/>
                <w:lang w:val="en-US"/>
              </w:rPr>
              <w:t>Attribute</w:t>
            </w:r>
          </w:p>
        </w:tc>
        <w:tc>
          <w:tcPr>
            <w:tcW w:w="0" w:type="auto"/>
            <w:hideMark/>
          </w:tcPr>
          <w:p w14:paraId="079DEFE0" w14:textId="77777777" w:rsidR="00A830A9" w:rsidRPr="00A830A9" w:rsidRDefault="00A830A9" w:rsidP="00A830A9">
            <w:pPr>
              <w:jc w:val="center"/>
              <w:rPr>
                <w:b/>
                <w:bCs/>
                <w:lang w:val="en-US"/>
              </w:rPr>
            </w:pPr>
            <w:r w:rsidRPr="00A830A9">
              <w:rPr>
                <w:b/>
                <w:bCs/>
                <w:lang w:val="en-US"/>
              </w:rPr>
              <w:t>Levels</w:t>
            </w:r>
          </w:p>
        </w:tc>
      </w:tr>
      <w:tr w:rsidR="00A830A9" w:rsidRPr="00A830A9" w14:paraId="1BF9EA91" w14:textId="77777777" w:rsidTr="00F552A0">
        <w:trPr>
          <w:trHeight w:val="432"/>
        </w:trPr>
        <w:tc>
          <w:tcPr>
            <w:tcW w:w="4315" w:type="dxa"/>
            <w:hideMark/>
          </w:tcPr>
          <w:p w14:paraId="3EF512F4" w14:textId="77777777" w:rsidR="00A830A9" w:rsidRPr="00A830A9" w:rsidRDefault="00A830A9" w:rsidP="00A830A9">
            <w:pPr>
              <w:jc w:val="center"/>
              <w:rPr>
                <w:lang w:val="en-US"/>
              </w:rPr>
            </w:pPr>
            <w:r w:rsidRPr="00A830A9">
              <w:rPr>
                <w:lang w:val="en-US"/>
              </w:rPr>
              <w:t>Distance to green areas</w:t>
            </w:r>
          </w:p>
        </w:tc>
        <w:tc>
          <w:tcPr>
            <w:tcW w:w="0" w:type="auto"/>
            <w:hideMark/>
          </w:tcPr>
          <w:p w14:paraId="5AE4F0E2" w14:textId="77777777" w:rsidR="00A830A9" w:rsidRPr="00A830A9" w:rsidRDefault="00A830A9" w:rsidP="00A830A9">
            <w:pPr>
              <w:jc w:val="center"/>
              <w:rPr>
                <w:lang w:val="en-US"/>
              </w:rPr>
            </w:pPr>
            <w:r w:rsidRPr="00A830A9">
              <w:rPr>
                <w:lang w:val="en-US"/>
              </w:rPr>
              <w:t>500 m; 5 km; 15 km</w:t>
            </w:r>
          </w:p>
        </w:tc>
      </w:tr>
      <w:tr w:rsidR="00A830A9" w:rsidRPr="00A830A9" w14:paraId="0A550268" w14:textId="77777777" w:rsidTr="00F552A0">
        <w:trPr>
          <w:trHeight w:val="432"/>
        </w:trPr>
        <w:tc>
          <w:tcPr>
            <w:tcW w:w="4315" w:type="dxa"/>
            <w:hideMark/>
          </w:tcPr>
          <w:p w14:paraId="5DA875B2" w14:textId="77777777" w:rsidR="00A830A9" w:rsidRPr="00A830A9" w:rsidRDefault="00A830A9" w:rsidP="00A830A9">
            <w:pPr>
              <w:jc w:val="center"/>
              <w:rPr>
                <w:lang w:val="en-US"/>
              </w:rPr>
            </w:pPr>
            <w:r w:rsidRPr="00A830A9">
              <w:rPr>
                <w:lang w:val="en-US"/>
              </w:rPr>
              <w:t>Distance to shops and services</w:t>
            </w:r>
          </w:p>
        </w:tc>
        <w:tc>
          <w:tcPr>
            <w:tcW w:w="0" w:type="auto"/>
            <w:hideMark/>
          </w:tcPr>
          <w:p w14:paraId="22B81046" w14:textId="77777777" w:rsidR="00A830A9" w:rsidRPr="00A830A9" w:rsidRDefault="00A830A9" w:rsidP="00A830A9">
            <w:pPr>
              <w:jc w:val="center"/>
              <w:rPr>
                <w:lang w:val="en-US"/>
              </w:rPr>
            </w:pPr>
            <w:r w:rsidRPr="00A830A9">
              <w:rPr>
                <w:lang w:val="en-US"/>
              </w:rPr>
              <w:t>500 m; 5 km; 15 km</w:t>
            </w:r>
          </w:p>
        </w:tc>
      </w:tr>
      <w:tr w:rsidR="00A830A9" w:rsidRPr="00A830A9" w14:paraId="53B9C443" w14:textId="77777777" w:rsidTr="00F552A0">
        <w:trPr>
          <w:trHeight w:val="432"/>
        </w:trPr>
        <w:tc>
          <w:tcPr>
            <w:tcW w:w="4315" w:type="dxa"/>
            <w:hideMark/>
          </w:tcPr>
          <w:p w14:paraId="7A4A135D" w14:textId="77777777" w:rsidR="00A830A9" w:rsidRPr="00A830A9" w:rsidRDefault="00A830A9" w:rsidP="00A830A9">
            <w:pPr>
              <w:jc w:val="center"/>
              <w:rPr>
                <w:lang w:val="en-US"/>
              </w:rPr>
            </w:pPr>
            <w:r w:rsidRPr="00A830A9">
              <w:rPr>
                <w:lang w:val="en-US"/>
              </w:rPr>
              <w:t>Distance to public transportation</w:t>
            </w:r>
          </w:p>
        </w:tc>
        <w:tc>
          <w:tcPr>
            <w:tcW w:w="0" w:type="auto"/>
            <w:hideMark/>
          </w:tcPr>
          <w:p w14:paraId="06D5D0D9" w14:textId="77777777" w:rsidR="00A830A9" w:rsidRPr="00A830A9" w:rsidRDefault="00A830A9" w:rsidP="00A830A9">
            <w:pPr>
              <w:jc w:val="center"/>
              <w:rPr>
                <w:lang w:val="en-US"/>
              </w:rPr>
            </w:pPr>
            <w:r w:rsidRPr="00A830A9">
              <w:rPr>
                <w:lang w:val="en-US"/>
              </w:rPr>
              <w:t>300 m; 600 m; 900 m</w:t>
            </w:r>
          </w:p>
        </w:tc>
      </w:tr>
      <w:tr w:rsidR="00A830A9" w:rsidRPr="00890F27" w14:paraId="384FF232" w14:textId="77777777" w:rsidTr="00F552A0">
        <w:trPr>
          <w:trHeight w:val="432"/>
        </w:trPr>
        <w:tc>
          <w:tcPr>
            <w:tcW w:w="4315" w:type="dxa"/>
            <w:hideMark/>
          </w:tcPr>
          <w:p w14:paraId="18AB175B" w14:textId="77777777" w:rsidR="00A830A9" w:rsidRPr="00A830A9" w:rsidRDefault="00A830A9" w:rsidP="00A830A9">
            <w:pPr>
              <w:jc w:val="center"/>
              <w:rPr>
                <w:lang w:val="en-US"/>
              </w:rPr>
            </w:pPr>
            <w:r w:rsidRPr="00A830A9">
              <w:rPr>
                <w:lang w:val="en-US"/>
              </w:rPr>
              <w:t>Parking availability</w:t>
            </w:r>
          </w:p>
        </w:tc>
        <w:tc>
          <w:tcPr>
            <w:tcW w:w="0" w:type="auto"/>
            <w:hideMark/>
          </w:tcPr>
          <w:p w14:paraId="76ABCFCD" w14:textId="77777777" w:rsidR="00A830A9" w:rsidRPr="00A830A9" w:rsidRDefault="00A830A9" w:rsidP="00A830A9">
            <w:pPr>
              <w:jc w:val="center"/>
              <w:rPr>
                <w:lang w:val="en-US"/>
              </w:rPr>
            </w:pPr>
            <w:r w:rsidRPr="00A830A9">
              <w:rPr>
                <w:lang w:val="en-US"/>
              </w:rPr>
              <w:t>None; Reserved space; Reserved garage</w:t>
            </w:r>
          </w:p>
        </w:tc>
      </w:tr>
      <w:tr w:rsidR="00A830A9" w:rsidRPr="00A830A9" w14:paraId="36EF138D" w14:textId="77777777" w:rsidTr="00F552A0">
        <w:trPr>
          <w:trHeight w:val="432"/>
        </w:trPr>
        <w:tc>
          <w:tcPr>
            <w:tcW w:w="4315" w:type="dxa"/>
            <w:hideMark/>
          </w:tcPr>
          <w:p w14:paraId="6E0B326A" w14:textId="77777777" w:rsidR="00A830A9" w:rsidRPr="00A830A9" w:rsidRDefault="00A830A9" w:rsidP="00A830A9">
            <w:pPr>
              <w:jc w:val="center"/>
              <w:rPr>
                <w:lang w:val="en-US"/>
              </w:rPr>
            </w:pPr>
            <w:r w:rsidRPr="00A830A9">
              <w:rPr>
                <w:lang w:val="en-US"/>
              </w:rPr>
              <w:t>Monthly housing cost (vs. planned)</w:t>
            </w:r>
          </w:p>
        </w:tc>
        <w:tc>
          <w:tcPr>
            <w:tcW w:w="0" w:type="auto"/>
            <w:hideMark/>
          </w:tcPr>
          <w:p w14:paraId="3E9A0CEF" w14:textId="77777777" w:rsidR="00A830A9" w:rsidRPr="00A830A9" w:rsidRDefault="00A830A9" w:rsidP="00A830A9">
            <w:pPr>
              <w:jc w:val="center"/>
              <w:rPr>
                <w:lang w:val="en-US"/>
              </w:rPr>
            </w:pPr>
            <w:r w:rsidRPr="00A830A9">
              <w:rPr>
                <w:lang w:val="en-US"/>
              </w:rPr>
              <w:t>−20%; −10%; 0%; +10%; +20%</w:t>
            </w:r>
          </w:p>
        </w:tc>
      </w:tr>
    </w:tbl>
    <w:p w14:paraId="0CCDE330" w14:textId="77777777" w:rsidR="00A830A9" w:rsidRPr="00A830A9" w:rsidRDefault="00A830A9" w:rsidP="00A830A9">
      <w:pPr>
        <w:spacing w:after="0" w:line="480" w:lineRule="auto"/>
        <w:ind w:firstLine="720"/>
        <w:rPr>
          <w:rFonts w:ascii="Times New Roman" w:eastAsia="Times New Roman" w:hAnsi="Times New Roman" w:cs="Times New Roman"/>
          <w:kern w:val="0"/>
          <w:lang w:val="en-GB" w:eastAsia="en-GB"/>
          <w14:ligatures w14:val="none"/>
        </w:rPr>
      </w:pPr>
    </w:p>
    <w:p w14:paraId="51916F8B" w14:textId="77777777" w:rsidR="00A830A9" w:rsidRPr="00A830A9" w:rsidRDefault="00A830A9" w:rsidP="00A830A9">
      <w:pPr>
        <w:spacing w:after="0" w:line="240" w:lineRule="auto"/>
        <w:rPr>
          <w:rFonts w:ascii="Times New Roman" w:eastAsia="Times New Roman" w:hAnsi="Times New Roman" w:cs="Times New Roman"/>
          <w:kern w:val="0"/>
          <w:lang w:val="en-GB" w:eastAsia="en-GB"/>
          <w14:ligatures w14:val="none"/>
        </w:rPr>
      </w:pPr>
      <w:r w:rsidRPr="00A830A9">
        <w:rPr>
          <w:rFonts w:ascii="Times New Roman" w:eastAsia="Times New Roman" w:hAnsi="Times New Roman" w:cs="Times New Roman"/>
          <w:kern w:val="0"/>
          <w:lang w:val="en-GB" w:eastAsia="en-GB"/>
          <w14:ligatures w14:val="none"/>
        </w:rPr>
        <w:br w:type="page"/>
      </w:r>
    </w:p>
    <w:p w14:paraId="53710FCC"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3377D8F5"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Table 2. Sample characteristics by tenure type (N = 790 for homeowners, N = 167 for renters)</w:t>
      </w:r>
    </w:p>
    <w:tbl>
      <w:tblPr>
        <w:tblW w:w="0" w:type="auto"/>
        <w:tblCellMar>
          <w:top w:w="15" w:type="dxa"/>
          <w:left w:w="15" w:type="dxa"/>
          <w:bottom w:w="15" w:type="dxa"/>
          <w:right w:w="15" w:type="dxa"/>
        </w:tblCellMar>
        <w:tblLook w:val="04A0" w:firstRow="1" w:lastRow="0" w:firstColumn="1" w:lastColumn="0" w:noHBand="0" w:noVBand="1"/>
      </w:tblPr>
      <w:tblGrid>
        <w:gridCol w:w="3146"/>
        <w:gridCol w:w="1784"/>
        <w:gridCol w:w="1784"/>
        <w:gridCol w:w="1784"/>
      </w:tblGrid>
      <w:tr w:rsidR="00A830A9" w:rsidRPr="00A830A9" w14:paraId="2744E775" w14:textId="77777777" w:rsidTr="00F552A0">
        <w:trPr>
          <w:tblHeader/>
        </w:trPr>
        <w:tc>
          <w:tcPr>
            <w:tcW w:w="0" w:type="auto"/>
            <w:tcMar>
              <w:top w:w="0" w:type="dxa"/>
              <w:left w:w="0" w:type="dxa"/>
              <w:bottom w:w="0" w:type="dxa"/>
              <w:right w:w="0" w:type="dxa"/>
            </w:tcMar>
            <w:vAlign w:val="center"/>
            <w:hideMark/>
          </w:tcPr>
          <w:p w14:paraId="17CAEC4C" w14:textId="77777777" w:rsidR="00A830A9" w:rsidRPr="00A830A9" w:rsidRDefault="00A830A9" w:rsidP="00A830A9">
            <w:pPr>
              <w:spacing w:after="0" w:line="240" w:lineRule="auto"/>
              <w:rPr>
                <w:rFonts w:ascii="Times New Roman" w:eastAsia="Times New Roman" w:hAnsi="Times New Roman" w:cs="Times New Roman"/>
                <w:b/>
                <w:bCs/>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w:t>
            </w:r>
          </w:p>
        </w:tc>
        <w:tc>
          <w:tcPr>
            <w:tcW w:w="0" w:type="auto"/>
            <w:tcBorders>
              <w:bottom w:val="single" w:sz="4" w:space="0" w:color="auto"/>
            </w:tcBorders>
            <w:tcMar>
              <w:top w:w="0" w:type="dxa"/>
              <w:left w:w="0" w:type="dxa"/>
              <w:bottom w:w="0" w:type="dxa"/>
              <w:right w:w="0" w:type="dxa"/>
            </w:tcMar>
            <w:vAlign w:val="center"/>
            <w:hideMark/>
          </w:tcPr>
          <w:p w14:paraId="5ED7E96A" w14:textId="77777777" w:rsidR="00A830A9" w:rsidRPr="00A830A9"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Owner</w:t>
            </w:r>
            <w:r w:rsidRPr="00A830A9">
              <w:rPr>
                <w:rFonts w:ascii="Times New Roman" w:eastAsia="Times New Roman" w:hAnsi="Times New Roman" w:cs="Times New Roman"/>
                <w:b/>
                <w:bCs/>
                <w:kern w:val="0"/>
                <w:sz w:val="20"/>
                <w:szCs w:val="20"/>
                <w:lang w:val="en-US" w:eastAsia="en-GB"/>
                <w14:ligatures w14:val="none"/>
              </w:rPr>
              <w:br/>
              <w:t>(N=790)</w:t>
            </w:r>
          </w:p>
        </w:tc>
        <w:tc>
          <w:tcPr>
            <w:tcW w:w="0" w:type="auto"/>
            <w:tcBorders>
              <w:bottom w:val="single" w:sz="4" w:space="0" w:color="auto"/>
            </w:tcBorders>
            <w:tcMar>
              <w:top w:w="0" w:type="dxa"/>
              <w:left w:w="0" w:type="dxa"/>
              <w:bottom w:w="0" w:type="dxa"/>
              <w:right w:w="0" w:type="dxa"/>
            </w:tcMar>
            <w:vAlign w:val="center"/>
            <w:hideMark/>
          </w:tcPr>
          <w:p w14:paraId="1C225E21" w14:textId="77777777" w:rsidR="00A830A9" w:rsidRPr="00A830A9"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Renter</w:t>
            </w:r>
            <w:r w:rsidRPr="00A830A9">
              <w:rPr>
                <w:rFonts w:ascii="Times New Roman" w:eastAsia="Times New Roman" w:hAnsi="Times New Roman" w:cs="Times New Roman"/>
                <w:b/>
                <w:bCs/>
                <w:kern w:val="0"/>
                <w:sz w:val="20"/>
                <w:szCs w:val="20"/>
                <w:lang w:val="en-US" w:eastAsia="en-GB"/>
                <w14:ligatures w14:val="none"/>
              </w:rPr>
              <w:br/>
              <w:t>(N=167)</w:t>
            </w:r>
          </w:p>
        </w:tc>
        <w:tc>
          <w:tcPr>
            <w:tcW w:w="0" w:type="auto"/>
            <w:tcBorders>
              <w:bottom w:val="single" w:sz="4" w:space="0" w:color="auto"/>
            </w:tcBorders>
            <w:tcMar>
              <w:top w:w="0" w:type="dxa"/>
              <w:left w:w="0" w:type="dxa"/>
              <w:bottom w:w="0" w:type="dxa"/>
              <w:right w:w="0" w:type="dxa"/>
            </w:tcMar>
            <w:vAlign w:val="center"/>
            <w:hideMark/>
          </w:tcPr>
          <w:p w14:paraId="6D81CA90" w14:textId="77777777" w:rsidR="00A830A9" w:rsidRPr="00A830A9"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Overall</w:t>
            </w:r>
            <w:r w:rsidRPr="00A830A9">
              <w:rPr>
                <w:rFonts w:ascii="Times New Roman" w:eastAsia="Times New Roman" w:hAnsi="Times New Roman" w:cs="Times New Roman"/>
                <w:b/>
                <w:bCs/>
                <w:kern w:val="0"/>
                <w:sz w:val="20"/>
                <w:szCs w:val="20"/>
                <w:lang w:val="en-US" w:eastAsia="en-GB"/>
                <w14:ligatures w14:val="none"/>
              </w:rPr>
              <w:br/>
              <w:t>(N=957)</w:t>
            </w:r>
          </w:p>
        </w:tc>
      </w:tr>
      <w:tr w:rsidR="00A830A9" w:rsidRPr="00A830A9" w14:paraId="23EC5224" w14:textId="77777777" w:rsidTr="00F552A0">
        <w:tc>
          <w:tcPr>
            <w:tcW w:w="0" w:type="auto"/>
            <w:tcMar>
              <w:top w:w="0" w:type="dxa"/>
              <w:left w:w="0" w:type="dxa"/>
              <w:bottom w:w="0" w:type="dxa"/>
              <w:right w:w="0" w:type="dxa"/>
            </w:tcMar>
            <w:vAlign w:val="center"/>
            <w:hideMark/>
          </w:tcPr>
          <w:p w14:paraId="197031C6"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Sex</w:t>
            </w:r>
          </w:p>
        </w:tc>
        <w:tc>
          <w:tcPr>
            <w:tcW w:w="0" w:type="auto"/>
            <w:tcBorders>
              <w:top w:val="single" w:sz="4" w:space="0" w:color="auto"/>
            </w:tcBorders>
            <w:tcMar>
              <w:top w:w="0" w:type="dxa"/>
              <w:left w:w="0" w:type="dxa"/>
              <w:bottom w:w="0" w:type="dxa"/>
              <w:right w:w="0" w:type="dxa"/>
            </w:tcMar>
            <w:vAlign w:val="center"/>
            <w:hideMark/>
          </w:tcPr>
          <w:p w14:paraId="00322A3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Borders>
              <w:top w:val="single" w:sz="4" w:space="0" w:color="auto"/>
            </w:tcBorders>
            <w:tcMar>
              <w:top w:w="0" w:type="dxa"/>
              <w:left w:w="0" w:type="dxa"/>
              <w:bottom w:w="0" w:type="dxa"/>
              <w:right w:w="0" w:type="dxa"/>
            </w:tcMar>
            <w:vAlign w:val="center"/>
            <w:hideMark/>
          </w:tcPr>
          <w:p w14:paraId="1F8B073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Borders>
              <w:top w:val="single" w:sz="4" w:space="0" w:color="auto"/>
            </w:tcBorders>
            <w:tcMar>
              <w:top w:w="0" w:type="dxa"/>
              <w:left w:w="0" w:type="dxa"/>
              <w:bottom w:w="0" w:type="dxa"/>
              <w:right w:w="0" w:type="dxa"/>
            </w:tcMar>
            <w:vAlign w:val="center"/>
            <w:hideMark/>
          </w:tcPr>
          <w:p w14:paraId="33A033B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756497CD" w14:textId="77777777" w:rsidTr="00F552A0">
        <w:tc>
          <w:tcPr>
            <w:tcW w:w="0" w:type="auto"/>
            <w:tcMar>
              <w:top w:w="0" w:type="dxa"/>
              <w:left w:w="0" w:type="dxa"/>
              <w:bottom w:w="0" w:type="dxa"/>
              <w:right w:w="0" w:type="dxa"/>
            </w:tcMar>
            <w:vAlign w:val="center"/>
            <w:hideMark/>
          </w:tcPr>
          <w:p w14:paraId="3C17E913"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Female</w:t>
            </w:r>
          </w:p>
        </w:tc>
        <w:tc>
          <w:tcPr>
            <w:tcW w:w="0" w:type="auto"/>
            <w:tcMar>
              <w:top w:w="0" w:type="dxa"/>
              <w:left w:w="0" w:type="dxa"/>
              <w:bottom w:w="0" w:type="dxa"/>
              <w:right w:w="0" w:type="dxa"/>
            </w:tcMar>
            <w:vAlign w:val="center"/>
            <w:hideMark/>
          </w:tcPr>
          <w:p w14:paraId="7C55480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419 (53.0%)</w:t>
            </w:r>
          </w:p>
        </w:tc>
        <w:tc>
          <w:tcPr>
            <w:tcW w:w="0" w:type="auto"/>
            <w:tcMar>
              <w:top w:w="0" w:type="dxa"/>
              <w:left w:w="0" w:type="dxa"/>
              <w:bottom w:w="0" w:type="dxa"/>
              <w:right w:w="0" w:type="dxa"/>
            </w:tcMar>
            <w:vAlign w:val="center"/>
            <w:hideMark/>
          </w:tcPr>
          <w:p w14:paraId="6EB840D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110 (65.9%)</w:t>
            </w:r>
          </w:p>
        </w:tc>
        <w:tc>
          <w:tcPr>
            <w:tcW w:w="0" w:type="auto"/>
            <w:tcMar>
              <w:top w:w="0" w:type="dxa"/>
              <w:left w:w="0" w:type="dxa"/>
              <w:bottom w:w="0" w:type="dxa"/>
              <w:right w:w="0" w:type="dxa"/>
            </w:tcMar>
            <w:vAlign w:val="center"/>
            <w:hideMark/>
          </w:tcPr>
          <w:p w14:paraId="2D9CDA0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529 (55.3%)</w:t>
            </w:r>
          </w:p>
        </w:tc>
      </w:tr>
      <w:tr w:rsidR="00A830A9" w:rsidRPr="00A830A9" w14:paraId="7797A4AE" w14:textId="77777777" w:rsidTr="00F552A0">
        <w:tc>
          <w:tcPr>
            <w:tcW w:w="0" w:type="auto"/>
            <w:tcMar>
              <w:top w:w="0" w:type="dxa"/>
              <w:left w:w="0" w:type="dxa"/>
              <w:bottom w:w="0" w:type="dxa"/>
              <w:right w:w="0" w:type="dxa"/>
            </w:tcMar>
            <w:vAlign w:val="center"/>
            <w:hideMark/>
          </w:tcPr>
          <w:p w14:paraId="2F209733"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Male</w:t>
            </w:r>
          </w:p>
        </w:tc>
        <w:tc>
          <w:tcPr>
            <w:tcW w:w="0" w:type="auto"/>
            <w:tcMar>
              <w:top w:w="0" w:type="dxa"/>
              <w:left w:w="0" w:type="dxa"/>
              <w:bottom w:w="0" w:type="dxa"/>
              <w:right w:w="0" w:type="dxa"/>
            </w:tcMar>
            <w:vAlign w:val="center"/>
            <w:hideMark/>
          </w:tcPr>
          <w:p w14:paraId="10553F9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371 (47.0%)</w:t>
            </w:r>
          </w:p>
        </w:tc>
        <w:tc>
          <w:tcPr>
            <w:tcW w:w="0" w:type="auto"/>
            <w:tcMar>
              <w:top w:w="0" w:type="dxa"/>
              <w:left w:w="0" w:type="dxa"/>
              <w:bottom w:w="0" w:type="dxa"/>
              <w:right w:w="0" w:type="dxa"/>
            </w:tcMar>
            <w:vAlign w:val="center"/>
            <w:hideMark/>
          </w:tcPr>
          <w:p w14:paraId="3175694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57 (34.1%)</w:t>
            </w:r>
          </w:p>
        </w:tc>
        <w:tc>
          <w:tcPr>
            <w:tcW w:w="0" w:type="auto"/>
            <w:tcMar>
              <w:top w:w="0" w:type="dxa"/>
              <w:left w:w="0" w:type="dxa"/>
              <w:bottom w:w="0" w:type="dxa"/>
              <w:right w:w="0" w:type="dxa"/>
            </w:tcMar>
            <w:vAlign w:val="center"/>
            <w:hideMark/>
          </w:tcPr>
          <w:p w14:paraId="0055D34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428 (44.7%)</w:t>
            </w:r>
          </w:p>
        </w:tc>
      </w:tr>
      <w:tr w:rsidR="00A830A9" w:rsidRPr="00A830A9" w14:paraId="6A86B4F6" w14:textId="77777777" w:rsidTr="00F552A0">
        <w:tc>
          <w:tcPr>
            <w:tcW w:w="0" w:type="auto"/>
            <w:tcMar>
              <w:top w:w="0" w:type="dxa"/>
              <w:left w:w="0" w:type="dxa"/>
              <w:bottom w:w="0" w:type="dxa"/>
              <w:right w:w="0" w:type="dxa"/>
            </w:tcMar>
            <w:vAlign w:val="center"/>
            <w:hideMark/>
          </w:tcPr>
          <w:p w14:paraId="0F95AF83"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Age group</w:t>
            </w:r>
          </w:p>
        </w:tc>
        <w:tc>
          <w:tcPr>
            <w:tcW w:w="0" w:type="auto"/>
            <w:tcMar>
              <w:top w:w="0" w:type="dxa"/>
              <w:left w:w="0" w:type="dxa"/>
              <w:bottom w:w="0" w:type="dxa"/>
              <w:right w:w="0" w:type="dxa"/>
            </w:tcMar>
            <w:vAlign w:val="center"/>
            <w:hideMark/>
          </w:tcPr>
          <w:p w14:paraId="7C7ADFA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10E3B45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0A89FB9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75930611" w14:textId="77777777" w:rsidTr="00F552A0">
        <w:tc>
          <w:tcPr>
            <w:tcW w:w="0" w:type="auto"/>
            <w:tcMar>
              <w:top w:w="0" w:type="dxa"/>
              <w:left w:w="0" w:type="dxa"/>
              <w:bottom w:w="0" w:type="dxa"/>
              <w:right w:w="0" w:type="dxa"/>
            </w:tcMar>
            <w:vAlign w:val="center"/>
            <w:hideMark/>
          </w:tcPr>
          <w:p w14:paraId="4CD93608"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55-64</w:t>
            </w:r>
          </w:p>
        </w:tc>
        <w:tc>
          <w:tcPr>
            <w:tcW w:w="0" w:type="auto"/>
            <w:tcMar>
              <w:top w:w="0" w:type="dxa"/>
              <w:left w:w="0" w:type="dxa"/>
              <w:bottom w:w="0" w:type="dxa"/>
              <w:right w:w="0" w:type="dxa"/>
            </w:tcMar>
            <w:vAlign w:val="center"/>
            <w:hideMark/>
          </w:tcPr>
          <w:p w14:paraId="43FAA3A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154 (19.5%)</w:t>
            </w:r>
          </w:p>
        </w:tc>
        <w:tc>
          <w:tcPr>
            <w:tcW w:w="0" w:type="auto"/>
            <w:tcMar>
              <w:top w:w="0" w:type="dxa"/>
              <w:left w:w="0" w:type="dxa"/>
              <w:bottom w:w="0" w:type="dxa"/>
              <w:right w:w="0" w:type="dxa"/>
            </w:tcMar>
            <w:vAlign w:val="center"/>
            <w:hideMark/>
          </w:tcPr>
          <w:p w14:paraId="01641F59"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38 (22.8%)</w:t>
            </w:r>
          </w:p>
        </w:tc>
        <w:tc>
          <w:tcPr>
            <w:tcW w:w="0" w:type="auto"/>
            <w:tcMar>
              <w:top w:w="0" w:type="dxa"/>
              <w:left w:w="0" w:type="dxa"/>
              <w:bottom w:w="0" w:type="dxa"/>
              <w:right w:w="0" w:type="dxa"/>
            </w:tcMar>
            <w:vAlign w:val="center"/>
            <w:hideMark/>
          </w:tcPr>
          <w:p w14:paraId="79135439"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192 (20.1%)</w:t>
            </w:r>
          </w:p>
        </w:tc>
      </w:tr>
      <w:tr w:rsidR="00A830A9" w:rsidRPr="00A830A9" w14:paraId="285DBE3A" w14:textId="77777777" w:rsidTr="00F552A0">
        <w:tc>
          <w:tcPr>
            <w:tcW w:w="0" w:type="auto"/>
            <w:tcMar>
              <w:top w:w="0" w:type="dxa"/>
              <w:left w:w="0" w:type="dxa"/>
              <w:bottom w:w="0" w:type="dxa"/>
              <w:right w:w="0" w:type="dxa"/>
            </w:tcMar>
            <w:vAlign w:val="center"/>
            <w:hideMark/>
          </w:tcPr>
          <w:p w14:paraId="245CAD31"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65-74</w:t>
            </w:r>
          </w:p>
        </w:tc>
        <w:tc>
          <w:tcPr>
            <w:tcW w:w="0" w:type="auto"/>
            <w:tcMar>
              <w:top w:w="0" w:type="dxa"/>
              <w:left w:w="0" w:type="dxa"/>
              <w:bottom w:w="0" w:type="dxa"/>
              <w:right w:w="0" w:type="dxa"/>
            </w:tcMar>
            <w:vAlign w:val="center"/>
            <w:hideMark/>
          </w:tcPr>
          <w:p w14:paraId="126D03C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344 (43.5%)</w:t>
            </w:r>
          </w:p>
        </w:tc>
        <w:tc>
          <w:tcPr>
            <w:tcW w:w="0" w:type="auto"/>
            <w:tcMar>
              <w:top w:w="0" w:type="dxa"/>
              <w:left w:w="0" w:type="dxa"/>
              <w:bottom w:w="0" w:type="dxa"/>
              <w:right w:w="0" w:type="dxa"/>
            </w:tcMar>
            <w:vAlign w:val="center"/>
            <w:hideMark/>
          </w:tcPr>
          <w:p w14:paraId="7B35932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72 (43.1%)</w:t>
            </w:r>
          </w:p>
        </w:tc>
        <w:tc>
          <w:tcPr>
            <w:tcW w:w="0" w:type="auto"/>
            <w:tcMar>
              <w:top w:w="0" w:type="dxa"/>
              <w:left w:w="0" w:type="dxa"/>
              <w:bottom w:w="0" w:type="dxa"/>
              <w:right w:w="0" w:type="dxa"/>
            </w:tcMar>
            <w:vAlign w:val="center"/>
            <w:hideMark/>
          </w:tcPr>
          <w:p w14:paraId="515AEDB3"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416 (43.5%)</w:t>
            </w:r>
          </w:p>
        </w:tc>
      </w:tr>
      <w:tr w:rsidR="00A830A9" w:rsidRPr="00A830A9" w14:paraId="1BA08313" w14:textId="77777777" w:rsidTr="00F552A0">
        <w:tc>
          <w:tcPr>
            <w:tcW w:w="0" w:type="auto"/>
            <w:tcMar>
              <w:top w:w="0" w:type="dxa"/>
              <w:left w:w="0" w:type="dxa"/>
              <w:bottom w:w="0" w:type="dxa"/>
              <w:right w:w="0" w:type="dxa"/>
            </w:tcMar>
            <w:vAlign w:val="center"/>
            <w:hideMark/>
          </w:tcPr>
          <w:p w14:paraId="2F577483"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75+</w:t>
            </w:r>
          </w:p>
        </w:tc>
        <w:tc>
          <w:tcPr>
            <w:tcW w:w="0" w:type="auto"/>
            <w:tcMar>
              <w:top w:w="0" w:type="dxa"/>
              <w:left w:w="0" w:type="dxa"/>
              <w:bottom w:w="0" w:type="dxa"/>
              <w:right w:w="0" w:type="dxa"/>
            </w:tcMar>
            <w:vAlign w:val="center"/>
            <w:hideMark/>
          </w:tcPr>
          <w:p w14:paraId="491D9D5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292 (37.0%)</w:t>
            </w:r>
          </w:p>
        </w:tc>
        <w:tc>
          <w:tcPr>
            <w:tcW w:w="0" w:type="auto"/>
            <w:tcMar>
              <w:top w:w="0" w:type="dxa"/>
              <w:left w:w="0" w:type="dxa"/>
              <w:bottom w:w="0" w:type="dxa"/>
              <w:right w:w="0" w:type="dxa"/>
            </w:tcMar>
            <w:vAlign w:val="center"/>
            <w:hideMark/>
          </w:tcPr>
          <w:p w14:paraId="1029944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57 (34.1%)</w:t>
            </w:r>
          </w:p>
        </w:tc>
        <w:tc>
          <w:tcPr>
            <w:tcW w:w="0" w:type="auto"/>
            <w:tcMar>
              <w:top w:w="0" w:type="dxa"/>
              <w:left w:w="0" w:type="dxa"/>
              <w:bottom w:w="0" w:type="dxa"/>
              <w:right w:w="0" w:type="dxa"/>
            </w:tcMar>
            <w:vAlign w:val="center"/>
            <w:hideMark/>
          </w:tcPr>
          <w:p w14:paraId="26295B4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349 (36.5%)</w:t>
            </w:r>
          </w:p>
        </w:tc>
      </w:tr>
      <w:tr w:rsidR="00A830A9" w:rsidRPr="00A830A9" w14:paraId="59D28A0B" w14:textId="77777777" w:rsidTr="00F552A0">
        <w:tc>
          <w:tcPr>
            <w:tcW w:w="0" w:type="auto"/>
            <w:tcMar>
              <w:top w:w="0" w:type="dxa"/>
              <w:left w:w="0" w:type="dxa"/>
              <w:bottom w:w="0" w:type="dxa"/>
              <w:right w:w="0" w:type="dxa"/>
            </w:tcMar>
            <w:vAlign w:val="center"/>
            <w:hideMark/>
          </w:tcPr>
          <w:p w14:paraId="77D12B2B"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Civil status</w:t>
            </w:r>
          </w:p>
        </w:tc>
        <w:tc>
          <w:tcPr>
            <w:tcW w:w="0" w:type="auto"/>
            <w:tcMar>
              <w:top w:w="0" w:type="dxa"/>
              <w:left w:w="0" w:type="dxa"/>
              <w:bottom w:w="0" w:type="dxa"/>
              <w:right w:w="0" w:type="dxa"/>
            </w:tcMar>
            <w:vAlign w:val="center"/>
            <w:hideMark/>
          </w:tcPr>
          <w:p w14:paraId="2E72047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6721F5D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1CE0095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18DA0839" w14:textId="77777777" w:rsidTr="00F552A0">
        <w:tc>
          <w:tcPr>
            <w:tcW w:w="0" w:type="auto"/>
            <w:tcMar>
              <w:top w:w="0" w:type="dxa"/>
              <w:left w:w="0" w:type="dxa"/>
              <w:bottom w:w="0" w:type="dxa"/>
              <w:right w:w="0" w:type="dxa"/>
            </w:tcMar>
            <w:vAlign w:val="center"/>
            <w:hideMark/>
          </w:tcPr>
          <w:p w14:paraId="7D06C07A"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Not partnered</w:t>
            </w:r>
          </w:p>
        </w:tc>
        <w:tc>
          <w:tcPr>
            <w:tcW w:w="0" w:type="auto"/>
            <w:tcMar>
              <w:top w:w="0" w:type="dxa"/>
              <w:left w:w="0" w:type="dxa"/>
              <w:bottom w:w="0" w:type="dxa"/>
              <w:right w:w="0" w:type="dxa"/>
            </w:tcMar>
            <w:vAlign w:val="center"/>
            <w:hideMark/>
          </w:tcPr>
          <w:p w14:paraId="07130B8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287 (36.3%)</w:t>
            </w:r>
          </w:p>
        </w:tc>
        <w:tc>
          <w:tcPr>
            <w:tcW w:w="0" w:type="auto"/>
            <w:tcMar>
              <w:top w:w="0" w:type="dxa"/>
              <w:left w:w="0" w:type="dxa"/>
              <w:bottom w:w="0" w:type="dxa"/>
              <w:right w:w="0" w:type="dxa"/>
            </w:tcMar>
            <w:vAlign w:val="center"/>
            <w:hideMark/>
          </w:tcPr>
          <w:p w14:paraId="00ADC94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90 (53.9%)</w:t>
            </w:r>
          </w:p>
        </w:tc>
        <w:tc>
          <w:tcPr>
            <w:tcW w:w="0" w:type="auto"/>
            <w:tcMar>
              <w:top w:w="0" w:type="dxa"/>
              <w:left w:w="0" w:type="dxa"/>
              <w:bottom w:w="0" w:type="dxa"/>
              <w:right w:w="0" w:type="dxa"/>
            </w:tcMar>
            <w:vAlign w:val="center"/>
            <w:hideMark/>
          </w:tcPr>
          <w:p w14:paraId="260E979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377 (39.4%)</w:t>
            </w:r>
          </w:p>
        </w:tc>
      </w:tr>
      <w:tr w:rsidR="00A830A9" w:rsidRPr="00A830A9" w14:paraId="59388782" w14:textId="77777777" w:rsidTr="00F552A0">
        <w:tc>
          <w:tcPr>
            <w:tcW w:w="0" w:type="auto"/>
            <w:tcMar>
              <w:top w:w="0" w:type="dxa"/>
              <w:left w:w="0" w:type="dxa"/>
              <w:bottom w:w="0" w:type="dxa"/>
              <w:right w:w="0" w:type="dxa"/>
            </w:tcMar>
            <w:vAlign w:val="center"/>
            <w:hideMark/>
          </w:tcPr>
          <w:p w14:paraId="7F7A308F"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Partnered</w:t>
            </w:r>
          </w:p>
        </w:tc>
        <w:tc>
          <w:tcPr>
            <w:tcW w:w="0" w:type="auto"/>
            <w:tcMar>
              <w:top w:w="0" w:type="dxa"/>
              <w:left w:w="0" w:type="dxa"/>
              <w:bottom w:w="0" w:type="dxa"/>
              <w:right w:w="0" w:type="dxa"/>
            </w:tcMar>
            <w:vAlign w:val="center"/>
            <w:hideMark/>
          </w:tcPr>
          <w:p w14:paraId="0DA5C8D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503 (63.7%)</w:t>
            </w:r>
          </w:p>
        </w:tc>
        <w:tc>
          <w:tcPr>
            <w:tcW w:w="0" w:type="auto"/>
            <w:tcMar>
              <w:top w:w="0" w:type="dxa"/>
              <w:left w:w="0" w:type="dxa"/>
              <w:bottom w:w="0" w:type="dxa"/>
              <w:right w:w="0" w:type="dxa"/>
            </w:tcMar>
            <w:vAlign w:val="center"/>
            <w:hideMark/>
          </w:tcPr>
          <w:p w14:paraId="2C1684B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77 (46.1%)</w:t>
            </w:r>
          </w:p>
        </w:tc>
        <w:tc>
          <w:tcPr>
            <w:tcW w:w="0" w:type="auto"/>
            <w:tcMar>
              <w:top w:w="0" w:type="dxa"/>
              <w:left w:w="0" w:type="dxa"/>
              <w:bottom w:w="0" w:type="dxa"/>
              <w:right w:w="0" w:type="dxa"/>
            </w:tcMar>
            <w:vAlign w:val="center"/>
            <w:hideMark/>
          </w:tcPr>
          <w:p w14:paraId="76EF666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580 (60.6%)</w:t>
            </w:r>
          </w:p>
        </w:tc>
      </w:tr>
      <w:tr w:rsidR="00A830A9" w:rsidRPr="00A830A9" w14:paraId="0F565C3A" w14:textId="77777777" w:rsidTr="00F552A0">
        <w:tc>
          <w:tcPr>
            <w:tcW w:w="0" w:type="auto"/>
            <w:tcMar>
              <w:top w:w="0" w:type="dxa"/>
              <w:left w:w="0" w:type="dxa"/>
              <w:bottom w:w="0" w:type="dxa"/>
              <w:right w:w="0" w:type="dxa"/>
            </w:tcMar>
            <w:vAlign w:val="center"/>
            <w:hideMark/>
          </w:tcPr>
          <w:p w14:paraId="68B37D6F"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Education</w:t>
            </w:r>
          </w:p>
        </w:tc>
        <w:tc>
          <w:tcPr>
            <w:tcW w:w="0" w:type="auto"/>
            <w:tcMar>
              <w:top w:w="0" w:type="dxa"/>
              <w:left w:w="0" w:type="dxa"/>
              <w:bottom w:w="0" w:type="dxa"/>
              <w:right w:w="0" w:type="dxa"/>
            </w:tcMar>
            <w:vAlign w:val="center"/>
            <w:hideMark/>
          </w:tcPr>
          <w:p w14:paraId="48E00B2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5618AC5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0B99336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1C10D93B" w14:textId="77777777" w:rsidTr="00F552A0">
        <w:tc>
          <w:tcPr>
            <w:tcW w:w="0" w:type="auto"/>
            <w:tcMar>
              <w:top w:w="0" w:type="dxa"/>
              <w:left w:w="0" w:type="dxa"/>
              <w:bottom w:w="0" w:type="dxa"/>
              <w:right w:w="0" w:type="dxa"/>
            </w:tcMar>
            <w:vAlign w:val="center"/>
            <w:hideMark/>
          </w:tcPr>
          <w:p w14:paraId="7F1CD410"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Elementary school</w:t>
            </w:r>
          </w:p>
        </w:tc>
        <w:tc>
          <w:tcPr>
            <w:tcW w:w="0" w:type="auto"/>
            <w:tcMar>
              <w:top w:w="0" w:type="dxa"/>
              <w:left w:w="0" w:type="dxa"/>
              <w:bottom w:w="0" w:type="dxa"/>
              <w:right w:w="0" w:type="dxa"/>
            </w:tcMar>
            <w:vAlign w:val="center"/>
            <w:hideMark/>
          </w:tcPr>
          <w:p w14:paraId="1000767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42 (5.3%)</w:t>
            </w:r>
          </w:p>
        </w:tc>
        <w:tc>
          <w:tcPr>
            <w:tcW w:w="0" w:type="auto"/>
            <w:tcMar>
              <w:top w:w="0" w:type="dxa"/>
              <w:left w:w="0" w:type="dxa"/>
              <w:bottom w:w="0" w:type="dxa"/>
              <w:right w:w="0" w:type="dxa"/>
            </w:tcMar>
            <w:vAlign w:val="center"/>
            <w:hideMark/>
          </w:tcPr>
          <w:p w14:paraId="7CCD17B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17 (10.2%)</w:t>
            </w:r>
          </w:p>
        </w:tc>
        <w:tc>
          <w:tcPr>
            <w:tcW w:w="0" w:type="auto"/>
            <w:tcMar>
              <w:top w:w="0" w:type="dxa"/>
              <w:left w:w="0" w:type="dxa"/>
              <w:bottom w:w="0" w:type="dxa"/>
              <w:right w:w="0" w:type="dxa"/>
            </w:tcMar>
            <w:vAlign w:val="center"/>
            <w:hideMark/>
          </w:tcPr>
          <w:p w14:paraId="631447B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59 (6.2%)</w:t>
            </w:r>
          </w:p>
        </w:tc>
      </w:tr>
      <w:tr w:rsidR="00A830A9" w:rsidRPr="00A830A9" w14:paraId="46718061" w14:textId="77777777" w:rsidTr="00F552A0">
        <w:tc>
          <w:tcPr>
            <w:tcW w:w="0" w:type="auto"/>
            <w:tcMar>
              <w:top w:w="0" w:type="dxa"/>
              <w:left w:w="0" w:type="dxa"/>
              <w:bottom w:w="0" w:type="dxa"/>
              <w:right w:w="0" w:type="dxa"/>
            </w:tcMar>
            <w:vAlign w:val="center"/>
            <w:hideMark/>
          </w:tcPr>
          <w:p w14:paraId="4D6A6F6B"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2 years upper secondary</w:t>
            </w:r>
          </w:p>
        </w:tc>
        <w:tc>
          <w:tcPr>
            <w:tcW w:w="0" w:type="auto"/>
            <w:tcMar>
              <w:top w:w="0" w:type="dxa"/>
              <w:left w:w="0" w:type="dxa"/>
              <w:bottom w:w="0" w:type="dxa"/>
              <w:right w:w="0" w:type="dxa"/>
            </w:tcMar>
            <w:vAlign w:val="center"/>
            <w:hideMark/>
          </w:tcPr>
          <w:p w14:paraId="0741448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68 (8.6%)</w:t>
            </w:r>
          </w:p>
        </w:tc>
        <w:tc>
          <w:tcPr>
            <w:tcW w:w="0" w:type="auto"/>
            <w:tcMar>
              <w:top w:w="0" w:type="dxa"/>
              <w:left w:w="0" w:type="dxa"/>
              <w:bottom w:w="0" w:type="dxa"/>
              <w:right w:w="0" w:type="dxa"/>
            </w:tcMar>
            <w:vAlign w:val="center"/>
            <w:hideMark/>
          </w:tcPr>
          <w:p w14:paraId="6DEF7F2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17 (10.2%)</w:t>
            </w:r>
          </w:p>
        </w:tc>
        <w:tc>
          <w:tcPr>
            <w:tcW w:w="0" w:type="auto"/>
            <w:tcMar>
              <w:top w:w="0" w:type="dxa"/>
              <w:left w:w="0" w:type="dxa"/>
              <w:bottom w:w="0" w:type="dxa"/>
              <w:right w:w="0" w:type="dxa"/>
            </w:tcMar>
            <w:vAlign w:val="center"/>
            <w:hideMark/>
          </w:tcPr>
          <w:p w14:paraId="17EEFD2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85 (8.9%)</w:t>
            </w:r>
          </w:p>
        </w:tc>
      </w:tr>
      <w:tr w:rsidR="00A830A9" w:rsidRPr="00A830A9" w14:paraId="59E51AC3" w14:textId="77777777" w:rsidTr="00F552A0">
        <w:tc>
          <w:tcPr>
            <w:tcW w:w="0" w:type="auto"/>
            <w:tcMar>
              <w:top w:w="0" w:type="dxa"/>
              <w:left w:w="0" w:type="dxa"/>
              <w:bottom w:w="0" w:type="dxa"/>
              <w:right w:w="0" w:type="dxa"/>
            </w:tcMar>
            <w:vAlign w:val="center"/>
            <w:hideMark/>
          </w:tcPr>
          <w:p w14:paraId="0B56D538"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3-4 years upper secondary</w:t>
            </w:r>
          </w:p>
        </w:tc>
        <w:tc>
          <w:tcPr>
            <w:tcW w:w="0" w:type="auto"/>
            <w:tcMar>
              <w:top w:w="0" w:type="dxa"/>
              <w:left w:w="0" w:type="dxa"/>
              <w:bottom w:w="0" w:type="dxa"/>
              <w:right w:w="0" w:type="dxa"/>
            </w:tcMar>
            <w:vAlign w:val="center"/>
            <w:hideMark/>
          </w:tcPr>
          <w:p w14:paraId="1D3E7FD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127 (16.1%)</w:t>
            </w:r>
          </w:p>
        </w:tc>
        <w:tc>
          <w:tcPr>
            <w:tcW w:w="0" w:type="auto"/>
            <w:tcMar>
              <w:top w:w="0" w:type="dxa"/>
              <w:left w:w="0" w:type="dxa"/>
              <w:bottom w:w="0" w:type="dxa"/>
              <w:right w:w="0" w:type="dxa"/>
            </w:tcMar>
            <w:vAlign w:val="center"/>
            <w:hideMark/>
          </w:tcPr>
          <w:p w14:paraId="01BC15C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30 (18.0%)</w:t>
            </w:r>
          </w:p>
        </w:tc>
        <w:tc>
          <w:tcPr>
            <w:tcW w:w="0" w:type="auto"/>
            <w:tcMar>
              <w:top w:w="0" w:type="dxa"/>
              <w:left w:w="0" w:type="dxa"/>
              <w:bottom w:w="0" w:type="dxa"/>
              <w:right w:w="0" w:type="dxa"/>
            </w:tcMar>
            <w:vAlign w:val="center"/>
            <w:hideMark/>
          </w:tcPr>
          <w:p w14:paraId="279D557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157 (16.4%)</w:t>
            </w:r>
          </w:p>
        </w:tc>
      </w:tr>
      <w:tr w:rsidR="00A830A9" w:rsidRPr="00A830A9" w14:paraId="5C4697C5" w14:textId="77777777" w:rsidTr="00F552A0">
        <w:tc>
          <w:tcPr>
            <w:tcW w:w="0" w:type="auto"/>
            <w:tcMar>
              <w:top w:w="0" w:type="dxa"/>
              <w:left w:w="0" w:type="dxa"/>
              <w:bottom w:w="0" w:type="dxa"/>
              <w:right w:w="0" w:type="dxa"/>
            </w:tcMar>
            <w:vAlign w:val="center"/>
            <w:hideMark/>
          </w:tcPr>
          <w:p w14:paraId="45409BD5"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University &lt; 3 years</w:t>
            </w:r>
          </w:p>
        </w:tc>
        <w:tc>
          <w:tcPr>
            <w:tcW w:w="0" w:type="auto"/>
            <w:tcMar>
              <w:top w:w="0" w:type="dxa"/>
              <w:left w:w="0" w:type="dxa"/>
              <w:bottom w:w="0" w:type="dxa"/>
              <w:right w:w="0" w:type="dxa"/>
            </w:tcMar>
            <w:vAlign w:val="center"/>
            <w:hideMark/>
          </w:tcPr>
          <w:p w14:paraId="5AA710E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161 (20.4%)</w:t>
            </w:r>
          </w:p>
        </w:tc>
        <w:tc>
          <w:tcPr>
            <w:tcW w:w="0" w:type="auto"/>
            <w:tcMar>
              <w:top w:w="0" w:type="dxa"/>
              <w:left w:w="0" w:type="dxa"/>
              <w:bottom w:w="0" w:type="dxa"/>
              <w:right w:w="0" w:type="dxa"/>
            </w:tcMar>
            <w:vAlign w:val="center"/>
            <w:hideMark/>
          </w:tcPr>
          <w:p w14:paraId="5640FFB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37 (22.2%)</w:t>
            </w:r>
          </w:p>
        </w:tc>
        <w:tc>
          <w:tcPr>
            <w:tcW w:w="0" w:type="auto"/>
            <w:tcMar>
              <w:top w:w="0" w:type="dxa"/>
              <w:left w:w="0" w:type="dxa"/>
              <w:bottom w:w="0" w:type="dxa"/>
              <w:right w:w="0" w:type="dxa"/>
            </w:tcMar>
            <w:vAlign w:val="center"/>
            <w:hideMark/>
          </w:tcPr>
          <w:p w14:paraId="169E91A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198 (20.7%)</w:t>
            </w:r>
          </w:p>
        </w:tc>
      </w:tr>
      <w:tr w:rsidR="00A830A9" w:rsidRPr="00A830A9" w14:paraId="09AE4802" w14:textId="77777777" w:rsidTr="00F552A0">
        <w:tc>
          <w:tcPr>
            <w:tcW w:w="0" w:type="auto"/>
            <w:tcMar>
              <w:top w:w="0" w:type="dxa"/>
              <w:left w:w="0" w:type="dxa"/>
              <w:bottom w:w="0" w:type="dxa"/>
              <w:right w:w="0" w:type="dxa"/>
            </w:tcMar>
            <w:vAlign w:val="center"/>
            <w:hideMark/>
          </w:tcPr>
          <w:p w14:paraId="1B39542F"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University &gt;= 3 years</w:t>
            </w:r>
          </w:p>
        </w:tc>
        <w:tc>
          <w:tcPr>
            <w:tcW w:w="0" w:type="auto"/>
            <w:tcMar>
              <w:top w:w="0" w:type="dxa"/>
              <w:left w:w="0" w:type="dxa"/>
              <w:bottom w:w="0" w:type="dxa"/>
              <w:right w:w="0" w:type="dxa"/>
            </w:tcMar>
            <w:vAlign w:val="center"/>
            <w:hideMark/>
          </w:tcPr>
          <w:p w14:paraId="015F4CF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390 (49.4%)</w:t>
            </w:r>
          </w:p>
        </w:tc>
        <w:tc>
          <w:tcPr>
            <w:tcW w:w="0" w:type="auto"/>
            <w:tcMar>
              <w:top w:w="0" w:type="dxa"/>
              <w:left w:w="0" w:type="dxa"/>
              <w:bottom w:w="0" w:type="dxa"/>
              <w:right w:w="0" w:type="dxa"/>
            </w:tcMar>
            <w:vAlign w:val="center"/>
            <w:hideMark/>
          </w:tcPr>
          <w:p w14:paraId="40187AE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66 (39.5%)</w:t>
            </w:r>
          </w:p>
        </w:tc>
        <w:tc>
          <w:tcPr>
            <w:tcW w:w="0" w:type="auto"/>
            <w:tcMar>
              <w:top w:w="0" w:type="dxa"/>
              <w:left w:w="0" w:type="dxa"/>
              <w:bottom w:w="0" w:type="dxa"/>
              <w:right w:w="0" w:type="dxa"/>
            </w:tcMar>
            <w:vAlign w:val="center"/>
            <w:hideMark/>
          </w:tcPr>
          <w:p w14:paraId="06306563"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456 (47.6%)</w:t>
            </w:r>
          </w:p>
        </w:tc>
      </w:tr>
      <w:tr w:rsidR="00A830A9" w:rsidRPr="00A830A9" w14:paraId="3D3B2D9E" w14:textId="77777777" w:rsidTr="00F552A0">
        <w:tc>
          <w:tcPr>
            <w:tcW w:w="0" w:type="auto"/>
            <w:tcMar>
              <w:top w:w="0" w:type="dxa"/>
              <w:left w:w="0" w:type="dxa"/>
              <w:bottom w:w="0" w:type="dxa"/>
              <w:right w:w="0" w:type="dxa"/>
            </w:tcMar>
            <w:vAlign w:val="center"/>
            <w:hideMark/>
          </w:tcPr>
          <w:p w14:paraId="7E0D1B50"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57DDBAC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 (0.3%)</w:t>
            </w:r>
          </w:p>
        </w:tc>
        <w:tc>
          <w:tcPr>
            <w:tcW w:w="0" w:type="auto"/>
            <w:tcMar>
              <w:top w:w="0" w:type="dxa"/>
              <w:left w:w="0" w:type="dxa"/>
              <w:bottom w:w="0" w:type="dxa"/>
              <w:right w:w="0" w:type="dxa"/>
            </w:tcMar>
            <w:vAlign w:val="center"/>
            <w:hideMark/>
          </w:tcPr>
          <w:p w14:paraId="70545CA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0 (0%)</w:t>
            </w:r>
          </w:p>
        </w:tc>
        <w:tc>
          <w:tcPr>
            <w:tcW w:w="0" w:type="auto"/>
            <w:tcMar>
              <w:top w:w="0" w:type="dxa"/>
              <w:left w:w="0" w:type="dxa"/>
              <w:bottom w:w="0" w:type="dxa"/>
              <w:right w:w="0" w:type="dxa"/>
            </w:tcMar>
            <w:vAlign w:val="center"/>
            <w:hideMark/>
          </w:tcPr>
          <w:p w14:paraId="6F73817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 (0.2%)</w:t>
            </w:r>
          </w:p>
        </w:tc>
      </w:tr>
      <w:tr w:rsidR="00A830A9" w:rsidRPr="00A830A9" w14:paraId="15852B54" w14:textId="77777777" w:rsidTr="00F552A0">
        <w:tc>
          <w:tcPr>
            <w:tcW w:w="0" w:type="auto"/>
            <w:tcMar>
              <w:top w:w="0" w:type="dxa"/>
              <w:left w:w="0" w:type="dxa"/>
              <w:bottom w:w="0" w:type="dxa"/>
              <w:right w:w="0" w:type="dxa"/>
            </w:tcMar>
            <w:vAlign w:val="center"/>
            <w:hideMark/>
          </w:tcPr>
          <w:p w14:paraId="2251C976"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Self-reported health</w:t>
            </w:r>
          </w:p>
        </w:tc>
        <w:tc>
          <w:tcPr>
            <w:tcW w:w="0" w:type="auto"/>
            <w:tcMar>
              <w:top w:w="0" w:type="dxa"/>
              <w:left w:w="0" w:type="dxa"/>
              <w:bottom w:w="0" w:type="dxa"/>
              <w:right w:w="0" w:type="dxa"/>
            </w:tcMar>
            <w:vAlign w:val="center"/>
            <w:hideMark/>
          </w:tcPr>
          <w:p w14:paraId="36AA7D2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458FE70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3C9E072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5D9939EF" w14:textId="77777777" w:rsidTr="00F552A0">
        <w:tc>
          <w:tcPr>
            <w:tcW w:w="0" w:type="auto"/>
            <w:tcMar>
              <w:top w:w="0" w:type="dxa"/>
              <w:left w:w="0" w:type="dxa"/>
              <w:bottom w:w="0" w:type="dxa"/>
              <w:right w:w="0" w:type="dxa"/>
            </w:tcMar>
            <w:vAlign w:val="center"/>
            <w:hideMark/>
          </w:tcPr>
          <w:p w14:paraId="30DBE5EC"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Poor</w:t>
            </w:r>
          </w:p>
        </w:tc>
        <w:tc>
          <w:tcPr>
            <w:tcW w:w="0" w:type="auto"/>
            <w:tcMar>
              <w:top w:w="0" w:type="dxa"/>
              <w:left w:w="0" w:type="dxa"/>
              <w:bottom w:w="0" w:type="dxa"/>
              <w:right w:w="0" w:type="dxa"/>
            </w:tcMar>
            <w:vAlign w:val="center"/>
            <w:hideMark/>
          </w:tcPr>
          <w:p w14:paraId="7F104F3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13 (1.6%)</w:t>
            </w:r>
          </w:p>
        </w:tc>
        <w:tc>
          <w:tcPr>
            <w:tcW w:w="0" w:type="auto"/>
            <w:tcMar>
              <w:top w:w="0" w:type="dxa"/>
              <w:left w:w="0" w:type="dxa"/>
              <w:bottom w:w="0" w:type="dxa"/>
              <w:right w:w="0" w:type="dxa"/>
            </w:tcMar>
            <w:vAlign w:val="center"/>
            <w:hideMark/>
          </w:tcPr>
          <w:p w14:paraId="2FBD0CC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 (2.4%)</w:t>
            </w:r>
          </w:p>
        </w:tc>
        <w:tc>
          <w:tcPr>
            <w:tcW w:w="0" w:type="auto"/>
            <w:tcMar>
              <w:top w:w="0" w:type="dxa"/>
              <w:left w:w="0" w:type="dxa"/>
              <w:bottom w:w="0" w:type="dxa"/>
              <w:right w:w="0" w:type="dxa"/>
            </w:tcMar>
            <w:vAlign w:val="center"/>
            <w:hideMark/>
          </w:tcPr>
          <w:p w14:paraId="02A0604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17 (1.8%)</w:t>
            </w:r>
          </w:p>
        </w:tc>
      </w:tr>
      <w:tr w:rsidR="00A830A9" w:rsidRPr="00A830A9" w14:paraId="21905775" w14:textId="77777777" w:rsidTr="00F552A0">
        <w:tc>
          <w:tcPr>
            <w:tcW w:w="0" w:type="auto"/>
            <w:tcMar>
              <w:top w:w="0" w:type="dxa"/>
              <w:left w:w="0" w:type="dxa"/>
              <w:bottom w:w="0" w:type="dxa"/>
              <w:right w:w="0" w:type="dxa"/>
            </w:tcMar>
            <w:vAlign w:val="center"/>
            <w:hideMark/>
          </w:tcPr>
          <w:p w14:paraId="5A5078FD"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Fairly</w:t>
            </w:r>
          </w:p>
        </w:tc>
        <w:tc>
          <w:tcPr>
            <w:tcW w:w="0" w:type="auto"/>
            <w:tcMar>
              <w:top w:w="0" w:type="dxa"/>
              <w:left w:w="0" w:type="dxa"/>
              <w:bottom w:w="0" w:type="dxa"/>
              <w:right w:w="0" w:type="dxa"/>
            </w:tcMar>
            <w:vAlign w:val="center"/>
            <w:hideMark/>
          </w:tcPr>
          <w:p w14:paraId="5C3E79B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118 (14.9%)</w:t>
            </w:r>
          </w:p>
        </w:tc>
        <w:tc>
          <w:tcPr>
            <w:tcW w:w="0" w:type="auto"/>
            <w:tcMar>
              <w:top w:w="0" w:type="dxa"/>
              <w:left w:w="0" w:type="dxa"/>
              <w:bottom w:w="0" w:type="dxa"/>
              <w:right w:w="0" w:type="dxa"/>
            </w:tcMar>
            <w:vAlign w:val="center"/>
            <w:hideMark/>
          </w:tcPr>
          <w:p w14:paraId="63D072B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35 (21.0%)</w:t>
            </w:r>
          </w:p>
        </w:tc>
        <w:tc>
          <w:tcPr>
            <w:tcW w:w="0" w:type="auto"/>
            <w:tcMar>
              <w:top w:w="0" w:type="dxa"/>
              <w:left w:w="0" w:type="dxa"/>
              <w:bottom w:w="0" w:type="dxa"/>
              <w:right w:w="0" w:type="dxa"/>
            </w:tcMar>
            <w:vAlign w:val="center"/>
            <w:hideMark/>
          </w:tcPr>
          <w:p w14:paraId="4ECCCAE3"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153 (16.0%)</w:t>
            </w:r>
          </w:p>
        </w:tc>
      </w:tr>
      <w:tr w:rsidR="00A830A9" w:rsidRPr="00A830A9" w14:paraId="4593874E" w14:textId="77777777" w:rsidTr="00F552A0">
        <w:tc>
          <w:tcPr>
            <w:tcW w:w="0" w:type="auto"/>
            <w:tcMar>
              <w:top w:w="0" w:type="dxa"/>
              <w:left w:w="0" w:type="dxa"/>
              <w:bottom w:w="0" w:type="dxa"/>
              <w:right w:w="0" w:type="dxa"/>
            </w:tcMar>
            <w:vAlign w:val="center"/>
            <w:hideMark/>
          </w:tcPr>
          <w:p w14:paraId="3977FA0C"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Good</w:t>
            </w:r>
          </w:p>
        </w:tc>
        <w:tc>
          <w:tcPr>
            <w:tcW w:w="0" w:type="auto"/>
            <w:tcMar>
              <w:top w:w="0" w:type="dxa"/>
              <w:left w:w="0" w:type="dxa"/>
              <w:bottom w:w="0" w:type="dxa"/>
              <w:right w:w="0" w:type="dxa"/>
            </w:tcMar>
            <w:vAlign w:val="center"/>
            <w:hideMark/>
          </w:tcPr>
          <w:p w14:paraId="4AC0705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249 (31.5%)</w:t>
            </w:r>
          </w:p>
        </w:tc>
        <w:tc>
          <w:tcPr>
            <w:tcW w:w="0" w:type="auto"/>
            <w:tcMar>
              <w:top w:w="0" w:type="dxa"/>
              <w:left w:w="0" w:type="dxa"/>
              <w:bottom w:w="0" w:type="dxa"/>
              <w:right w:w="0" w:type="dxa"/>
            </w:tcMar>
            <w:vAlign w:val="center"/>
            <w:hideMark/>
          </w:tcPr>
          <w:p w14:paraId="53A23BC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53 (31.7%)</w:t>
            </w:r>
          </w:p>
        </w:tc>
        <w:tc>
          <w:tcPr>
            <w:tcW w:w="0" w:type="auto"/>
            <w:tcMar>
              <w:top w:w="0" w:type="dxa"/>
              <w:left w:w="0" w:type="dxa"/>
              <w:bottom w:w="0" w:type="dxa"/>
              <w:right w:w="0" w:type="dxa"/>
            </w:tcMar>
            <w:vAlign w:val="center"/>
            <w:hideMark/>
          </w:tcPr>
          <w:p w14:paraId="11DC256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302 (31.6%)</w:t>
            </w:r>
          </w:p>
        </w:tc>
      </w:tr>
      <w:tr w:rsidR="00A830A9" w:rsidRPr="00A830A9" w14:paraId="4F2223CD" w14:textId="77777777" w:rsidTr="00F552A0">
        <w:tc>
          <w:tcPr>
            <w:tcW w:w="0" w:type="auto"/>
            <w:tcMar>
              <w:top w:w="0" w:type="dxa"/>
              <w:left w:w="0" w:type="dxa"/>
              <w:bottom w:w="0" w:type="dxa"/>
              <w:right w:w="0" w:type="dxa"/>
            </w:tcMar>
            <w:vAlign w:val="center"/>
            <w:hideMark/>
          </w:tcPr>
          <w:p w14:paraId="47BA9F97"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Very good</w:t>
            </w:r>
          </w:p>
        </w:tc>
        <w:tc>
          <w:tcPr>
            <w:tcW w:w="0" w:type="auto"/>
            <w:tcMar>
              <w:top w:w="0" w:type="dxa"/>
              <w:left w:w="0" w:type="dxa"/>
              <w:bottom w:w="0" w:type="dxa"/>
              <w:right w:w="0" w:type="dxa"/>
            </w:tcMar>
            <w:vAlign w:val="center"/>
            <w:hideMark/>
          </w:tcPr>
          <w:p w14:paraId="5D893F0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283 (35.8%)</w:t>
            </w:r>
          </w:p>
        </w:tc>
        <w:tc>
          <w:tcPr>
            <w:tcW w:w="0" w:type="auto"/>
            <w:tcMar>
              <w:top w:w="0" w:type="dxa"/>
              <w:left w:w="0" w:type="dxa"/>
              <w:bottom w:w="0" w:type="dxa"/>
              <w:right w:w="0" w:type="dxa"/>
            </w:tcMar>
            <w:vAlign w:val="center"/>
            <w:hideMark/>
          </w:tcPr>
          <w:p w14:paraId="7544650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48 (28.7%)</w:t>
            </w:r>
          </w:p>
        </w:tc>
        <w:tc>
          <w:tcPr>
            <w:tcW w:w="0" w:type="auto"/>
            <w:tcMar>
              <w:top w:w="0" w:type="dxa"/>
              <w:left w:w="0" w:type="dxa"/>
              <w:bottom w:w="0" w:type="dxa"/>
              <w:right w:w="0" w:type="dxa"/>
            </w:tcMar>
            <w:vAlign w:val="center"/>
            <w:hideMark/>
          </w:tcPr>
          <w:p w14:paraId="5BE3D9A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331 (34.6%)</w:t>
            </w:r>
          </w:p>
        </w:tc>
      </w:tr>
      <w:tr w:rsidR="00A830A9" w:rsidRPr="00A830A9" w14:paraId="7B7F9686" w14:textId="77777777" w:rsidTr="00F552A0">
        <w:tc>
          <w:tcPr>
            <w:tcW w:w="0" w:type="auto"/>
            <w:tcMar>
              <w:top w:w="0" w:type="dxa"/>
              <w:left w:w="0" w:type="dxa"/>
              <w:bottom w:w="0" w:type="dxa"/>
              <w:right w:w="0" w:type="dxa"/>
            </w:tcMar>
            <w:vAlign w:val="center"/>
            <w:hideMark/>
          </w:tcPr>
          <w:p w14:paraId="6BC44F87"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Excellent</w:t>
            </w:r>
          </w:p>
        </w:tc>
        <w:tc>
          <w:tcPr>
            <w:tcW w:w="0" w:type="auto"/>
            <w:tcMar>
              <w:top w:w="0" w:type="dxa"/>
              <w:left w:w="0" w:type="dxa"/>
              <w:bottom w:w="0" w:type="dxa"/>
              <w:right w:w="0" w:type="dxa"/>
            </w:tcMar>
            <w:vAlign w:val="center"/>
            <w:hideMark/>
          </w:tcPr>
          <w:p w14:paraId="652BE90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126 (15.9%)</w:t>
            </w:r>
          </w:p>
        </w:tc>
        <w:tc>
          <w:tcPr>
            <w:tcW w:w="0" w:type="auto"/>
            <w:tcMar>
              <w:top w:w="0" w:type="dxa"/>
              <w:left w:w="0" w:type="dxa"/>
              <w:bottom w:w="0" w:type="dxa"/>
              <w:right w:w="0" w:type="dxa"/>
            </w:tcMar>
            <w:vAlign w:val="center"/>
            <w:hideMark/>
          </w:tcPr>
          <w:p w14:paraId="609681A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25 (15.0%)</w:t>
            </w:r>
          </w:p>
        </w:tc>
        <w:tc>
          <w:tcPr>
            <w:tcW w:w="0" w:type="auto"/>
            <w:tcMar>
              <w:top w:w="0" w:type="dxa"/>
              <w:left w:w="0" w:type="dxa"/>
              <w:bottom w:w="0" w:type="dxa"/>
              <w:right w:w="0" w:type="dxa"/>
            </w:tcMar>
            <w:vAlign w:val="center"/>
            <w:hideMark/>
          </w:tcPr>
          <w:p w14:paraId="08FA0AD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151 (15.8%)</w:t>
            </w:r>
          </w:p>
        </w:tc>
      </w:tr>
      <w:tr w:rsidR="00A830A9" w:rsidRPr="00A830A9" w14:paraId="3CDEF945" w14:textId="77777777" w:rsidTr="00F552A0">
        <w:tc>
          <w:tcPr>
            <w:tcW w:w="0" w:type="auto"/>
            <w:tcMar>
              <w:top w:w="0" w:type="dxa"/>
              <w:left w:w="0" w:type="dxa"/>
              <w:bottom w:w="0" w:type="dxa"/>
              <w:right w:w="0" w:type="dxa"/>
            </w:tcMar>
            <w:vAlign w:val="center"/>
            <w:hideMark/>
          </w:tcPr>
          <w:p w14:paraId="68BE9581"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727A556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 (0.1%)</w:t>
            </w:r>
          </w:p>
        </w:tc>
        <w:tc>
          <w:tcPr>
            <w:tcW w:w="0" w:type="auto"/>
            <w:tcMar>
              <w:top w:w="0" w:type="dxa"/>
              <w:left w:w="0" w:type="dxa"/>
              <w:bottom w:w="0" w:type="dxa"/>
              <w:right w:w="0" w:type="dxa"/>
            </w:tcMar>
            <w:vAlign w:val="center"/>
            <w:hideMark/>
          </w:tcPr>
          <w:p w14:paraId="5A2AF43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 (1.2%)</w:t>
            </w:r>
          </w:p>
        </w:tc>
        <w:tc>
          <w:tcPr>
            <w:tcW w:w="0" w:type="auto"/>
            <w:tcMar>
              <w:top w:w="0" w:type="dxa"/>
              <w:left w:w="0" w:type="dxa"/>
              <w:bottom w:w="0" w:type="dxa"/>
              <w:right w:w="0" w:type="dxa"/>
            </w:tcMar>
            <w:vAlign w:val="center"/>
            <w:hideMark/>
          </w:tcPr>
          <w:p w14:paraId="3CE8750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 (0.3%)</w:t>
            </w:r>
          </w:p>
        </w:tc>
      </w:tr>
      <w:tr w:rsidR="00A830A9" w:rsidRPr="00A830A9" w14:paraId="53887D92" w14:textId="77777777" w:rsidTr="00F552A0">
        <w:tc>
          <w:tcPr>
            <w:tcW w:w="0" w:type="auto"/>
            <w:tcMar>
              <w:top w:w="0" w:type="dxa"/>
              <w:left w:w="0" w:type="dxa"/>
              <w:bottom w:w="0" w:type="dxa"/>
              <w:right w:w="0" w:type="dxa"/>
            </w:tcMar>
            <w:vAlign w:val="center"/>
            <w:hideMark/>
          </w:tcPr>
          <w:p w14:paraId="510D907A"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Retired</w:t>
            </w:r>
          </w:p>
        </w:tc>
        <w:tc>
          <w:tcPr>
            <w:tcW w:w="0" w:type="auto"/>
            <w:tcMar>
              <w:top w:w="0" w:type="dxa"/>
              <w:left w:w="0" w:type="dxa"/>
              <w:bottom w:w="0" w:type="dxa"/>
              <w:right w:w="0" w:type="dxa"/>
            </w:tcMar>
            <w:vAlign w:val="center"/>
            <w:hideMark/>
          </w:tcPr>
          <w:p w14:paraId="106C6BF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2A75CB4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04051F2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03B3A712" w14:textId="77777777" w:rsidTr="00F552A0">
        <w:tc>
          <w:tcPr>
            <w:tcW w:w="0" w:type="auto"/>
            <w:tcMar>
              <w:top w:w="0" w:type="dxa"/>
              <w:left w:w="0" w:type="dxa"/>
              <w:bottom w:w="0" w:type="dxa"/>
              <w:right w:w="0" w:type="dxa"/>
            </w:tcMar>
            <w:vAlign w:val="center"/>
            <w:hideMark/>
          </w:tcPr>
          <w:p w14:paraId="36462D8B"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Yes</w:t>
            </w:r>
          </w:p>
        </w:tc>
        <w:tc>
          <w:tcPr>
            <w:tcW w:w="0" w:type="auto"/>
            <w:tcMar>
              <w:top w:w="0" w:type="dxa"/>
              <w:left w:w="0" w:type="dxa"/>
              <w:bottom w:w="0" w:type="dxa"/>
              <w:right w:w="0" w:type="dxa"/>
            </w:tcMar>
            <w:vAlign w:val="center"/>
            <w:hideMark/>
          </w:tcPr>
          <w:p w14:paraId="3D4E0FB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612 (77.5%)</w:t>
            </w:r>
          </w:p>
        </w:tc>
        <w:tc>
          <w:tcPr>
            <w:tcW w:w="0" w:type="auto"/>
            <w:tcMar>
              <w:top w:w="0" w:type="dxa"/>
              <w:left w:w="0" w:type="dxa"/>
              <w:bottom w:w="0" w:type="dxa"/>
              <w:right w:w="0" w:type="dxa"/>
            </w:tcMar>
            <w:vAlign w:val="center"/>
            <w:hideMark/>
          </w:tcPr>
          <w:p w14:paraId="76BE316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126 (75.4%)</w:t>
            </w:r>
          </w:p>
        </w:tc>
        <w:tc>
          <w:tcPr>
            <w:tcW w:w="0" w:type="auto"/>
            <w:tcMar>
              <w:top w:w="0" w:type="dxa"/>
              <w:left w:w="0" w:type="dxa"/>
              <w:bottom w:w="0" w:type="dxa"/>
              <w:right w:w="0" w:type="dxa"/>
            </w:tcMar>
            <w:vAlign w:val="center"/>
            <w:hideMark/>
          </w:tcPr>
          <w:p w14:paraId="797B212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738 (77.1%)</w:t>
            </w:r>
          </w:p>
        </w:tc>
      </w:tr>
      <w:tr w:rsidR="00A830A9" w:rsidRPr="00A830A9" w14:paraId="40DF9525" w14:textId="77777777" w:rsidTr="00F552A0">
        <w:tc>
          <w:tcPr>
            <w:tcW w:w="0" w:type="auto"/>
            <w:tcMar>
              <w:top w:w="0" w:type="dxa"/>
              <w:left w:w="0" w:type="dxa"/>
              <w:bottom w:w="0" w:type="dxa"/>
              <w:right w:w="0" w:type="dxa"/>
            </w:tcMar>
            <w:vAlign w:val="center"/>
            <w:hideMark/>
          </w:tcPr>
          <w:p w14:paraId="1E1CFF2F"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No</w:t>
            </w:r>
          </w:p>
        </w:tc>
        <w:tc>
          <w:tcPr>
            <w:tcW w:w="0" w:type="auto"/>
            <w:tcMar>
              <w:top w:w="0" w:type="dxa"/>
              <w:left w:w="0" w:type="dxa"/>
              <w:bottom w:w="0" w:type="dxa"/>
              <w:right w:w="0" w:type="dxa"/>
            </w:tcMar>
            <w:vAlign w:val="center"/>
            <w:hideMark/>
          </w:tcPr>
          <w:p w14:paraId="597676E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174 (22.0%)</w:t>
            </w:r>
          </w:p>
        </w:tc>
        <w:tc>
          <w:tcPr>
            <w:tcW w:w="0" w:type="auto"/>
            <w:tcMar>
              <w:top w:w="0" w:type="dxa"/>
              <w:left w:w="0" w:type="dxa"/>
              <w:bottom w:w="0" w:type="dxa"/>
              <w:right w:w="0" w:type="dxa"/>
            </w:tcMar>
            <w:vAlign w:val="center"/>
            <w:hideMark/>
          </w:tcPr>
          <w:p w14:paraId="30BC6B0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41 (24.6%)</w:t>
            </w:r>
          </w:p>
        </w:tc>
        <w:tc>
          <w:tcPr>
            <w:tcW w:w="0" w:type="auto"/>
            <w:tcMar>
              <w:top w:w="0" w:type="dxa"/>
              <w:left w:w="0" w:type="dxa"/>
              <w:bottom w:w="0" w:type="dxa"/>
              <w:right w:w="0" w:type="dxa"/>
            </w:tcMar>
            <w:vAlign w:val="center"/>
            <w:hideMark/>
          </w:tcPr>
          <w:p w14:paraId="4763206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215 (22.5%)</w:t>
            </w:r>
          </w:p>
        </w:tc>
      </w:tr>
      <w:tr w:rsidR="00A830A9" w:rsidRPr="00A830A9" w14:paraId="303DEA7C" w14:textId="77777777" w:rsidTr="00F552A0">
        <w:tc>
          <w:tcPr>
            <w:tcW w:w="0" w:type="auto"/>
            <w:tcMar>
              <w:top w:w="0" w:type="dxa"/>
              <w:left w:w="0" w:type="dxa"/>
              <w:bottom w:w="0" w:type="dxa"/>
              <w:right w:w="0" w:type="dxa"/>
            </w:tcMar>
            <w:vAlign w:val="center"/>
            <w:hideMark/>
          </w:tcPr>
          <w:p w14:paraId="5C6971F9"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54464CE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 (0.5%)</w:t>
            </w:r>
          </w:p>
        </w:tc>
        <w:tc>
          <w:tcPr>
            <w:tcW w:w="0" w:type="auto"/>
            <w:tcMar>
              <w:top w:w="0" w:type="dxa"/>
              <w:left w:w="0" w:type="dxa"/>
              <w:bottom w:w="0" w:type="dxa"/>
              <w:right w:w="0" w:type="dxa"/>
            </w:tcMar>
            <w:vAlign w:val="center"/>
            <w:hideMark/>
          </w:tcPr>
          <w:p w14:paraId="28000B0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0 (0%)</w:t>
            </w:r>
          </w:p>
        </w:tc>
        <w:tc>
          <w:tcPr>
            <w:tcW w:w="0" w:type="auto"/>
            <w:tcMar>
              <w:top w:w="0" w:type="dxa"/>
              <w:left w:w="0" w:type="dxa"/>
              <w:bottom w:w="0" w:type="dxa"/>
              <w:right w:w="0" w:type="dxa"/>
            </w:tcMar>
            <w:vAlign w:val="center"/>
            <w:hideMark/>
          </w:tcPr>
          <w:p w14:paraId="24B4340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 (0.4%)</w:t>
            </w:r>
          </w:p>
        </w:tc>
      </w:tr>
      <w:tr w:rsidR="00A830A9" w:rsidRPr="00A830A9" w14:paraId="02CA3100" w14:textId="77777777" w:rsidTr="00F552A0">
        <w:tc>
          <w:tcPr>
            <w:tcW w:w="0" w:type="auto"/>
            <w:tcMar>
              <w:top w:w="0" w:type="dxa"/>
              <w:left w:w="0" w:type="dxa"/>
              <w:bottom w:w="0" w:type="dxa"/>
              <w:right w:w="0" w:type="dxa"/>
            </w:tcMar>
            <w:vAlign w:val="center"/>
            <w:hideMark/>
          </w:tcPr>
          <w:p w14:paraId="52595204"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Housing type</w:t>
            </w:r>
          </w:p>
        </w:tc>
        <w:tc>
          <w:tcPr>
            <w:tcW w:w="0" w:type="auto"/>
            <w:tcMar>
              <w:top w:w="0" w:type="dxa"/>
              <w:left w:w="0" w:type="dxa"/>
              <w:bottom w:w="0" w:type="dxa"/>
              <w:right w:w="0" w:type="dxa"/>
            </w:tcMar>
            <w:vAlign w:val="center"/>
            <w:hideMark/>
          </w:tcPr>
          <w:p w14:paraId="47AC3B6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35705B2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3265B47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16862415" w14:textId="77777777" w:rsidTr="00F552A0">
        <w:tc>
          <w:tcPr>
            <w:tcW w:w="0" w:type="auto"/>
            <w:tcMar>
              <w:top w:w="0" w:type="dxa"/>
              <w:left w:w="0" w:type="dxa"/>
              <w:bottom w:w="0" w:type="dxa"/>
              <w:right w:w="0" w:type="dxa"/>
            </w:tcMar>
            <w:vAlign w:val="center"/>
            <w:hideMark/>
          </w:tcPr>
          <w:p w14:paraId="21C67DB5"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Apartment/Condo</w:t>
            </w:r>
          </w:p>
        </w:tc>
        <w:tc>
          <w:tcPr>
            <w:tcW w:w="0" w:type="auto"/>
            <w:tcMar>
              <w:top w:w="0" w:type="dxa"/>
              <w:left w:w="0" w:type="dxa"/>
              <w:bottom w:w="0" w:type="dxa"/>
              <w:right w:w="0" w:type="dxa"/>
            </w:tcMar>
            <w:vAlign w:val="center"/>
            <w:hideMark/>
          </w:tcPr>
          <w:p w14:paraId="56D13EC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449 (56.8%)</w:t>
            </w:r>
          </w:p>
        </w:tc>
        <w:tc>
          <w:tcPr>
            <w:tcW w:w="0" w:type="auto"/>
            <w:tcMar>
              <w:top w:w="0" w:type="dxa"/>
              <w:left w:w="0" w:type="dxa"/>
              <w:bottom w:w="0" w:type="dxa"/>
              <w:right w:w="0" w:type="dxa"/>
            </w:tcMar>
            <w:vAlign w:val="center"/>
            <w:hideMark/>
          </w:tcPr>
          <w:p w14:paraId="346247B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154 (92.2%)</w:t>
            </w:r>
          </w:p>
        </w:tc>
        <w:tc>
          <w:tcPr>
            <w:tcW w:w="0" w:type="auto"/>
            <w:tcMar>
              <w:top w:w="0" w:type="dxa"/>
              <w:left w:w="0" w:type="dxa"/>
              <w:bottom w:w="0" w:type="dxa"/>
              <w:right w:w="0" w:type="dxa"/>
            </w:tcMar>
            <w:vAlign w:val="center"/>
            <w:hideMark/>
          </w:tcPr>
          <w:p w14:paraId="3965EEC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603 (63.0%)</w:t>
            </w:r>
          </w:p>
        </w:tc>
      </w:tr>
      <w:tr w:rsidR="00A830A9" w:rsidRPr="00A830A9" w14:paraId="6819520C" w14:textId="77777777" w:rsidTr="00F552A0">
        <w:tc>
          <w:tcPr>
            <w:tcW w:w="0" w:type="auto"/>
            <w:tcMar>
              <w:top w:w="0" w:type="dxa"/>
              <w:left w:w="0" w:type="dxa"/>
              <w:bottom w:w="0" w:type="dxa"/>
              <w:right w:w="0" w:type="dxa"/>
            </w:tcMar>
            <w:vAlign w:val="center"/>
            <w:hideMark/>
          </w:tcPr>
          <w:p w14:paraId="332300A9"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House</w:t>
            </w:r>
          </w:p>
        </w:tc>
        <w:tc>
          <w:tcPr>
            <w:tcW w:w="0" w:type="auto"/>
            <w:tcMar>
              <w:top w:w="0" w:type="dxa"/>
              <w:left w:w="0" w:type="dxa"/>
              <w:bottom w:w="0" w:type="dxa"/>
              <w:right w:w="0" w:type="dxa"/>
            </w:tcMar>
            <w:vAlign w:val="center"/>
            <w:hideMark/>
          </w:tcPr>
          <w:p w14:paraId="60DD34B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341 (43.2%)</w:t>
            </w:r>
          </w:p>
        </w:tc>
        <w:tc>
          <w:tcPr>
            <w:tcW w:w="0" w:type="auto"/>
            <w:tcMar>
              <w:top w:w="0" w:type="dxa"/>
              <w:left w:w="0" w:type="dxa"/>
              <w:bottom w:w="0" w:type="dxa"/>
              <w:right w:w="0" w:type="dxa"/>
            </w:tcMar>
            <w:vAlign w:val="center"/>
            <w:hideMark/>
          </w:tcPr>
          <w:p w14:paraId="213C9B8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13 (7.8%)</w:t>
            </w:r>
          </w:p>
        </w:tc>
        <w:tc>
          <w:tcPr>
            <w:tcW w:w="0" w:type="auto"/>
            <w:tcMar>
              <w:top w:w="0" w:type="dxa"/>
              <w:left w:w="0" w:type="dxa"/>
              <w:bottom w:w="0" w:type="dxa"/>
              <w:right w:w="0" w:type="dxa"/>
            </w:tcMar>
            <w:vAlign w:val="center"/>
            <w:hideMark/>
          </w:tcPr>
          <w:p w14:paraId="2D27BA0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354 (37.0%)</w:t>
            </w:r>
          </w:p>
        </w:tc>
      </w:tr>
      <w:tr w:rsidR="00A830A9" w:rsidRPr="00A830A9" w14:paraId="79749AF0" w14:textId="77777777" w:rsidTr="00F552A0">
        <w:tc>
          <w:tcPr>
            <w:tcW w:w="0" w:type="auto"/>
            <w:tcMar>
              <w:top w:w="0" w:type="dxa"/>
              <w:left w:w="0" w:type="dxa"/>
              <w:bottom w:w="0" w:type="dxa"/>
              <w:right w:w="0" w:type="dxa"/>
            </w:tcMar>
            <w:vAlign w:val="center"/>
            <w:hideMark/>
          </w:tcPr>
          <w:p w14:paraId="2E6D8195"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Housing location</w:t>
            </w:r>
          </w:p>
        </w:tc>
        <w:tc>
          <w:tcPr>
            <w:tcW w:w="0" w:type="auto"/>
            <w:tcMar>
              <w:top w:w="0" w:type="dxa"/>
              <w:left w:w="0" w:type="dxa"/>
              <w:bottom w:w="0" w:type="dxa"/>
              <w:right w:w="0" w:type="dxa"/>
            </w:tcMar>
            <w:vAlign w:val="center"/>
            <w:hideMark/>
          </w:tcPr>
          <w:p w14:paraId="3A11083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3A74428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1929F3A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2D675448" w14:textId="77777777" w:rsidTr="00F552A0">
        <w:tc>
          <w:tcPr>
            <w:tcW w:w="0" w:type="auto"/>
            <w:tcMar>
              <w:top w:w="0" w:type="dxa"/>
              <w:left w:w="0" w:type="dxa"/>
              <w:bottom w:w="0" w:type="dxa"/>
              <w:right w:w="0" w:type="dxa"/>
            </w:tcMar>
            <w:vAlign w:val="center"/>
            <w:hideMark/>
          </w:tcPr>
          <w:p w14:paraId="0968EA84"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City/town</w:t>
            </w:r>
          </w:p>
        </w:tc>
        <w:tc>
          <w:tcPr>
            <w:tcW w:w="0" w:type="auto"/>
            <w:tcMar>
              <w:top w:w="0" w:type="dxa"/>
              <w:left w:w="0" w:type="dxa"/>
              <w:bottom w:w="0" w:type="dxa"/>
              <w:right w:w="0" w:type="dxa"/>
            </w:tcMar>
            <w:vAlign w:val="center"/>
            <w:hideMark/>
          </w:tcPr>
          <w:p w14:paraId="18F9913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478 (60.5%)</w:t>
            </w:r>
          </w:p>
        </w:tc>
        <w:tc>
          <w:tcPr>
            <w:tcW w:w="0" w:type="auto"/>
            <w:tcMar>
              <w:top w:w="0" w:type="dxa"/>
              <w:left w:w="0" w:type="dxa"/>
              <w:bottom w:w="0" w:type="dxa"/>
              <w:right w:w="0" w:type="dxa"/>
            </w:tcMar>
            <w:vAlign w:val="center"/>
            <w:hideMark/>
          </w:tcPr>
          <w:p w14:paraId="3944947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117 (70.1%)</w:t>
            </w:r>
          </w:p>
        </w:tc>
        <w:tc>
          <w:tcPr>
            <w:tcW w:w="0" w:type="auto"/>
            <w:tcMar>
              <w:top w:w="0" w:type="dxa"/>
              <w:left w:w="0" w:type="dxa"/>
              <w:bottom w:w="0" w:type="dxa"/>
              <w:right w:w="0" w:type="dxa"/>
            </w:tcMar>
            <w:vAlign w:val="center"/>
            <w:hideMark/>
          </w:tcPr>
          <w:p w14:paraId="1701716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595 (62.2%)</w:t>
            </w:r>
          </w:p>
        </w:tc>
      </w:tr>
      <w:tr w:rsidR="00A830A9" w:rsidRPr="00A830A9" w14:paraId="0E5F4504" w14:textId="77777777" w:rsidTr="00F552A0">
        <w:tc>
          <w:tcPr>
            <w:tcW w:w="0" w:type="auto"/>
            <w:tcMar>
              <w:top w:w="0" w:type="dxa"/>
              <w:left w:w="0" w:type="dxa"/>
              <w:bottom w:w="0" w:type="dxa"/>
              <w:right w:w="0" w:type="dxa"/>
            </w:tcMar>
            <w:vAlign w:val="center"/>
            <w:hideMark/>
          </w:tcPr>
          <w:p w14:paraId="701910EA"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Urban/countryside</w:t>
            </w:r>
          </w:p>
        </w:tc>
        <w:tc>
          <w:tcPr>
            <w:tcW w:w="0" w:type="auto"/>
            <w:tcMar>
              <w:top w:w="0" w:type="dxa"/>
              <w:left w:w="0" w:type="dxa"/>
              <w:bottom w:w="0" w:type="dxa"/>
              <w:right w:w="0" w:type="dxa"/>
            </w:tcMar>
            <w:vAlign w:val="center"/>
            <w:hideMark/>
          </w:tcPr>
          <w:p w14:paraId="0CAADB2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221 (28.0%)</w:t>
            </w:r>
          </w:p>
        </w:tc>
        <w:tc>
          <w:tcPr>
            <w:tcW w:w="0" w:type="auto"/>
            <w:tcMar>
              <w:top w:w="0" w:type="dxa"/>
              <w:left w:w="0" w:type="dxa"/>
              <w:bottom w:w="0" w:type="dxa"/>
              <w:right w:w="0" w:type="dxa"/>
            </w:tcMar>
            <w:vAlign w:val="center"/>
            <w:hideMark/>
          </w:tcPr>
          <w:p w14:paraId="11A5D0E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41 (24.6%)</w:t>
            </w:r>
          </w:p>
        </w:tc>
        <w:tc>
          <w:tcPr>
            <w:tcW w:w="0" w:type="auto"/>
            <w:tcMar>
              <w:top w:w="0" w:type="dxa"/>
              <w:left w:w="0" w:type="dxa"/>
              <w:bottom w:w="0" w:type="dxa"/>
              <w:right w:w="0" w:type="dxa"/>
            </w:tcMar>
            <w:vAlign w:val="center"/>
            <w:hideMark/>
          </w:tcPr>
          <w:p w14:paraId="214C7CD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262 (27.4%)</w:t>
            </w:r>
          </w:p>
        </w:tc>
      </w:tr>
      <w:tr w:rsidR="00A830A9" w:rsidRPr="00A830A9" w14:paraId="384F1C80" w14:textId="77777777" w:rsidTr="00F552A0">
        <w:tc>
          <w:tcPr>
            <w:tcW w:w="0" w:type="auto"/>
            <w:tcMar>
              <w:top w:w="0" w:type="dxa"/>
              <w:left w:w="0" w:type="dxa"/>
              <w:bottom w:w="0" w:type="dxa"/>
              <w:right w:w="0" w:type="dxa"/>
            </w:tcMar>
            <w:vAlign w:val="center"/>
            <w:hideMark/>
          </w:tcPr>
          <w:p w14:paraId="77E7614C"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028C9F5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91 (11.5%)</w:t>
            </w:r>
          </w:p>
        </w:tc>
        <w:tc>
          <w:tcPr>
            <w:tcW w:w="0" w:type="auto"/>
            <w:tcMar>
              <w:top w:w="0" w:type="dxa"/>
              <w:left w:w="0" w:type="dxa"/>
              <w:bottom w:w="0" w:type="dxa"/>
              <w:right w:w="0" w:type="dxa"/>
            </w:tcMar>
            <w:vAlign w:val="center"/>
            <w:hideMark/>
          </w:tcPr>
          <w:p w14:paraId="67C89FE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9 (5.4%)</w:t>
            </w:r>
          </w:p>
        </w:tc>
        <w:tc>
          <w:tcPr>
            <w:tcW w:w="0" w:type="auto"/>
            <w:tcMar>
              <w:top w:w="0" w:type="dxa"/>
              <w:left w:w="0" w:type="dxa"/>
              <w:bottom w:w="0" w:type="dxa"/>
              <w:right w:w="0" w:type="dxa"/>
            </w:tcMar>
            <w:vAlign w:val="center"/>
            <w:hideMark/>
          </w:tcPr>
          <w:p w14:paraId="16AAFA4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100 (10.4%)</w:t>
            </w:r>
          </w:p>
        </w:tc>
      </w:tr>
      <w:tr w:rsidR="00A830A9" w:rsidRPr="00A830A9" w14:paraId="7EEB5C7A" w14:textId="77777777" w:rsidTr="00F552A0">
        <w:tc>
          <w:tcPr>
            <w:tcW w:w="0" w:type="auto"/>
            <w:tcMar>
              <w:top w:w="0" w:type="dxa"/>
              <w:left w:w="0" w:type="dxa"/>
              <w:bottom w:w="0" w:type="dxa"/>
              <w:right w:w="0" w:type="dxa"/>
            </w:tcMar>
            <w:vAlign w:val="center"/>
            <w:hideMark/>
          </w:tcPr>
          <w:p w14:paraId="4E053DA1"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Number in household</w:t>
            </w:r>
          </w:p>
        </w:tc>
        <w:tc>
          <w:tcPr>
            <w:tcW w:w="0" w:type="auto"/>
            <w:tcMar>
              <w:top w:w="0" w:type="dxa"/>
              <w:left w:w="0" w:type="dxa"/>
              <w:bottom w:w="0" w:type="dxa"/>
              <w:right w:w="0" w:type="dxa"/>
            </w:tcMar>
            <w:vAlign w:val="center"/>
            <w:hideMark/>
          </w:tcPr>
          <w:p w14:paraId="3A1A2F3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19932AA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3DD7127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22C93684" w14:textId="77777777" w:rsidTr="00F552A0">
        <w:tc>
          <w:tcPr>
            <w:tcW w:w="0" w:type="auto"/>
            <w:tcMar>
              <w:top w:w="0" w:type="dxa"/>
              <w:left w:w="0" w:type="dxa"/>
              <w:bottom w:w="0" w:type="dxa"/>
              <w:right w:w="0" w:type="dxa"/>
            </w:tcMar>
            <w:vAlign w:val="center"/>
            <w:hideMark/>
          </w:tcPr>
          <w:p w14:paraId="2647B5F3"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1</w:t>
            </w:r>
          </w:p>
        </w:tc>
        <w:tc>
          <w:tcPr>
            <w:tcW w:w="0" w:type="auto"/>
            <w:tcMar>
              <w:top w:w="0" w:type="dxa"/>
              <w:left w:w="0" w:type="dxa"/>
              <w:bottom w:w="0" w:type="dxa"/>
              <w:right w:w="0" w:type="dxa"/>
            </w:tcMar>
            <w:vAlign w:val="center"/>
            <w:hideMark/>
          </w:tcPr>
          <w:p w14:paraId="281BE80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240 (30.4%)</w:t>
            </w:r>
          </w:p>
        </w:tc>
        <w:tc>
          <w:tcPr>
            <w:tcW w:w="0" w:type="auto"/>
            <w:tcMar>
              <w:top w:w="0" w:type="dxa"/>
              <w:left w:w="0" w:type="dxa"/>
              <w:bottom w:w="0" w:type="dxa"/>
              <w:right w:w="0" w:type="dxa"/>
            </w:tcMar>
            <w:vAlign w:val="center"/>
            <w:hideMark/>
          </w:tcPr>
          <w:p w14:paraId="51A1D3B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81 (48.5%)</w:t>
            </w:r>
          </w:p>
        </w:tc>
        <w:tc>
          <w:tcPr>
            <w:tcW w:w="0" w:type="auto"/>
            <w:tcMar>
              <w:top w:w="0" w:type="dxa"/>
              <w:left w:w="0" w:type="dxa"/>
              <w:bottom w:w="0" w:type="dxa"/>
              <w:right w:w="0" w:type="dxa"/>
            </w:tcMar>
            <w:vAlign w:val="center"/>
            <w:hideMark/>
          </w:tcPr>
          <w:p w14:paraId="484539D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321 (33.5%)</w:t>
            </w:r>
          </w:p>
        </w:tc>
      </w:tr>
      <w:tr w:rsidR="00A830A9" w:rsidRPr="00A830A9" w14:paraId="489FE29B" w14:textId="77777777" w:rsidTr="00F552A0">
        <w:tc>
          <w:tcPr>
            <w:tcW w:w="0" w:type="auto"/>
            <w:tcMar>
              <w:top w:w="0" w:type="dxa"/>
              <w:left w:w="0" w:type="dxa"/>
              <w:bottom w:w="0" w:type="dxa"/>
              <w:right w:w="0" w:type="dxa"/>
            </w:tcMar>
            <w:vAlign w:val="center"/>
            <w:hideMark/>
          </w:tcPr>
          <w:p w14:paraId="1C3D2306"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2</w:t>
            </w:r>
          </w:p>
        </w:tc>
        <w:tc>
          <w:tcPr>
            <w:tcW w:w="0" w:type="auto"/>
            <w:tcMar>
              <w:top w:w="0" w:type="dxa"/>
              <w:left w:w="0" w:type="dxa"/>
              <w:bottom w:w="0" w:type="dxa"/>
              <w:right w:w="0" w:type="dxa"/>
            </w:tcMar>
            <w:vAlign w:val="center"/>
            <w:hideMark/>
          </w:tcPr>
          <w:p w14:paraId="7075521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509 (64.4%)</w:t>
            </w:r>
          </w:p>
        </w:tc>
        <w:tc>
          <w:tcPr>
            <w:tcW w:w="0" w:type="auto"/>
            <w:tcMar>
              <w:top w:w="0" w:type="dxa"/>
              <w:left w:w="0" w:type="dxa"/>
              <w:bottom w:w="0" w:type="dxa"/>
              <w:right w:w="0" w:type="dxa"/>
            </w:tcMar>
            <w:vAlign w:val="center"/>
            <w:hideMark/>
          </w:tcPr>
          <w:p w14:paraId="5FDAAC3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81 (48.5%)</w:t>
            </w:r>
          </w:p>
        </w:tc>
        <w:tc>
          <w:tcPr>
            <w:tcW w:w="0" w:type="auto"/>
            <w:tcMar>
              <w:top w:w="0" w:type="dxa"/>
              <w:left w:w="0" w:type="dxa"/>
              <w:bottom w:w="0" w:type="dxa"/>
              <w:right w:w="0" w:type="dxa"/>
            </w:tcMar>
            <w:vAlign w:val="center"/>
            <w:hideMark/>
          </w:tcPr>
          <w:p w14:paraId="630EC4C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590 (61.7%)</w:t>
            </w:r>
          </w:p>
        </w:tc>
      </w:tr>
      <w:tr w:rsidR="00A830A9" w:rsidRPr="00A830A9" w14:paraId="5044EC44" w14:textId="77777777" w:rsidTr="00F552A0">
        <w:tc>
          <w:tcPr>
            <w:tcW w:w="0" w:type="auto"/>
            <w:tcMar>
              <w:top w:w="0" w:type="dxa"/>
              <w:left w:w="0" w:type="dxa"/>
              <w:bottom w:w="0" w:type="dxa"/>
              <w:right w:w="0" w:type="dxa"/>
            </w:tcMar>
            <w:vAlign w:val="center"/>
            <w:hideMark/>
          </w:tcPr>
          <w:p w14:paraId="38C525C2"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3 or more</w:t>
            </w:r>
          </w:p>
        </w:tc>
        <w:tc>
          <w:tcPr>
            <w:tcW w:w="0" w:type="auto"/>
            <w:tcMar>
              <w:top w:w="0" w:type="dxa"/>
              <w:left w:w="0" w:type="dxa"/>
              <w:bottom w:w="0" w:type="dxa"/>
              <w:right w:w="0" w:type="dxa"/>
            </w:tcMar>
            <w:vAlign w:val="center"/>
            <w:hideMark/>
          </w:tcPr>
          <w:p w14:paraId="7E4647F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34 (4.3%)</w:t>
            </w:r>
          </w:p>
        </w:tc>
        <w:tc>
          <w:tcPr>
            <w:tcW w:w="0" w:type="auto"/>
            <w:tcMar>
              <w:top w:w="0" w:type="dxa"/>
              <w:left w:w="0" w:type="dxa"/>
              <w:bottom w:w="0" w:type="dxa"/>
              <w:right w:w="0" w:type="dxa"/>
            </w:tcMar>
            <w:vAlign w:val="center"/>
            <w:hideMark/>
          </w:tcPr>
          <w:p w14:paraId="694382F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 (1.2%)</w:t>
            </w:r>
          </w:p>
        </w:tc>
        <w:tc>
          <w:tcPr>
            <w:tcW w:w="0" w:type="auto"/>
            <w:tcMar>
              <w:top w:w="0" w:type="dxa"/>
              <w:left w:w="0" w:type="dxa"/>
              <w:bottom w:w="0" w:type="dxa"/>
              <w:right w:w="0" w:type="dxa"/>
            </w:tcMar>
            <w:vAlign w:val="center"/>
            <w:hideMark/>
          </w:tcPr>
          <w:p w14:paraId="5E03BBB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36 (3.8%)</w:t>
            </w:r>
          </w:p>
        </w:tc>
      </w:tr>
      <w:tr w:rsidR="00A830A9" w:rsidRPr="00A830A9" w14:paraId="2F668BEC" w14:textId="77777777" w:rsidTr="00F552A0">
        <w:tc>
          <w:tcPr>
            <w:tcW w:w="0" w:type="auto"/>
            <w:tcMar>
              <w:top w:w="0" w:type="dxa"/>
              <w:left w:w="0" w:type="dxa"/>
              <w:bottom w:w="0" w:type="dxa"/>
              <w:right w:w="0" w:type="dxa"/>
            </w:tcMar>
            <w:vAlign w:val="center"/>
            <w:hideMark/>
          </w:tcPr>
          <w:p w14:paraId="7F28BA8D"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5889A8D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7 (0.9%)</w:t>
            </w:r>
          </w:p>
        </w:tc>
        <w:tc>
          <w:tcPr>
            <w:tcW w:w="0" w:type="auto"/>
            <w:tcMar>
              <w:top w:w="0" w:type="dxa"/>
              <w:left w:w="0" w:type="dxa"/>
              <w:bottom w:w="0" w:type="dxa"/>
              <w:right w:w="0" w:type="dxa"/>
            </w:tcMar>
            <w:vAlign w:val="center"/>
            <w:hideMark/>
          </w:tcPr>
          <w:p w14:paraId="341FE0A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 (1.8%)</w:t>
            </w:r>
          </w:p>
        </w:tc>
        <w:tc>
          <w:tcPr>
            <w:tcW w:w="0" w:type="auto"/>
            <w:tcMar>
              <w:top w:w="0" w:type="dxa"/>
              <w:left w:w="0" w:type="dxa"/>
              <w:bottom w:w="0" w:type="dxa"/>
              <w:right w:w="0" w:type="dxa"/>
            </w:tcMar>
            <w:vAlign w:val="center"/>
            <w:hideMark/>
          </w:tcPr>
          <w:p w14:paraId="45FA539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 (1.0%)</w:t>
            </w:r>
          </w:p>
        </w:tc>
      </w:tr>
      <w:tr w:rsidR="00A830A9" w:rsidRPr="00A830A9" w14:paraId="0AE25C55" w14:textId="77777777" w:rsidTr="00F552A0">
        <w:tc>
          <w:tcPr>
            <w:tcW w:w="0" w:type="auto"/>
            <w:tcMar>
              <w:top w:w="0" w:type="dxa"/>
              <w:left w:w="0" w:type="dxa"/>
              <w:bottom w:w="0" w:type="dxa"/>
              <w:right w:w="0" w:type="dxa"/>
            </w:tcMar>
            <w:vAlign w:val="center"/>
            <w:hideMark/>
          </w:tcPr>
          <w:p w14:paraId="0C12A711"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Monthly household income (SEK)</w:t>
            </w:r>
          </w:p>
        </w:tc>
        <w:tc>
          <w:tcPr>
            <w:tcW w:w="0" w:type="auto"/>
            <w:tcMar>
              <w:top w:w="0" w:type="dxa"/>
              <w:left w:w="0" w:type="dxa"/>
              <w:bottom w:w="0" w:type="dxa"/>
              <w:right w:w="0" w:type="dxa"/>
            </w:tcMar>
            <w:vAlign w:val="center"/>
            <w:hideMark/>
          </w:tcPr>
          <w:p w14:paraId="429FF1D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0D0DCDE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65A1CA7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327F6C0B" w14:textId="77777777" w:rsidTr="00F552A0">
        <w:tc>
          <w:tcPr>
            <w:tcW w:w="0" w:type="auto"/>
            <w:tcMar>
              <w:top w:w="0" w:type="dxa"/>
              <w:left w:w="0" w:type="dxa"/>
              <w:bottom w:w="0" w:type="dxa"/>
              <w:right w:w="0" w:type="dxa"/>
            </w:tcMar>
            <w:vAlign w:val="center"/>
            <w:hideMark/>
          </w:tcPr>
          <w:p w14:paraId="28FCD577"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Mean (SD)</w:t>
            </w:r>
          </w:p>
        </w:tc>
        <w:tc>
          <w:tcPr>
            <w:tcW w:w="0" w:type="auto"/>
            <w:tcMar>
              <w:top w:w="0" w:type="dxa"/>
              <w:left w:w="0" w:type="dxa"/>
              <w:bottom w:w="0" w:type="dxa"/>
              <w:right w:w="0" w:type="dxa"/>
            </w:tcMar>
            <w:vAlign w:val="center"/>
            <w:hideMark/>
          </w:tcPr>
          <w:p w14:paraId="0695ECA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55000 (32000)</w:t>
            </w:r>
          </w:p>
        </w:tc>
        <w:tc>
          <w:tcPr>
            <w:tcW w:w="0" w:type="auto"/>
            <w:tcMar>
              <w:top w:w="0" w:type="dxa"/>
              <w:left w:w="0" w:type="dxa"/>
              <w:bottom w:w="0" w:type="dxa"/>
              <w:right w:w="0" w:type="dxa"/>
            </w:tcMar>
            <w:vAlign w:val="center"/>
            <w:hideMark/>
          </w:tcPr>
          <w:p w14:paraId="40A3B16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42000 (26000)</w:t>
            </w:r>
          </w:p>
        </w:tc>
        <w:tc>
          <w:tcPr>
            <w:tcW w:w="0" w:type="auto"/>
            <w:tcMar>
              <w:top w:w="0" w:type="dxa"/>
              <w:left w:w="0" w:type="dxa"/>
              <w:bottom w:w="0" w:type="dxa"/>
              <w:right w:w="0" w:type="dxa"/>
            </w:tcMar>
            <w:vAlign w:val="center"/>
            <w:hideMark/>
          </w:tcPr>
          <w:p w14:paraId="62D8CEB9"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52000 (31000)</w:t>
            </w:r>
          </w:p>
        </w:tc>
      </w:tr>
      <w:tr w:rsidR="00A830A9" w:rsidRPr="00A830A9" w14:paraId="7097795E" w14:textId="77777777" w:rsidTr="00F552A0">
        <w:tc>
          <w:tcPr>
            <w:tcW w:w="0" w:type="auto"/>
            <w:tcMar>
              <w:top w:w="0" w:type="dxa"/>
              <w:left w:w="0" w:type="dxa"/>
              <w:bottom w:w="0" w:type="dxa"/>
              <w:right w:w="0" w:type="dxa"/>
            </w:tcMar>
            <w:vAlign w:val="center"/>
            <w:hideMark/>
          </w:tcPr>
          <w:p w14:paraId="5D60BDDB"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Median [Min, Max]</w:t>
            </w:r>
          </w:p>
        </w:tc>
        <w:tc>
          <w:tcPr>
            <w:tcW w:w="0" w:type="auto"/>
            <w:tcMar>
              <w:top w:w="0" w:type="dxa"/>
              <w:left w:w="0" w:type="dxa"/>
              <w:bottom w:w="0" w:type="dxa"/>
              <w:right w:w="0" w:type="dxa"/>
            </w:tcMar>
            <w:vAlign w:val="center"/>
            <w:hideMark/>
          </w:tcPr>
          <w:p w14:paraId="63606EE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50000 [2000, 220000]</w:t>
            </w:r>
          </w:p>
        </w:tc>
        <w:tc>
          <w:tcPr>
            <w:tcW w:w="0" w:type="auto"/>
            <w:tcMar>
              <w:top w:w="0" w:type="dxa"/>
              <w:left w:w="0" w:type="dxa"/>
              <w:bottom w:w="0" w:type="dxa"/>
              <w:right w:w="0" w:type="dxa"/>
            </w:tcMar>
            <w:vAlign w:val="center"/>
            <w:hideMark/>
          </w:tcPr>
          <w:p w14:paraId="058C30F3"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37000 [2000, 150000]</w:t>
            </w:r>
          </w:p>
        </w:tc>
        <w:tc>
          <w:tcPr>
            <w:tcW w:w="0" w:type="auto"/>
            <w:tcMar>
              <w:top w:w="0" w:type="dxa"/>
              <w:left w:w="0" w:type="dxa"/>
              <w:bottom w:w="0" w:type="dxa"/>
              <w:right w:w="0" w:type="dxa"/>
            </w:tcMar>
            <w:vAlign w:val="center"/>
            <w:hideMark/>
          </w:tcPr>
          <w:p w14:paraId="6E3E8C4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45000 [2000, 220000]</w:t>
            </w:r>
          </w:p>
        </w:tc>
      </w:tr>
      <w:tr w:rsidR="00A830A9" w:rsidRPr="00890F27" w14:paraId="1598F5B6" w14:textId="77777777" w:rsidTr="00F552A0">
        <w:tc>
          <w:tcPr>
            <w:tcW w:w="0" w:type="auto"/>
            <w:tcMar>
              <w:top w:w="0" w:type="dxa"/>
              <w:left w:w="0" w:type="dxa"/>
              <w:bottom w:w="0" w:type="dxa"/>
              <w:right w:w="0" w:type="dxa"/>
            </w:tcMar>
            <w:vAlign w:val="center"/>
            <w:hideMark/>
          </w:tcPr>
          <w:p w14:paraId="7E1810BE"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Planned monthly housing cost (SEK)</w:t>
            </w:r>
          </w:p>
        </w:tc>
        <w:tc>
          <w:tcPr>
            <w:tcW w:w="0" w:type="auto"/>
            <w:tcMar>
              <w:top w:w="0" w:type="dxa"/>
              <w:left w:w="0" w:type="dxa"/>
              <w:bottom w:w="0" w:type="dxa"/>
              <w:right w:w="0" w:type="dxa"/>
            </w:tcMar>
            <w:vAlign w:val="center"/>
            <w:hideMark/>
          </w:tcPr>
          <w:p w14:paraId="7C47442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550D909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04719CC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054A24BB" w14:textId="77777777" w:rsidTr="00F552A0">
        <w:tc>
          <w:tcPr>
            <w:tcW w:w="0" w:type="auto"/>
            <w:tcMar>
              <w:top w:w="0" w:type="dxa"/>
              <w:left w:w="0" w:type="dxa"/>
              <w:bottom w:w="0" w:type="dxa"/>
              <w:right w:w="0" w:type="dxa"/>
            </w:tcMar>
            <w:vAlign w:val="center"/>
            <w:hideMark/>
          </w:tcPr>
          <w:p w14:paraId="2816F20E"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Mean (SD)</w:t>
            </w:r>
          </w:p>
        </w:tc>
        <w:tc>
          <w:tcPr>
            <w:tcW w:w="0" w:type="auto"/>
            <w:tcMar>
              <w:top w:w="0" w:type="dxa"/>
              <w:left w:w="0" w:type="dxa"/>
              <w:bottom w:w="0" w:type="dxa"/>
              <w:right w:w="0" w:type="dxa"/>
            </w:tcMar>
            <w:vAlign w:val="center"/>
            <w:hideMark/>
          </w:tcPr>
          <w:p w14:paraId="1350B9A3"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10000 (4100)</w:t>
            </w:r>
          </w:p>
        </w:tc>
        <w:tc>
          <w:tcPr>
            <w:tcW w:w="0" w:type="auto"/>
            <w:tcMar>
              <w:top w:w="0" w:type="dxa"/>
              <w:left w:w="0" w:type="dxa"/>
              <w:bottom w:w="0" w:type="dxa"/>
              <w:right w:w="0" w:type="dxa"/>
            </w:tcMar>
            <w:vAlign w:val="center"/>
            <w:hideMark/>
          </w:tcPr>
          <w:p w14:paraId="1AEE5EA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10000 (5600)</w:t>
            </w:r>
          </w:p>
        </w:tc>
        <w:tc>
          <w:tcPr>
            <w:tcW w:w="0" w:type="auto"/>
            <w:tcMar>
              <w:top w:w="0" w:type="dxa"/>
              <w:left w:w="0" w:type="dxa"/>
              <w:bottom w:w="0" w:type="dxa"/>
              <w:right w:w="0" w:type="dxa"/>
            </w:tcMar>
            <w:vAlign w:val="center"/>
            <w:hideMark/>
          </w:tcPr>
          <w:p w14:paraId="45B3297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10000 (4400)</w:t>
            </w:r>
          </w:p>
        </w:tc>
      </w:tr>
      <w:tr w:rsidR="00A830A9" w:rsidRPr="00A830A9" w14:paraId="7CC7E2C5" w14:textId="77777777" w:rsidTr="00F552A0">
        <w:tc>
          <w:tcPr>
            <w:tcW w:w="0" w:type="auto"/>
            <w:tcMar>
              <w:top w:w="0" w:type="dxa"/>
              <w:left w:w="0" w:type="dxa"/>
              <w:bottom w:w="0" w:type="dxa"/>
              <w:right w:w="0" w:type="dxa"/>
            </w:tcMar>
            <w:vAlign w:val="center"/>
            <w:hideMark/>
          </w:tcPr>
          <w:p w14:paraId="086FC865"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Median [Min, Max]</w:t>
            </w:r>
          </w:p>
        </w:tc>
        <w:tc>
          <w:tcPr>
            <w:tcW w:w="0" w:type="auto"/>
            <w:tcMar>
              <w:top w:w="0" w:type="dxa"/>
              <w:left w:w="0" w:type="dxa"/>
              <w:bottom w:w="0" w:type="dxa"/>
              <w:right w:w="0" w:type="dxa"/>
            </w:tcMar>
            <w:vAlign w:val="center"/>
            <w:hideMark/>
          </w:tcPr>
          <w:p w14:paraId="43676F7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10000 [3000, 40000]</w:t>
            </w:r>
          </w:p>
        </w:tc>
        <w:tc>
          <w:tcPr>
            <w:tcW w:w="0" w:type="auto"/>
            <w:tcMar>
              <w:top w:w="0" w:type="dxa"/>
              <w:left w:w="0" w:type="dxa"/>
              <w:bottom w:w="0" w:type="dxa"/>
              <w:right w:w="0" w:type="dxa"/>
            </w:tcMar>
            <w:vAlign w:val="center"/>
            <w:hideMark/>
          </w:tcPr>
          <w:p w14:paraId="722CA2A3"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9000 [3000, 60000]</w:t>
            </w:r>
          </w:p>
        </w:tc>
        <w:tc>
          <w:tcPr>
            <w:tcW w:w="0" w:type="auto"/>
            <w:tcMar>
              <w:top w:w="0" w:type="dxa"/>
              <w:left w:w="0" w:type="dxa"/>
              <w:bottom w:w="0" w:type="dxa"/>
              <w:right w:w="0" w:type="dxa"/>
            </w:tcMar>
            <w:vAlign w:val="center"/>
            <w:hideMark/>
          </w:tcPr>
          <w:p w14:paraId="3568491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10000 [3000, 60000]</w:t>
            </w:r>
          </w:p>
        </w:tc>
      </w:tr>
    </w:tbl>
    <w:p w14:paraId="1B53985A"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br w:type="page"/>
      </w:r>
    </w:p>
    <w:p w14:paraId="7108870A"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Table 3. Mixed logit coefficients and marginal willingness-to-pay (MWTP) estimates: Renters and Owners (N = 790 for homeowners, N = 167 for renters)</w:t>
      </w:r>
    </w:p>
    <w:tbl>
      <w:tblPr>
        <w:tblW w:w="0" w:type="auto"/>
        <w:tblBorders>
          <w:top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3226"/>
        <w:gridCol w:w="950"/>
        <w:gridCol w:w="750"/>
        <w:gridCol w:w="1200"/>
        <w:gridCol w:w="950"/>
        <w:gridCol w:w="750"/>
        <w:gridCol w:w="1200"/>
      </w:tblGrid>
      <w:tr w:rsidR="00A830A9" w:rsidRPr="00A830A9" w14:paraId="0D055E4D" w14:textId="77777777" w:rsidTr="00F552A0">
        <w:trPr>
          <w:tblHeader/>
        </w:trPr>
        <w:tc>
          <w:tcPr>
            <w:tcW w:w="3226" w:type="dxa"/>
            <w:tcBorders>
              <w:top w:val="nil"/>
              <w:bottom w:val="nil"/>
            </w:tcBorders>
            <w:vAlign w:val="center"/>
            <w:hideMark/>
          </w:tcPr>
          <w:p w14:paraId="6F317C5F" w14:textId="77777777" w:rsidR="00A830A9" w:rsidRPr="00A830A9"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 </w:t>
            </w:r>
          </w:p>
        </w:tc>
        <w:tc>
          <w:tcPr>
            <w:tcW w:w="2900" w:type="dxa"/>
            <w:gridSpan w:val="3"/>
            <w:tcBorders>
              <w:top w:val="nil"/>
              <w:bottom w:val="single" w:sz="4" w:space="0" w:color="auto"/>
            </w:tcBorders>
            <w:tcMar>
              <w:top w:w="15" w:type="dxa"/>
              <w:left w:w="75" w:type="dxa"/>
              <w:bottom w:w="15" w:type="dxa"/>
              <w:right w:w="75" w:type="dxa"/>
            </w:tcMar>
            <w:vAlign w:val="center"/>
            <w:hideMark/>
          </w:tcPr>
          <w:p w14:paraId="587D3E86"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Owners</w:t>
            </w:r>
          </w:p>
        </w:tc>
        <w:tc>
          <w:tcPr>
            <w:tcW w:w="2900" w:type="dxa"/>
            <w:gridSpan w:val="3"/>
            <w:tcBorders>
              <w:top w:val="nil"/>
              <w:bottom w:val="single" w:sz="4" w:space="0" w:color="auto"/>
            </w:tcBorders>
            <w:tcMar>
              <w:top w:w="15" w:type="dxa"/>
              <w:left w:w="75" w:type="dxa"/>
              <w:bottom w:w="15" w:type="dxa"/>
              <w:right w:w="75" w:type="dxa"/>
            </w:tcMar>
            <w:vAlign w:val="center"/>
            <w:hideMark/>
          </w:tcPr>
          <w:p w14:paraId="57D477D0"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Renters</w:t>
            </w:r>
          </w:p>
        </w:tc>
      </w:tr>
      <w:tr w:rsidR="00A830A9" w:rsidRPr="00A830A9" w14:paraId="62485689" w14:textId="77777777" w:rsidTr="00F552A0">
        <w:trPr>
          <w:tblHeader/>
        </w:trPr>
        <w:tc>
          <w:tcPr>
            <w:tcW w:w="3226" w:type="dxa"/>
            <w:tcBorders>
              <w:top w:val="nil"/>
              <w:bottom w:val="single" w:sz="4" w:space="0" w:color="auto"/>
            </w:tcBorders>
            <w:tcMar>
              <w:top w:w="15" w:type="dxa"/>
              <w:left w:w="75" w:type="dxa"/>
              <w:bottom w:w="15" w:type="dxa"/>
              <w:right w:w="75" w:type="dxa"/>
            </w:tcMar>
            <w:vAlign w:val="center"/>
            <w:hideMark/>
          </w:tcPr>
          <w:p w14:paraId="21FF6D7E" w14:textId="77777777" w:rsidR="00A830A9" w:rsidRPr="00A830A9"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Attribute </w:t>
            </w:r>
          </w:p>
        </w:tc>
        <w:tc>
          <w:tcPr>
            <w:tcW w:w="950" w:type="dxa"/>
            <w:tcBorders>
              <w:top w:val="single" w:sz="4" w:space="0" w:color="auto"/>
              <w:bottom w:val="single" w:sz="4" w:space="0" w:color="auto"/>
            </w:tcBorders>
            <w:tcMar>
              <w:top w:w="15" w:type="dxa"/>
              <w:left w:w="75" w:type="dxa"/>
              <w:bottom w:w="15" w:type="dxa"/>
              <w:right w:w="75" w:type="dxa"/>
            </w:tcMar>
            <w:vAlign w:val="center"/>
            <w:hideMark/>
          </w:tcPr>
          <w:p w14:paraId="5F18331E"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Coefficient</w:t>
            </w:r>
          </w:p>
        </w:tc>
        <w:tc>
          <w:tcPr>
            <w:tcW w:w="750" w:type="dxa"/>
            <w:tcBorders>
              <w:top w:val="single" w:sz="4" w:space="0" w:color="auto"/>
              <w:bottom w:val="single" w:sz="4" w:space="0" w:color="auto"/>
            </w:tcBorders>
            <w:tcMar>
              <w:top w:w="15" w:type="dxa"/>
              <w:left w:w="75" w:type="dxa"/>
              <w:bottom w:w="15" w:type="dxa"/>
              <w:right w:w="75" w:type="dxa"/>
            </w:tcMar>
            <w:vAlign w:val="center"/>
            <w:hideMark/>
          </w:tcPr>
          <w:p w14:paraId="3E6DF684"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SD</w:t>
            </w:r>
          </w:p>
        </w:tc>
        <w:tc>
          <w:tcPr>
            <w:tcW w:w="1200" w:type="dxa"/>
            <w:tcBorders>
              <w:top w:val="single" w:sz="4" w:space="0" w:color="auto"/>
              <w:bottom w:val="single" w:sz="4" w:space="0" w:color="auto"/>
            </w:tcBorders>
            <w:tcMar>
              <w:top w:w="15" w:type="dxa"/>
              <w:left w:w="75" w:type="dxa"/>
              <w:bottom w:w="15" w:type="dxa"/>
              <w:right w:w="75" w:type="dxa"/>
            </w:tcMar>
            <w:vAlign w:val="center"/>
            <w:hideMark/>
          </w:tcPr>
          <w:p w14:paraId="1B970005"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Pr>
                <w:rFonts w:ascii="Times New Roman" w:hAnsi="Times New Roman" w:cs="Times New Roman"/>
                <w:sz w:val="18"/>
                <w:szCs w:val="18"/>
              </w:rPr>
              <w:t>MWTP (95% CI)</w:t>
            </w:r>
          </w:p>
        </w:tc>
        <w:tc>
          <w:tcPr>
            <w:tcW w:w="950" w:type="dxa"/>
            <w:tcBorders>
              <w:top w:val="single" w:sz="4" w:space="0" w:color="auto"/>
              <w:bottom w:val="single" w:sz="4" w:space="0" w:color="auto"/>
            </w:tcBorders>
            <w:tcMar>
              <w:top w:w="15" w:type="dxa"/>
              <w:left w:w="75" w:type="dxa"/>
              <w:bottom w:w="15" w:type="dxa"/>
              <w:right w:w="75" w:type="dxa"/>
            </w:tcMar>
            <w:vAlign w:val="center"/>
            <w:hideMark/>
          </w:tcPr>
          <w:p w14:paraId="0AE88009"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Coefficient</w:t>
            </w:r>
          </w:p>
        </w:tc>
        <w:tc>
          <w:tcPr>
            <w:tcW w:w="750" w:type="dxa"/>
            <w:tcBorders>
              <w:top w:val="single" w:sz="4" w:space="0" w:color="auto"/>
              <w:bottom w:val="single" w:sz="4" w:space="0" w:color="auto"/>
            </w:tcBorders>
            <w:tcMar>
              <w:top w:w="15" w:type="dxa"/>
              <w:left w:w="75" w:type="dxa"/>
              <w:bottom w:w="15" w:type="dxa"/>
              <w:right w:w="75" w:type="dxa"/>
            </w:tcMar>
            <w:vAlign w:val="center"/>
            <w:hideMark/>
          </w:tcPr>
          <w:p w14:paraId="14847FEF"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SD</w:t>
            </w:r>
          </w:p>
        </w:tc>
        <w:tc>
          <w:tcPr>
            <w:tcW w:w="1200" w:type="dxa"/>
            <w:tcBorders>
              <w:top w:val="single" w:sz="4" w:space="0" w:color="auto"/>
              <w:bottom w:val="single" w:sz="4" w:space="0" w:color="auto"/>
            </w:tcBorders>
            <w:tcMar>
              <w:top w:w="15" w:type="dxa"/>
              <w:left w:w="75" w:type="dxa"/>
              <w:bottom w:w="15" w:type="dxa"/>
              <w:right w:w="75" w:type="dxa"/>
            </w:tcMar>
            <w:vAlign w:val="center"/>
            <w:hideMark/>
          </w:tcPr>
          <w:p w14:paraId="3A2CC32D"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Pr>
                <w:rFonts w:ascii="Times New Roman" w:hAnsi="Times New Roman" w:cs="Times New Roman"/>
                <w:sz w:val="18"/>
                <w:szCs w:val="18"/>
              </w:rPr>
              <w:t>MWTP (95% CI)</w:t>
            </w:r>
          </w:p>
        </w:tc>
      </w:tr>
      <w:tr w:rsidR="00A830A9" w:rsidRPr="00A830A9" w14:paraId="7894E892" w14:textId="77777777" w:rsidTr="00F552A0">
        <w:tc>
          <w:tcPr>
            <w:tcW w:w="3226" w:type="dxa"/>
            <w:tcBorders>
              <w:top w:val="single" w:sz="4" w:space="0" w:color="auto"/>
            </w:tcBorders>
            <w:tcMar>
              <w:top w:w="15" w:type="dxa"/>
              <w:left w:w="75" w:type="dxa"/>
              <w:bottom w:w="15" w:type="dxa"/>
              <w:right w:w="75" w:type="dxa"/>
            </w:tcMar>
            <w:vAlign w:val="center"/>
            <w:hideMark/>
          </w:tcPr>
          <w:p w14:paraId="0C2CA0A9"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 km (vs 15 km)</w:t>
            </w:r>
          </w:p>
        </w:tc>
        <w:tc>
          <w:tcPr>
            <w:tcW w:w="950" w:type="dxa"/>
            <w:tcBorders>
              <w:top w:val="single" w:sz="4" w:space="0" w:color="auto"/>
            </w:tcBorders>
            <w:tcMar>
              <w:top w:w="15" w:type="dxa"/>
              <w:left w:w="75" w:type="dxa"/>
              <w:bottom w:w="15" w:type="dxa"/>
              <w:right w:w="75" w:type="dxa"/>
            </w:tcMar>
            <w:vAlign w:val="center"/>
            <w:hideMark/>
          </w:tcPr>
          <w:p w14:paraId="271C338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1.02***</w:t>
            </w:r>
          </w:p>
        </w:tc>
        <w:tc>
          <w:tcPr>
            <w:tcW w:w="750" w:type="dxa"/>
            <w:tcBorders>
              <w:top w:val="single" w:sz="4" w:space="0" w:color="auto"/>
            </w:tcBorders>
            <w:tcMar>
              <w:top w:w="15" w:type="dxa"/>
              <w:left w:w="75" w:type="dxa"/>
              <w:bottom w:w="15" w:type="dxa"/>
              <w:right w:w="75" w:type="dxa"/>
            </w:tcMar>
            <w:vAlign w:val="center"/>
            <w:hideMark/>
          </w:tcPr>
          <w:p w14:paraId="7FF1D4D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0.50*</w:t>
            </w:r>
          </w:p>
        </w:tc>
        <w:tc>
          <w:tcPr>
            <w:tcW w:w="1200" w:type="dxa"/>
            <w:tcBorders>
              <w:top w:val="single" w:sz="4" w:space="0" w:color="auto"/>
            </w:tcBorders>
            <w:tcMar>
              <w:top w:w="15" w:type="dxa"/>
              <w:left w:w="75" w:type="dxa"/>
              <w:bottom w:w="15" w:type="dxa"/>
              <w:right w:w="75" w:type="dxa"/>
            </w:tcMar>
            <w:vAlign w:val="center"/>
            <w:hideMark/>
          </w:tcPr>
          <w:p w14:paraId="7B7E9C7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200 (152, 248)</w:t>
            </w:r>
          </w:p>
        </w:tc>
        <w:tc>
          <w:tcPr>
            <w:tcW w:w="950" w:type="dxa"/>
            <w:tcBorders>
              <w:top w:val="single" w:sz="4" w:space="0" w:color="auto"/>
            </w:tcBorders>
            <w:tcMar>
              <w:top w:w="15" w:type="dxa"/>
              <w:left w:w="75" w:type="dxa"/>
              <w:bottom w:w="15" w:type="dxa"/>
              <w:right w:w="75" w:type="dxa"/>
            </w:tcMar>
            <w:vAlign w:val="center"/>
            <w:hideMark/>
          </w:tcPr>
          <w:p w14:paraId="4346286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2.26***</w:t>
            </w:r>
          </w:p>
        </w:tc>
        <w:tc>
          <w:tcPr>
            <w:tcW w:w="750" w:type="dxa"/>
            <w:tcBorders>
              <w:top w:val="single" w:sz="4" w:space="0" w:color="auto"/>
            </w:tcBorders>
            <w:tcMar>
              <w:top w:w="15" w:type="dxa"/>
              <w:left w:w="75" w:type="dxa"/>
              <w:bottom w:w="15" w:type="dxa"/>
              <w:right w:w="75" w:type="dxa"/>
            </w:tcMar>
            <w:vAlign w:val="center"/>
            <w:hideMark/>
          </w:tcPr>
          <w:p w14:paraId="7587B0E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-0.94**</w:t>
            </w:r>
          </w:p>
        </w:tc>
        <w:tc>
          <w:tcPr>
            <w:tcW w:w="1200" w:type="dxa"/>
            <w:tcBorders>
              <w:top w:val="single" w:sz="4" w:space="0" w:color="auto"/>
            </w:tcBorders>
            <w:tcMar>
              <w:top w:w="15" w:type="dxa"/>
              <w:left w:w="75" w:type="dxa"/>
              <w:bottom w:w="15" w:type="dxa"/>
              <w:right w:w="75" w:type="dxa"/>
            </w:tcMar>
            <w:vAlign w:val="center"/>
            <w:hideMark/>
          </w:tcPr>
          <w:p w14:paraId="719B944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214 (110, 318)</w:t>
            </w:r>
          </w:p>
        </w:tc>
      </w:tr>
      <w:tr w:rsidR="00A830A9" w:rsidRPr="00A830A9" w14:paraId="189F1DF3" w14:textId="77777777" w:rsidTr="00F552A0">
        <w:tc>
          <w:tcPr>
            <w:tcW w:w="3226" w:type="dxa"/>
            <w:tcMar>
              <w:top w:w="15" w:type="dxa"/>
              <w:left w:w="75" w:type="dxa"/>
              <w:bottom w:w="15" w:type="dxa"/>
              <w:right w:w="75" w:type="dxa"/>
            </w:tcMar>
            <w:vAlign w:val="center"/>
            <w:hideMark/>
          </w:tcPr>
          <w:p w14:paraId="03AB157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5563236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(0.11)</w:t>
            </w:r>
          </w:p>
        </w:tc>
        <w:tc>
          <w:tcPr>
            <w:tcW w:w="750" w:type="dxa"/>
            <w:tcMar>
              <w:top w:w="15" w:type="dxa"/>
              <w:left w:w="75" w:type="dxa"/>
              <w:bottom w:w="15" w:type="dxa"/>
              <w:right w:w="75" w:type="dxa"/>
            </w:tcMar>
            <w:vAlign w:val="center"/>
            <w:hideMark/>
          </w:tcPr>
          <w:p w14:paraId="5752614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(0.24)</w:t>
            </w:r>
          </w:p>
        </w:tc>
        <w:tc>
          <w:tcPr>
            <w:tcW w:w="1200" w:type="dxa"/>
            <w:tcMar>
              <w:top w:w="15" w:type="dxa"/>
              <w:left w:w="75" w:type="dxa"/>
              <w:bottom w:w="15" w:type="dxa"/>
              <w:right w:w="75" w:type="dxa"/>
            </w:tcMar>
            <w:vAlign w:val="center"/>
            <w:hideMark/>
          </w:tcPr>
          <w:p w14:paraId="0E6B2E2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40D7231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(0.58)</w:t>
            </w:r>
          </w:p>
        </w:tc>
        <w:tc>
          <w:tcPr>
            <w:tcW w:w="750" w:type="dxa"/>
            <w:tcMar>
              <w:top w:w="15" w:type="dxa"/>
              <w:left w:w="75" w:type="dxa"/>
              <w:bottom w:w="15" w:type="dxa"/>
              <w:right w:w="75" w:type="dxa"/>
            </w:tcMar>
            <w:vAlign w:val="center"/>
            <w:hideMark/>
          </w:tcPr>
          <w:p w14:paraId="186A837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(0.33)</w:t>
            </w:r>
          </w:p>
        </w:tc>
        <w:tc>
          <w:tcPr>
            <w:tcW w:w="1200" w:type="dxa"/>
            <w:tcMar>
              <w:top w:w="15" w:type="dxa"/>
              <w:left w:w="75" w:type="dxa"/>
              <w:bottom w:w="15" w:type="dxa"/>
              <w:right w:w="75" w:type="dxa"/>
            </w:tcMar>
            <w:vAlign w:val="center"/>
            <w:hideMark/>
          </w:tcPr>
          <w:p w14:paraId="4942896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4C3A4ADC" w14:textId="77777777" w:rsidTr="00F552A0">
        <w:tc>
          <w:tcPr>
            <w:tcW w:w="3226" w:type="dxa"/>
            <w:tcMar>
              <w:top w:w="15" w:type="dxa"/>
              <w:left w:w="75" w:type="dxa"/>
              <w:bottom w:w="15" w:type="dxa"/>
              <w:right w:w="75" w:type="dxa"/>
            </w:tcMar>
            <w:vAlign w:val="center"/>
            <w:hideMark/>
          </w:tcPr>
          <w:p w14:paraId="2B4CB6B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500 m (vs 15 km)</w:t>
            </w:r>
          </w:p>
        </w:tc>
        <w:tc>
          <w:tcPr>
            <w:tcW w:w="950" w:type="dxa"/>
            <w:tcMar>
              <w:top w:w="15" w:type="dxa"/>
              <w:left w:w="75" w:type="dxa"/>
              <w:bottom w:w="15" w:type="dxa"/>
              <w:right w:w="75" w:type="dxa"/>
            </w:tcMar>
            <w:vAlign w:val="center"/>
            <w:hideMark/>
          </w:tcPr>
          <w:p w14:paraId="390A503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2.02***</w:t>
            </w:r>
          </w:p>
        </w:tc>
        <w:tc>
          <w:tcPr>
            <w:tcW w:w="750" w:type="dxa"/>
            <w:tcMar>
              <w:top w:w="15" w:type="dxa"/>
              <w:left w:w="75" w:type="dxa"/>
              <w:bottom w:w="15" w:type="dxa"/>
              <w:right w:w="75" w:type="dxa"/>
            </w:tcMar>
            <w:vAlign w:val="center"/>
            <w:hideMark/>
          </w:tcPr>
          <w:p w14:paraId="5BB5121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-0.67</w:t>
            </w:r>
          </w:p>
        </w:tc>
        <w:tc>
          <w:tcPr>
            <w:tcW w:w="1200" w:type="dxa"/>
            <w:tcMar>
              <w:top w:w="15" w:type="dxa"/>
              <w:left w:w="75" w:type="dxa"/>
              <w:bottom w:w="15" w:type="dxa"/>
              <w:right w:w="75" w:type="dxa"/>
            </w:tcMar>
            <w:vAlign w:val="center"/>
            <w:hideMark/>
          </w:tcPr>
          <w:p w14:paraId="4C85008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397 (330, 464)</w:t>
            </w:r>
          </w:p>
        </w:tc>
        <w:tc>
          <w:tcPr>
            <w:tcW w:w="950" w:type="dxa"/>
            <w:tcMar>
              <w:top w:w="15" w:type="dxa"/>
              <w:left w:w="75" w:type="dxa"/>
              <w:bottom w:w="15" w:type="dxa"/>
              <w:right w:w="75" w:type="dxa"/>
            </w:tcMar>
            <w:vAlign w:val="center"/>
            <w:hideMark/>
          </w:tcPr>
          <w:p w14:paraId="25734AD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3.67***</w:t>
            </w:r>
          </w:p>
        </w:tc>
        <w:tc>
          <w:tcPr>
            <w:tcW w:w="750" w:type="dxa"/>
            <w:tcMar>
              <w:top w:w="15" w:type="dxa"/>
              <w:left w:w="75" w:type="dxa"/>
              <w:bottom w:w="15" w:type="dxa"/>
              <w:right w:w="75" w:type="dxa"/>
            </w:tcMar>
            <w:vAlign w:val="center"/>
            <w:hideMark/>
          </w:tcPr>
          <w:p w14:paraId="530BBCC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-0.90*</w:t>
            </w:r>
          </w:p>
        </w:tc>
        <w:tc>
          <w:tcPr>
            <w:tcW w:w="1200" w:type="dxa"/>
            <w:tcMar>
              <w:top w:w="15" w:type="dxa"/>
              <w:left w:w="75" w:type="dxa"/>
              <w:bottom w:w="15" w:type="dxa"/>
              <w:right w:w="75" w:type="dxa"/>
            </w:tcMar>
            <w:vAlign w:val="center"/>
            <w:hideMark/>
          </w:tcPr>
          <w:p w14:paraId="045501F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346 (223, 469)</w:t>
            </w:r>
          </w:p>
        </w:tc>
      </w:tr>
      <w:tr w:rsidR="00A830A9" w:rsidRPr="00A830A9" w14:paraId="57EAC65E" w14:textId="77777777" w:rsidTr="00F552A0">
        <w:tc>
          <w:tcPr>
            <w:tcW w:w="3226" w:type="dxa"/>
            <w:tcMar>
              <w:top w:w="15" w:type="dxa"/>
              <w:left w:w="75" w:type="dxa"/>
              <w:bottom w:w="15" w:type="dxa"/>
              <w:right w:w="75" w:type="dxa"/>
            </w:tcMar>
            <w:vAlign w:val="center"/>
            <w:hideMark/>
          </w:tcPr>
          <w:p w14:paraId="7356AEB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5F7A7A2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(0.15)</w:t>
            </w:r>
          </w:p>
        </w:tc>
        <w:tc>
          <w:tcPr>
            <w:tcW w:w="750" w:type="dxa"/>
            <w:tcMar>
              <w:top w:w="15" w:type="dxa"/>
              <w:left w:w="75" w:type="dxa"/>
              <w:bottom w:w="15" w:type="dxa"/>
              <w:right w:w="75" w:type="dxa"/>
            </w:tcMar>
            <w:vAlign w:val="center"/>
            <w:hideMark/>
          </w:tcPr>
          <w:p w14:paraId="78ADF16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(0.39)</w:t>
            </w:r>
          </w:p>
        </w:tc>
        <w:tc>
          <w:tcPr>
            <w:tcW w:w="1200" w:type="dxa"/>
            <w:tcMar>
              <w:top w:w="15" w:type="dxa"/>
              <w:left w:w="75" w:type="dxa"/>
              <w:bottom w:w="15" w:type="dxa"/>
              <w:right w:w="75" w:type="dxa"/>
            </w:tcMar>
            <w:vAlign w:val="center"/>
            <w:hideMark/>
          </w:tcPr>
          <w:p w14:paraId="4411F8B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07E923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(0.70)</w:t>
            </w:r>
          </w:p>
        </w:tc>
        <w:tc>
          <w:tcPr>
            <w:tcW w:w="750" w:type="dxa"/>
            <w:tcMar>
              <w:top w:w="15" w:type="dxa"/>
              <w:left w:w="75" w:type="dxa"/>
              <w:bottom w:w="15" w:type="dxa"/>
              <w:right w:w="75" w:type="dxa"/>
            </w:tcMar>
            <w:vAlign w:val="center"/>
            <w:hideMark/>
          </w:tcPr>
          <w:p w14:paraId="12BC21B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(0.46)</w:t>
            </w:r>
          </w:p>
        </w:tc>
        <w:tc>
          <w:tcPr>
            <w:tcW w:w="1200" w:type="dxa"/>
            <w:tcMar>
              <w:top w:w="15" w:type="dxa"/>
              <w:left w:w="75" w:type="dxa"/>
              <w:bottom w:w="15" w:type="dxa"/>
              <w:right w:w="75" w:type="dxa"/>
            </w:tcMar>
            <w:vAlign w:val="center"/>
            <w:hideMark/>
          </w:tcPr>
          <w:p w14:paraId="5667671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650292C3" w14:textId="77777777" w:rsidTr="00F552A0">
        <w:tc>
          <w:tcPr>
            <w:tcW w:w="3226" w:type="dxa"/>
            <w:tcMar>
              <w:top w:w="15" w:type="dxa"/>
              <w:left w:w="75" w:type="dxa"/>
              <w:bottom w:w="15" w:type="dxa"/>
              <w:right w:w="75" w:type="dxa"/>
            </w:tcMar>
            <w:vAlign w:val="center"/>
            <w:hideMark/>
          </w:tcPr>
          <w:p w14:paraId="64C8E09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 km (vs 15 km)</w:t>
            </w:r>
          </w:p>
        </w:tc>
        <w:tc>
          <w:tcPr>
            <w:tcW w:w="950" w:type="dxa"/>
            <w:tcMar>
              <w:top w:w="15" w:type="dxa"/>
              <w:left w:w="75" w:type="dxa"/>
              <w:bottom w:w="15" w:type="dxa"/>
              <w:right w:w="75" w:type="dxa"/>
            </w:tcMar>
            <w:vAlign w:val="center"/>
            <w:hideMark/>
          </w:tcPr>
          <w:p w14:paraId="095DA00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0.93***</w:t>
            </w:r>
          </w:p>
        </w:tc>
        <w:tc>
          <w:tcPr>
            <w:tcW w:w="750" w:type="dxa"/>
            <w:tcMar>
              <w:top w:w="15" w:type="dxa"/>
              <w:left w:w="75" w:type="dxa"/>
              <w:bottom w:w="15" w:type="dxa"/>
              <w:right w:w="75" w:type="dxa"/>
            </w:tcMar>
            <w:vAlign w:val="center"/>
            <w:hideMark/>
          </w:tcPr>
          <w:p w14:paraId="67D21BB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0.43</w:t>
            </w:r>
          </w:p>
        </w:tc>
        <w:tc>
          <w:tcPr>
            <w:tcW w:w="1200" w:type="dxa"/>
            <w:tcMar>
              <w:top w:w="15" w:type="dxa"/>
              <w:left w:w="75" w:type="dxa"/>
              <w:bottom w:w="15" w:type="dxa"/>
              <w:right w:w="75" w:type="dxa"/>
            </w:tcMar>
            <w:vAlign w:val="center"/>
            <w:hideMark/>
          </w:tcPr>
          <w:p w14:paraId="027D30A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184 (125, 243)</w:t>
            </w:r>
          </w:p>
        </w:tc>
        <w:tc>
          <w:tcPr>
            <w:tcW w:w="950" w:type="dxa"/>
            <w:tcMar>
              <w:top w:w="15" w:type="dxa"/>
              <w:left w:w="75" w:type="dxa"/>
              <w:bottom w:w="15" w:type="dxa"/>
              <w:right w:w="75" w:type="dxa"/>
            </w:tcMar>
            <w:vAlign w:val="center"/>
            <w:hideMark/>
          </w:tcPr>
          <w:p w14:paraId="17BFC72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1.82**</w:t>
            </w:r>
          </w:p>
        </w:tc>
        <w:tc>
          <w:tcPr>
            <w:tcW w:w="750" w:type="dxa"/>
            <w:tcMar>
              <w:top w:w="15" w:type="dxa"/>
              <w:left w:w="75" w:type="dxa"/>
              <w:bottom w:w="15" w:type="dxa"/>
              <w:right w:w="75" w:type="dxa"/>
            </w:tcMar>
            <w:vAlign w:val="center"/>
            <w:hideMark/>
          </w:tcPr>
          <w:p w14:paraId="334869F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1.17*</w:t>
            </w:r>
          </w:p>
        </w:tc>
        <w:tc>
          <w:tcPr>
            <w:tcW w:w="1200" w:type="dxa"/>
            <w:tcMar>
              <w:top w:w="15" w:type="dxa"/>
              <w:left w:w="75" w:type="dxa"/>
              <w:bottom w:w="15" w:type="dxa"/>
              <w:right w:w="75" w:type="dxa"/>
            </w:tcMar>
            <w:vAlign w:val="center"/>
            <w:hideMark/>
          </w:tcPr>
          <w:p w14:paraId="7C15A25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171 (63, 279)</w:t>
            </w:r>
          </w:p>
        </w:tc>
      </w:tr>
      <w:tr w:rsidR="00A830A9" w:rsidRPr="00A830A9" w14:paraId="1DDC0D63" w14:textId="77777777" w:rsidTr="00F552A0">
        <w:tc>
          <w:tcPr>
            <w:tcW w:w="3226" w:type="dxa"/>
            <w:tcMar>
              <w:top w:w="15" w:type="dxa"/>
              <w:left w:w="75" w:type="dxa"/>
              <w:bottom w:w="15" w:type="dxa"/>
              <w:right w:w="75" w:type="dxa"/>
            </w:tcMar>
            <w:vAlign w:val="center"/>
            <w:hideMark/>
          </w:tcPr>
          <w:p w14:paraId="2EC5400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6036D3D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(0.13)</w:t>
            </w:r>
          </w:p>
        </w:tc>
        <w:tc>
          <w:tcPr>
            <w:tcW w:w="750" w:type="dxa"/>
            <w:tcMar>
              <w:top w:w="15" w:type="dxa"/>
              <w:left w:w="75" w:type="dxa"/>
              <w:bottom w:w="15" w:type="dxa"/>
              <w:right w:w="75" w:type="dxa"/>
            </w:tcMar>
            <w:vAlign w:val="center"/>
            <w:hideMark/>
          </w:tcPr>
          <w:p w14:paraId="3269C3E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(0.31)</w:t>
            </w:r>
          </w:p>
        </w:tc>
        <w:tc>
          <w:tcPr>
            <w:tcW w:w="1200" w:type="dxa"/>
            <w:tcMar>
              <w:top w:w="15" w:type="dxa"/>
              <w:left w:w="75" w:type="dxa"/>
              <w:bottom w:w="15" w:type="dxa"/>
              <w:right w:w="75" w:type="dxa"/>
            </w:tcMar>
            <w:vAlign w:val="center"/>
            <w:hideMark/>
          </w:tcPr>
          <w:p w14:paraId="1E8C9AB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1317D0E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(0.57)</w:t>
            </w:r>
          </w:p>
        </w:tc>
        <w:tc>
          <w:tcPr>
            <w:tcW w:w="750" w:type="dxa"/>
            <w:tcMar>
              <w:top w:w="15" w:type="dxa"/>
              <w:left w:w="75" w:type="dxa"/>
              <w:bottom w:w="15" w:type="dxa"/>
              <w:right w:w="75" w:type="dxa"/>
            </w:tcMar>
            <w:vAlign w:val="center"/>
            <w:hideMark/>
          </w:tcPr>
          <w:p w14:paraId="13B6A5E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(0.55)</w:t>
            </w:r>
          </w:p>
        </w:tc>
        <w:tc>
          <w:tcPr>
            <w:tcW w:w="1200" w:type="dxa"/>
            <w:tcMar>
              <w:top w:w="15" w:type="dxa"/>
              <w:left w:w="75" w:type="dxa"/>
              <w:bottom w:w="15" w:type="dxa"/>
              <w:right w:w="75" w:type="dxa"/>
            </w:tcMar>
            <w:vAlign w:val="center"/>
            <w:hideMark/>
          </w:tcPr>
          <w:p w14:paraId="61087E2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45449360" w14:textId="77777777" w:rsidTr="00F552A0">
        <w:tc>
          <w:tcPr>
            <w:tcW w:w="3226" w:type="dxa"/>
            <w:tcMar>
              <w:top w:w="15" w:type="dxa"/>
              <w:left w:w="75" w:type="dxa"/>
              <w:bottom w:w="15" w:type="dxa"/>
              <w:right w:w="75" w:type="dxa"/>
            </w:tcMar>
            <w:vAlign w:val="center"/>
            <w:hideMark/>
          </w:tcPr>
          <w:p w14:paraId="1DFA4E6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500 m (vs 15 km)</w:t>
            </w:r>
          </w:p>
        </w:tc>
        <w:tc>
          <w:tcPr>
            <w:tcW w:w="950" w:type="dxa"/>
            <w:tcMar>
              <w:top w:w="15" w:type="dxa"/>
              <w:left w:w="75" w:type="dxa"/>
              <w:bottom w:w="15" w:type="dxa"/>
              <w:right w:w="75" w:type="dxa"/>
            </w:tcMar>
            <w:vAlign w:val="center"/>
            <w:hideMark/>
          </w:tcPr>
          <w:p w14:paraId="269FA60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3.04***</w:t>
            </w:r>
          </w:p>
        </w:tc>
        <w:tc>
          <w:tcPr>
            <w:tcW w:w="750" w:type="dxa"/>
            <w:tcMar>
              <w:top w:w="15" w:type="dxa"/>
              <w:left w:w="75" w:type="dxa"/>
              <w:bottom w:w="15" w:type="dxa"/>
              <w:right w:w="75" w:type="dxa"/>
            </w:tcMar>
            <w:vAlign w:val="center"/>
            <w:hideMark/>
          </w:tcPr>
          <w:p w14:paraId="55B1531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0.58</w:t>
            </w:r>
          </w:p>
        </w:tc>
        <w:tc>
          <w:tcPr>
            <w:tcW w:w="1200" w:type="dxa"/>
            <w:tcMar>
              <w:top w:w="15" w:type="dxa"/>
              <w:left w:w="75" w:type="dxa"/>
              <w:bottom w:w="15" w:type="dxa"/>
              <w:right w:w="75" w:type="dxa"/>
            </w:tcMar>
            <w:vAlign w:val="center"/>
            <w:hideMark/>
          </w:tcPr>
          <w:p w14:paraId="0ECDF04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598 (514, 682)</w:t>
            </w:r>
          </w:p>
        </w:tc>
        <w:tc>
          <w:tcPr>
            <w:tcW w:w="950" w:type="dxa"/>
            <w:tcMar>
              <w:top w:w="15" w:type="dxa"/>
              <w:left w:w="75" w:type="dxa"/>
              <w:bottom w:w="15" w:type="dxa"/>
              <w:right w:w="75" w:type="dxa"/>
            </w:tcMar>
            <w:vAlign w:val="center"/>
            <w:hideMark/>
          </w:tcPr>
          <w:p w14:paraId="0D869EF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4.32***</w:t>
            </w:r>
          </w:p>
        </w:tc>
        <w:tc>
          <w:tcPr>
            <w:tcW w:w="750" w:type="dxa"/>
            <w:tcMar>
              <w:top w:w="15" w:type="dxa"/>
              <w:left w:w="75" w:type="dxa"/>
              <w:bottom w:w="15" w:type="dxa"/>
              <w:right w:w="75" w:type="dxa"/>
            </w:tcMar>
            <w:vAlign w:val="center"/>
            <w:hideMark/>
          </w:tcPr>
          <w:p w14:paraId="008E44A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0.20</w:t>
            </w:r>
          </w:p>
        </w:tc>
        <w:tc>
          <w:tcPr>
            <w:tcW w:w="1200" w:type="dxa"/>
            <w:tcMar>
              <w:top w:w="15" w:type="dxa"/>
              <w:left w:w="75" w:type="dxa"/>
              <w:bottom w:w="15" w:type="dxa"/>
              <w:right w:w="75" w:type="dxa"/>
            </w:tcMar>
            <w:vAlign w:val="center"/>
            <w:hideMark/>
          </w:tcPr>
          <w:p w14:paraId="6CEC6DF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408 (300, 516)</w:t>
            </w:r>
          </w:p>
        </w:tc>
      </w:tr>
      <w:tr w:rsidR="00A830A9" w:rsidRPr="00A830A9" w14:paraId="3675FA3F" w14:textId="77777777" w:rsidTr="00F552A0">
        <w:tc>
          <w:tcPr>
            <w:tcW w:w="3226" w:type="dxa"/>
            <w:tcMar>
              <w:top w:w="15" w:type="dxa"/>
              <w:left w:w="75" w:type="dxa"/>
              <w:bottom w:w="15" w:type="dxa"/>
              <w:right w:w="75" w:type="dxa"/>
            </w:tcMar>
            <w:vAlign w:val="center"/>
            <w:hideMark/>
          </w:tcPr>
          <w:p w14:paraId="72D690A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2C79560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(0.18)</w:t>
            </w:r>
          </w:p>
        </w:tc>
        <w:tc>
          <w:tcPr>
            <w:tcW w:w="750" w:type="dxa"/>
            <w:tcMar>
              <w:top w:w="15" w:type="dxa"/>
              <w:left w:w="75" w:type="dxa"/>
              <w:bottom w:w="15" w:type="dxa"/>
              <w:right w:w="75" w:type="dxa"/>
            </w:tcMar>
            <w:vAlign w:val="center"/>
            <w:hideMark/>
          </w:tcPr>
          <w:p w14:paraId="45E5225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(0.46)</w:t>
            </w:r>
          </w:p>
        </w:tc>
        <w:tc>
          <w:tcPr>
            <w:tcW w:w="1200" w:type="dxa"/>
            <w:tcMar>
              <w:top w:w="15" w:type="dxa"/>
              <w:left w:w="75" w:type="dxa"/>
              <w:bottom w:w="15" w:type="dxa"/>
              <w:right w:w="75" w:type="dxa"/>
            </w:tcMar>
            <w:vAlign w:val="center"/>
            <w:hideMark/>
          </w:tcPr>
          <w:p w14:paraId="0262D2A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2438E86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(0.63)</w:t>
            </w:r>
          </w:p>
        </w:tc>
        <w:tc>
          <w:tcPr>
            <w:tcW w:w="750" w:type="dxa"/>
            <w:tcMar>
              <w:top w:w="15" w:type="dxa"/>
              <w:left w:w="75" w:type="dxa"/>
              <w:bottom w:w="15" w:type="dxa"/>
              <w:right w:w="75" w:type="dxa"/>
            </w:tcMar>
            <w:vAlign w:val="center"/>
            <w:hideMark/>
          </w:tcPr>
          <w:p w14:paraId="3637873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(0.51)</w:t>
            </w:r>
          </w:p>
        </w:tc>
        <w:tc>
          <w:tcPr>
            <w:tcW w:w="1200" w:type="dxa"/>
            <w:tcMar>
              <w:top w:w="15" w:type="dxa"/>
              <w:left w:w="75" w:type="dxa"/>
              <w:bottom w:w="15" w:type="dxa"/>
              <w:right w:w="75" w:type="dxa"/>
            </w:tcMar>
            <w:vAlign w:val="center"/>
            <w:hideMark/>
          </w:tcPr>
          <w:p w14:paraId="0B4A24E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783F1E0C" w14:textId="77777777" w:rsidTr="00F552A0">
        <w:tc>
          <w:tcPr>
            <w:tcW w:w="3226" w:type="dxa"/>
            <w:tcMar>
              <w:top w:w="15" w:type="dxa"/>
              <w:left w:w="75" w:type="dxa"/>
              <w:bottom w:w="15" w:type="dxa"/>
              <w:right w:w="75" w:type="dxa"/>
            </w:tcMar>
            <w:vAlign w:val="center"/>
            <w:hideMark/>
          </w:tcPr>
          <w:p w14:paraId="670E1E4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600 m (vs 900 m)</w:t>
            </w:r>
          </w:p>
        </w:tc>
        <w:tc>
          <w:tcPr>
            <w:tcW w:w="950" w:type="dxa"/>
            <w:tcMar>
              <w:top w:w="15" w:type="dxa"/>
              <w:left w:w="75" w:type="dxa"/>
              <w:bottom w:w="15" w:type="dxa"/>
              <w:right w:w="75" w:type="dxa"/>
            </w:tcMar>
            <w:vAlign w:val="center"/>
            <w:hideMark/>
          </w:tcPr>
          <w:p w14:paraId="23AD3A8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0.38***</w:t>
            </w:r>
          </w:p>
        </w:tc>
        <w:tc>
          <w:tcPr>
            <w:tcW w:w="750" w:type="dxa"/>
            <w:tcMar>
              <w:top w:w="15" w:type="dxa"/>
              <w:left w:w="75" w:type="dxa"/>
              <w:bottom w:w="15" w:type="dxa"/>
              <w:right w:w="75" w:type="dxa"/>
            </w:tcMar>
            <w:vAlign w:val="center"/>
            <w:hideMark/>
          </w:tcPr>
          <w:p w14:paraId="47AB1C9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-0.15</w:t>
            </w:r>
          </w:p>
        </w:tc>
        <w:tc>
          <w:tcPr>
            <w:tcW w:w="1200" w:type="dxa"/>
            <w:tcMar>
              <w:top w:w="15" w:type="dxa"/>
              <w:left w:w="75" w:type="dxa"/>
              <w:bottom w:w="15" w:type="dxa"/>
              <w:right w:w="75" w:type="dxa"/>
            </w:tcMar>
            <w:vAlign w:val="center"/>
            <w:hideMark/>
          </w:tcPr>
          <w:p w14:paraId="0A75AF7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74 (31, 117)</w:t>
            </w:r>
          </w:p>
        </w:tc>
        <w:tc>
          <w:tcPr>
            <w:tcW w:w="950" w:type="dxa"/>
            <w:tcMar>
              <w:top w:w="15" w:type="dxa"/>
              <w:left w:w="75" w:type="dxa"/>
              <w:bottom w:w="15" w:type="dxa"/>
              <w:right w:w="75" w:type="dxa"/>
            </w:tcMar>
            <w:vAlign w:val="center"/>
            <w:hideMark/>
          </w:tcPr>
          <w:p w14:paraId="5FDA434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0.49</w:t>
            </w:r>
          </w:p>
        </w:tc>
        <w:tc>
          <w:tcPr>
            <w:tcW w:w="750" w:type="dxa"/>
            <w:tcMar>
              <w:top w:w="15" w:type="dxa"/>
              <w:left w:w="75" w:type="dxa"/>
              <w:bottom w:w="15" w:type="dxa"/>
              <w:right w:w="75" w:type="dxa"/>
            </w:tcMar>
            <w:vAlign w:val="center"/>
            <w:hideMark/>
          </w:tcPr>
          <w:p w14:paraId="5354A23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-0.10</w:t>
            </w:r>
          </w:p>
        </w:tc>
        <w:tc>
          <w:tcPr>
            <w:tcW w:w="1200" w:type="dxa"/>
            <w:tcMar>
              <w:top w:w="15" w:type="dxa"/>
              <w:left w:w="75" w:type="dxa"/>
              <w:bottom w:w="15" w:type="dxa"/>
              <w:right w:w="75" w:type="dxa"/>
            </w:tcMar>
            <w:vAlign w:val="center"/>
            <w:hideMark/>
          </w:tcPr>
          <w:p w14:paraId="70E0B9A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46 (-14, 106)</w:t>
            </w:r>
          </w:p>
        </w:tc>
      </w:tr>
      <w:tr w:rsidR="00A830A9" w:rsidRPr="00A830A9" w14:paraId="1F949D16" w14:textId="77777777" w:rsidTr="00F552A0">
        <w:tc>
          <w:tcPr>
            <w:tcW w:w="3226" w:type="dxa"/>
            <w:tcMar>
              <w:top w:w="15" w:type="dxa"/>
              <w:left w:w="75" w:type="dxa"/>
              <w:bottom w:w="15" w:type="dxa"/>
              <w:right w:w="75" w:type="dxa"/>
            </w:tcMar>
            <w:vAlign w:val="center"/>
            <w:hideMark/>
          </w:tcPr>
          <w:p w14:paraId="28709F3B"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399716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(0.11)</w:t>
            </w:r>
          </w:p>
        </w:tc>
        <w:tc>
          <w:tcPr>
            <w:tcW w:w="750" w:type="dxa"/>
            <w:tcMar>
              <w:top w:w="15" w:type="dxa"/>
              <w:left w:w="75" w:type="dxa"/>
              <w:bottom w:w="15" w:type="dxa"/>
              <w:right w:w="75" w:type="dxa"/>
            </w:tcMar>
            <w:vAlign w:val="center"/>
            <w:hideMark/>
          </w:tcPr>
          <w:p w14:paraId="30A1380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(0.26)</w:t>
            </w:r>
          </w:p>
        </w:tc>
        <w:tc>
          <w:tcPr>
            <w:tcW w:w="1200" w:type="dxa"/>
            <w:tcMar>
              <w:top w:w="15" w:type="dxa"/>
              <w:left w:w="75" w:type="dxa"/>
              <w:bottom w:w="15" w:type="dxa"/>
              <w:right w:w="75" w:type="dxa"/>
            </w:tcMar>
            <w:vAlign w:val="center"/>
            <w:hideMark/>
          </w:tcPr>
          <w:p w14:paraId="33EECDF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6B61494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(0.31)</w:t>
            </w:r>
          </w:p>
        </w:tc>
        <w:tc>
          <w:tcPr>
            <w:tcW w:w="750" w:type="dxa"/>
            <w:tcMar>
              <w:top w:w="15" w:type="dxa"/>
              <w:left w:w="75" w:type="dxa"/>
              <w:bottom w:w="15" w:type="dxa"/>
              <w:right w:w="75" w:type="dxa"/>
            </w:tcMar>
            <w:vAlign w:val="center"/>
            <w:hideMark/>
          </w:tcPr>
          <w:p w14:paraId="0E446DD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(0.34)</w:t>
            </w:r>
          </w:p>
        </w:tc>
        <w:tc>
          <w:tcPr>
            <w:tcW w:w="1200" w:type="dxa"/>
            <w:tcMar>
              <w:top w:w="15" w:type="dxa"/>
              <w:left w:w="75" w:type="dxa"/>
              <w:bottom w:w="15" w:type="dxa"/>
              <w:right w:w="75" w:type="dxa"/>
            </w:tcMar>
            <w:vAlign w:val="center"/>
            <w:hideMark/>
          </w:tcPr>
          <w:p w14:paraId="7236137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24C54AEE" w14:textId="77777777" w:rsidTr="00F552A0">
        <w:tc>
          <w:tcPr>
            <w:tcW w:w="3226" w:type="dxa"/>
            <w:tcMar>
              <w:top w:w="15" w:type="dxa"/>
              <w:left w:w="75" w:type="dxa"/>
              <w:bottom w:w="15" w:type="dxa"/>
              <w:right w:w="75" w:type="dxa"/>
            </w:tcMar>
            <w:vAlign w:val="center"/>
            <w:hideMark/>
          </w:tcPr>
          <w:p w14:paraId="235B0FF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300 m (vs 900 m)</w:t>
            </w:r>
          </w:p>
        </w:tc>
        <w:tc>
          <w:tcPr>
            <w:tcW w:w="950" w:type="dxa"/>
            <w:tcMar>
              <w:top w:w="15" w:type="dxa"/>
              <w:left w:w="75" w:type="dxa"/>
              <w:bottom w:w="15" w:type="dxa"/>
              <w:right w:w="75" w:type="dxa"/>
            </w:tcMar>
            <w:vAlign w:val="center"/>
            <w:hideMark/>
          </w:tcPr>
          <w:p w14:paraId="7780285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1.15***</w:t>
            </w:r>
          </w:p>
        </w:tc>
        <w:tc>
          <w:tcPr>
            <w:tcW w:w="750" w:type="dxa"/>
            <w:tcMar>
              <w:top w:w="15" w:type="dxa"/>
              <w:left w:w="75" w:type="dxa"/>
              <w:bottom w:w="15" w:type="dxa"/>
              <w:right w:w="75" w:type="dxa"/>
            </w:tcMar>
            <w:vAlign w:val="center"/>
            <w:hideMark/>
          </w:tcPr>
          <w:p w14:paraId="0A98282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0.79***</w:t>
            </w:r>
          </w:p>
        </w:tc>
        <w:tc>
          <w:tcPr>
            <w:tcW w:w="1200" w:type="dxa"/>
            <w:tcMar>
              <w:top w:w="15" w:type="dxa"/>
              <w:left w:w="75" w:type="dxa"/>
              <w:bottom w:w="15" w:type="dxa"/>
              <w:right w:w="75" w:type="dxa"/>
            </w:tcMar>
            <w:vAlign w:val="center"/>
            <w:hideMark/>
          </w:tcPr>
          <w:p w14:paraId="0A497A4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227 (175, 279)</w:t>
            </w:r>
          </w:p>
        </w:tc>
        <w:tc>
          <w:tcPr>
            <w:tcW w:w="950" w:type="dxa"/>
            <w:tcMar>
              <w:top w:w="15" w:type="dxa"/>
              <w:left w:w="75" w:type="dxa"/>
              <w:bottom w:w="15" w:type="dxa"/>
              <w:right w:w="75" w:type="dxa"/>
            </w:tcMar>
            <w:vAlign w:val="center"/>
            <w:hideMark/>
          </w:tcPr>
          <w:p w14:paraId="3FE5817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1.42***</w:t>
            </w:r>
          </w:p>
        </w:tc>
        <w:tc>
          <w:tcPr>
            <w:tcW w:w="750" w:type="dxa"/>
            <w:tcMar>
              <w:top w:w="15" w:type="dxa"/>
              <w:left w:w="75" w:type="dxa"/>
              <w:bottom w:w="15" w:type="dxa"/>
              <w:right w:w="75" w:type="dxa"/>
            </w:tcMar>
            <w:vAlign w:val="center"/>
            <w:hideMark/>
          </w:tcPr>
          <w:p w14:paraId="62A378A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0.33</w:t>
            </w:r>
          </w:p>
        </w:tc>
        <w:tc>
          <w:tcPr>
            <w:tcW w:w="1200" w:type="dxa"/>
            <w:tcMar>
              <w:top w:w="15" w:type="dxa"/>
              <w:left w:w="75" w:type="dxa"/>
              <w:bottom w:w="15" w:type="dxa"/>
              <w:right w:w="75" w:type="dxa"/>
            </w:tcMar>
            <w:vAlign w:val="center"/>
            <w:hideMark/>
          </w:tcPr>
          <w:p w14:paraId="3457BB9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134 (78, 190)</w:t>
            </w:r>
          </w:p>
        </w:tc>
      </w:tr>
      <w:tr w:rsidR="00A830A9" w:rsidRPr="00A830A9" w14:paraId="2673C1A5" w14:textId="77777777" w:rsidTr="00F552A0">
        <w:tc>
          <w:tcPr>
            <w:tcW w:w="3226" w:type="dxa"/>
            <w:tcMar>
              <w:top w:w="15" w:type="dxa"/>
              <w:left w:w="75" w:type="dxa"/>
              <w:bottom w:w="15" w:type="dxa"/>
              <w:right w:w="75" w:type="dxa"/>
            </w:tcMar>
            <w:vAlign w:val="center"/>
            <w:hideMark/>
          </w:tcPr>
          <w:p w14:paraId="3FD85E95"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6AB156F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(0.13)</w:t>
            </w:r>
          </w:p>
        </w:tc>
        <w:tc>
          <w:tcPr>
            <w:tcW w:w="750" w:type="dxa"/>
            <w:tcMar>
              <w:top w:w="15" w:type="dxa"/>
              <w:left w:w="75" w:type="dxa"/>
              <w:bottom w:w="15" w:type="dxa"/>
              <w:right w:w="75" w:type="dxa"/>
            </w:tcMar>
            <w:vAlign w:val="center"/>
            <w:hideMark/>
          </w:tcPr>
          <w:p w14:paraId="30621D9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(0.22)</w:t>
            </w:r>
          </w:p>
        </w:tc>
        <w:tc>
          <w:tcPr>
            <w:tcW w:w="1200" w:type="dxa"/>
            <w:tcMar>
              <w:top w:w="15" w:type="dxa"/>
              <w:left w:w="75" w:type="dxa"/>
              <w:bottom w:w="15" w:type="dxa"/>
              <w:right w:w="75" w:type="dxa"/>
            </w:tcMar>
            <w:vAlign w:val="center"/>
            <w:hideMark/>
          </w:tcPr>
          <w:p w14:paraId="3F161E3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4E92278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(0.30)</w:t>
            </w:r>
          </w:p>
        </w:tc>
        <w:tc>
          <w:tcPr>
            <w:tcW w:w="750" w:type="dxa"/>
            <w:tcMar>
              <w:top w:w="15" w:type="dxa"/>
              <w:left w:w="75" w:type="dxa"/>
              <w:bottom w:w="15" w:type="dxa"/>
              <w:right w:w="75" w:type="dxa"/>
            </w:tcMar>
            <w:vAlign w:val="center"/>
            <w:hideMark/>
          </w:tcPr>
          <w:p w14:paraId="58044AE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(0.40)</w:t>
            </w:r>
          </w:p>
        </w:tc>
        <w:tc>
          <w:tcPr>
            <w:tcW w:w="1200" w:type="dxa"/>
            <w:tcMar>
              <w:top w:w="15" w:type="dxa"/>
              <w:left w:w="75" w:type="dxa"/>
              <w:bottom w:w="15" w:type="dxa"/>
              <w:right w:w="75" w:type="dxa"/>
            </w:tcMar>
            <w:vAlign w:val="center"/>
            <w:hideMark/>
          </w:tcPr>
          <w:p w14:paraId="37BB45D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49F376A0" w14:textId="77777777" w:rsidTr="00F552A0">
        <w:tc>
          <w:tcPr>
            <w:tcW w:w="3226" w:type="dxa"/>
            <w:tcMar>
              <w:top w:w="15" w:type="dxa"/>
              <w:left w:w="75" w:type="dxa"/>
              <w:bottom w:w="15" w:type="dxa"/>
              <w:right w:w="75" w:type="dxa"/>
            </w:tcMar>
            <w:vAlign w:val="center"/>
            <w:hideMark/>
          </w:tcPr>
          <w:p w14:paraId="41D89DA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garage (vs none)</w:t>
            </w:r>
          </w:p>
        </w:tc>
        <w:tc>
          <w:tcPr>
            <w:tcW w:w="950" w:type="dxa"/>
            <w:tcMar>
              <w:top w:w="15" w:type="dxa"/>
              <w:left w:w="75" w:type="dxa"/>
              <w:bottom w:w="15" w:type="dxa"/>
              <w:right w:w="75" w:type="dxa"/>
            </w:tcMar>
            <w:vAlign w:val="center"/>
            <w:hideMark/>
          </w:tcPr>
          <w:p w14:paraId="2E25BB4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2.98***</w:t>
            </w:r>
          </w:p>
        </w:tc>
        <w:tc>
          <w:tcPr>
            <w:tcW w:w="750" w:type="dxa"/>
            <w:tcMar>
              <w:top w:w="15" w:type="dxa"/>
              <w:left w:w="75" w:type="dxa"/>
              <w:bottom w:w="15" w:type="dxa"/>
              <w:right w:w="75" w:type="dxa"/>
            </w:tcMar>
            <w:vAlign w:val="center"/>
            <w:hideMark/>
          </w:tcPr>
          <w:p w14:paraId="788F87C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-0.94***</w:t>
            </w:r>
          </w:p>
        </w:tc>
        <w:tc>
          <w:tcPr>
            <w:tcW w:w="1200" w:type="dxa"/>
            <w:tcMar>
              <w:top w:w="15" w:type="dxa"/>
              <w:left w:w="75" w:type="dxa"/>
              <w:bottom w:w="15" w:type="dxa"/>
              <w:right w:w="75" w:type="dxa"/>
            </w:tcMar>
            <w:vAlign w:val="center"/>
            <w:hideMark/>
          </w:tcPr>
          <w:p w14:paraId="35590BC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587 (502, 672)</w:t>
            </w:r>
          </w:p>
        </w:tc>
        <w:tc>
          <w:tcPr>
            <w:tcW w:w="950" w:type="dxa"/>
            <w:tcMar>
              <w:top w:w="15" w:type="dxa"/>
              <w:left w:w="75" w:type="dxa"/>
              <w:bottom w:w="15" w:type="dxa"/>
              <w:right w:w="75" w:type="dxa"/>
            </w:tcMar>
            <w:vAlign w:val="center"/>
            <w:hideMark/>
          </w:tcPr>
          <w:p w14:paraId="342692F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2.70***</w:t>
            </w:r>
          </w:p>
        </w:tc>
        <w:tc>
          <w:tcPr>
            <w:tcW w:w="750" w:type="dxa"/>
            <w:tcMar>
              <w:top w:w="15" w:type="dxa"/>
              <w:left w:w="75" w:type="dxa"/>
              <w:bottom w:w="15" w:type="dxa"/>
              <w:right w:w="75" w:type="dxa"/>
            </w:tcMar>
            <w:vAlign w:val="center"/>
            <w:hideMark/>
          </w:tcPr>
          <w:p w14:paraId="46E0B8E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1.06**</w:t>
            </w:r>
          </w:p>
        </w:tc>
        <w:tc>
          <w:tcPr>
            <w:tcW w:w="1200" w:type="dxa"/>
            <w:tcMar>
              <w:top w:w="15" w:type="dxa"/>
              <w:left w:w="75" w:type="dxa"/>
              <w:bottom w:w="15" w:type="dxa"/>
              <w:right w:w="75" w:type="dxa"/>
            </w:tcMar>
            <w:vAlign w:val="center"/>
            <w:hideMark/>
          </w:tcPr>
          <w:p w14:paraId="3621CE4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254 (183, 325)</w:t>
            </w:r>
          </w:p>
        </w:tc>
      </w:tr>
      <w:tr w:rsidR="00A830A9" w:rsidRPr="00A830A9" w14:paraId="564B4B30" w14:textId="77777777" w:rsidTr="00F552A0">
        <w:tc>
          <w:tcPr>
            <w:tcW w:w="3226" w:type="dxa"/>
            <w:tcMar>
              <w:top w:w="15" w:type="dxa"/>
              <w:left w:w="75" w:type="dxa"/>
              <w:bottom w:w="15" w:type="dxa"/>
              <w:right w:w="75" w:type="dxa"/>
            </w:tcMar>
            <w:vAlign w:val="center"/>
            <w:hideMark/>
          </w:tcPr>
          <w:p w14:paraId="1C1AA321"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44F0FC0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(0.19)</w:t>
            </w:r>
          </w:p>
        </w:tc>
        <w:tc>
          <w:tcPr>
            <w:tcW w:w="750" w:type="dxa"/>
            <w:tcMar>
              <w:top w:w="15" w:type="dxa"/>
              <w:left w:w="75" w:type="dxa"/>
              <w:bottom w:w="15" w:type="dxa"/>
              <w:right w:w="75" w:type="dxa"/>
            </w:tcMar>
            <w:vAlign w:val="center"/>
            <w:hideMark/>
          </w:tcPr>
          <w:p w14:paraId="6C00BC7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(0.21)</w:t>
            </w:r>
          </w:p>
        </w:tc>
        <w:tc>
          <w:tcPr>
            <w:tcW w:w="1200" w:type="dxa"/>
            <w:tcMar>
              <w:top w:w="15" w:type="dxa"/>
              <w:left w:w="75" w:type="dxa"/>
              <w:bottom w:w="15" w:type="dxa"/>
              <w:right w:w="75" w:type="dxa"/>
            </w:tcMar>
            <w:vAlign w:val="center"/>
            <w:hideMark/>
          </w:tcPr>
          <w:p w14:paraId="734AA54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11B3677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(0.44)</w:t>
            </w:r>
          </w:p>
        </w:tc>
        <w:tc>
          <w:tcPr>
            <w:tcW w:w="750" w:type="dxa"/>
            <w:tcMar>
              <w:top w:w="15" w:type="dxa"/>
              <w:left w:w="75" w:type="dxa"/>
              <w:bottom w:w="15" w:type="dxa"/>
              <w:right w:w="75" w:type="dxa"/>
            </w:tcMar>
            <w:vAlign w:val="center"/>
            <w:hideMark/>
          </w:tcPr>
          <w:p w14:paraId="2A941B0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(0.35)</w:t>
            </w:r>
          </w:p>
        </w:tc>
        <w:tc>
          <w:tcPr>
            <w:tcW w:w="1200" w:type="dxa"/>
            <w:tcMar>
              <w:top w:w="15" w:type="dxa"/>
              <w:left w:w="75" w:type="dxa"/>
              <w:bottom w:w="15" w:type="dxa"/>
              <w:right w:w="75" w:type="dxa"/>
            </w:tcMar>
            <w:vAlign w:val="center"/>
            <w:hideMark/>
          </w:tcPr>
          <w:p w14:paraId="0EDD2E7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7576914F" w14:textId="77777777" w:rsidTr="00F552A0">
        <w:tc>
          <w:tcPr>
            <w:tcW w:w="3226" w:type="dxa"/>
            <w:tcMar>
              <w:top w:w="15" w:type="dxa"/>
              <w:left w:w="75" w:type="dxa"/>
              <w:bottom w:w="15" w:type="dxa"/>
              <w:right w:w="75" w:type="dxa"/>
            </w:tcMar>
            <w:vAlign w:val="center"/>
            <w:hideMark/>
          </w:tcPr>
          <w:p w14:paraId="21905BB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space (vs none)</w:t>
            </w:r>
          </w:p>
        </w:tc>
        <w:tc>
          <w:tcPr>
            <w:tcW w:w="950" w:type="dxa"/>
            <w:tcMar>
              <w:top w:w="15" w:type="dxa"/>
              <w:left w:w="75" w:type="dxa"/>
              <w:bottom w:w="15" w:type="dxa"/>
              <w:right w:w="75" w:type="dxa"/>
            </w:tcMar>
            <w:vAlign w:val="center"/>
            <w:hideMark/>
          </w:tcPr>
          <w:p w14:paraId="3A1C195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2.43***</w:t>
            </w:r>
          </w:p>
        </w:tc>
        <w:tc>
          <w:tcPr>
            <w:tcW w:w="750" w:type="dxa"/>
            <w:tcMar>
              <w:top w:w="15" w:type="dxa"/>
              <w:left w:w="75" w:type="dxa"/>
              <w:bottom w:w="15" w:type="dxa"/>
              <w:right w:w="75" w:type="dxa"/>
            </w:tcMar>
            <w:vAlign w:val="center"/>
            <w:hideMark/>
          </w:tcPr>
          <w:p w14:paraId="6304AA2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2.27***</w:t>
            </w:r>
          </w:p>
        </w:tc>
        <w:tc>
          <w:tcPr>
            <w:tcW w:w="1200" w:type="dxa"/>
            <w:tcMar>
              <w:top w:w="15" w:type="dxa"/>
              <w:left w:w="75" w:type="dxa"/>
              <w:bottom w:w="15" w:type="dxa"/>
              <w:right w:w="75" w:type="dxa"/>
            </w:tcMar>
            <w:vAlign w:val="center"/>
            <w:hideMark/>
          </w:tcPr>
          <w:p w14:paraId="4500263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478 (414, 542)</w:t>
            </w:r>
          </w:p>
        </w:tc>
        <w:tc>
          <w:tcPr>
            <w:tcW w:w="950" w:type="dxa"/>
            <w:tcMar>
              <w:top w:w="15" w:type="dxa"/>
              <w:left w:w="75" w:type="dxa"/>
              <w:bottom w:w="15" w:type="dxa"/>
              <w:right w:w="75" w:type="dxa"/>
            </w:tcMar>
            <w:vAlign w:val="center"/>
            <w:hideMark/>
          </w:tcPr>
          <w:p w14:paraId="31C788A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2.64***</w:t>
            </w:r>
          </w:p>
        </w:tc>
        <w:tc>
          <w:tcPr>
            <w:tcW w:w="750" w:type="dxa"/>
            <w:tcMar>
              <w:top w:w="15" w:type="dxa"/>
              <w:left w:w="75" w:type="dxa"/>
              <w:bottom w:w="15" w:type="dxa"/>
              <w:right w:w="75" w:type="dxa"/>
            </w:tcMar>
            <w:vAlign w:val="center"/>
            <w:hideMark/>
          </w:tcPr>
          <w:p w14:paraId="4ED1C1E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2.68***</w:t>
            </w:r>
          </w:p>
        </w:tc>
        <w:tc>
          <w:tcPr>
            <w:tcW w:w="1200" w:type="dxa"/>
            <w:tcMar>
              <w:top w:w="15" w:type="dxa"/>
              <w:left w:w="75" w:type="dxa"/>
              <w:bottom w:w="15" w:type="dxa"/>
              <w:right w:w="75" w:type="dxa"/>
            </w:tcMar>
            <w:vAlign w:val="center"/>
            <w:hideMark/>
          </w:tcPr>
          <w:p w14:paraId="6009DD2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Pr>
                <w:rFonts w:ascii="Times New Roman" w:hAnsi="Times New Roman" w:cs="Times New Roman"/>
                <w:sz w:val="18"/>
                <w:szCs w:val="18"/>
              </w:rPr>
              <w:t>249 (186, 312)</w:t>
            </w:r>
          </w:p>
        </w:tc>
      </w:tr>
      <w:tr w:rsidR="00A830A9" w:rsidRPr="00A830A9" w14:paraId="42A9FF47" w14:textId="77777777" w:rsidTr="00F552A0">
        <w:tc>
          <w:tcPr>
            <w:tcW w:w="3226" w:type="dxa"/>
            <w:tcMar>
              <w:top w:w="15" w:type="dxa"/>
              <w:left w:w="75" w:type="dxa"/>
              <w:bottom w:w="15" w:type="dxa"/>
              <w:right w:w="75" w:type="dxa"/>
            </w:tcMar>
            <w:vAlign w:val="center"/>
            <w:hideMark/>
          </w:tcPr>
          <w:p w14:paraId="60B189F8"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1606DC1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(0.17)</w:t>
            </w:r>
          </w:p>
        </w:tc>
        <w:tc>
          <w:tcPr>
            <w:tcW w:w="750" w:type="dxa"/>
            <w:tcMar>
              <w:top w:w="15" w:type="dxa"/>
              <w:left w:w="75" w:type="dxa"/>
              <w:bottom w:w="15" w:type="dxa"/>
              <w:right w:w="75" w:type="dxa"/>
            </w:tcMar>
            <w:vAlign w:val="center"/>
            <w:hideMark/>
          </w:tcPr>
          <w:p w14:paraId="2037296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(0.19)</w:t>
            </w:r>
          </w:p>
        </w:tc>
        <w:tc>
          <w:tcPr>
            <w:tcW w:w="1200" w:type="dxa"/>
            <w:tcMar>
              <w:top w:w="15" w:type="dxa"/>
              <w:left w:w="75" w:type="dxa"/>
              <w:bottom w:w="15" w:type="dxa"/>
              <w:right w:w="75" w:type="dxa"/>
            </w:tcMar>
            <w:vAlign w:val="center"/>
            <w:hideMark/>
          </w:tcPr>
          <w:p w14:paraId="7F3BA78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2E97142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(0.43)</w:t>
            </w:r>
          </w:p>
        </w:tc>
        <w:tc>
          <w:tcPr>
            <w:tcW w:w="750" w:type="dxa"/>
            <w:tcMar>
              <w:top w:w="15" w:type="dxa"/>
              <w:left w:w="75" w:type="dxa"/>
              <w:bottom w:w="15" w:type="dxa"/>
              <w:right w:w="75" w:type="dxa"/>
            </w:tcMar>
            <w:vAlign w:val="center"/>
            <w:hideMark/>
          </w:tcPr>
          <w:p w14:paraId="74EDE14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(0.52)</w:t>
            </w:r>
          </w:p>
        </w:tc>
        <w:tc>
          <w:tcPr>
            <w:tcW w:w="1200" w:type="dxa"/>
            <w:tcMar>
              <w:top w:w="15" w:type="dxa"/>
              <w:left w:w="75" w:type="dxa"/>
              <w:bottom w:w="15" w:type="dxa"/>
              <w:right w:w="75" w:type="dxa"/>
            </w:tcMar>
            <w:vAlign w:val="center"/>
            <w:hideMark/>
          </w:tcPr>
          <w:p w14:paraId="64E8665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41119A8A" w14:textId="77777777" w:rsidTr="00F552A0">
        <w:tc>
          <w:tcPr>
            <w:tcW w:w="3226" w:type="dxa"/>
            <w:tcBorders>
              <w:bottom w:val="nil"/>
            </w:tcBorders>
            <w:tcMar>
              <w:top w:w="15" w:type="dxa"/>
              <w:left w:w="75" w:type="dxa"/>
              <w:bottom w:w="15" w:type="dxa"/>
              <w:right w:w="75" w:type="dxa"/>
            </w:tcMar>
            <w:vAlign w:val="center"/>
            <w:hideMark/>
          </w:tcPr>
          <w:p w14:paraId="0EB3161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Cost</w:t>
            </w:r>
          </w:p>
        </w:tc>
        <w:tc>
          <w:tcPr>
            <w:tcW w:w="950" w:type="dxa"/>
            <w:tcBorders>
              <w:bottom w:val="nil"/>
            </w:tcBorders>
            <w:tcMar>
              <w:top w:w="15" w:type="dxa"/>
              <w:left w:w="75" w:type="dxa"/>
              <w:bottom w:w="15" w:type="dxa"/>
              <w:right w:w="75" w:type="dxa"/>
            </w:tcMar>
            <w:vAlign w:val="center"/>
            <w:hideMark/>
          </w:tcPr>
          <w:p w14:paraId="07626AC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-5.08***</w:t>
            </w:r>
          </w:p>
        </w:tc>
        <w:tc>
          <w:tcPr>
            <w:tcW w:w="750" w:type="dxa"/>
            <w:tcBorders>
              <w:bottom w:val="nil"/>
            </w:tcBorders>
            <w:tcMar>
              <w:top w:w="15" w:type="dxa"/>
              <w:left w:w="75" w:type="dxa"/>
              <w:bottom w:w="15" w:type="dxa"/>
              <w:right w:w="75" w:type="dxa"/>
            </w:tcMar>
            <w:vAlign w:val="center"/>
            <w:hideMark/>
          </w:tcPr>
          <w:p w14:paraId="65A6737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3DA9422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bottom w:val="nil"/>
            </w:tcBorders>
            <w:tcMar>
              <w:top w:w="15" w:type="dxa"/>
              <w:left w:w="75" w:type="dxa"/>
              <w:bottom w:w="15" w:type="dxa"/>
              <w:right w:w="75" w:type="dxa"/>
            </w:tcMar>
            <w:vAlign w:val="center"/>
            <w:hideMark/>
          </w:tcPr>
          <w:p w14:paraId="215C81E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-9.54***</w:t>
            </w:r>
          </w:p>
        </w:tc>
        <w:tc>
          <w:tcPr>
            <w:tcW w:w="750" w:type="dxa"/>
            <w:tcBorders>
              <w:bottom w:val="nil"/>
            </w:tcBorders>
            <w:tcMar>
              <w:top w:w="15" w:type="dxa"/>
              <w:left w:w="75" w:type="dxa"/>
              <w:bottom w:w="15" w:type="dxa"/>
              <w:right w:w="75" w:type="dxa"/>
            </w:tcMar>
            <w:vAlign w:val="center"/>
            <w:hideMark/>
          </w:tcPr>
          <w:p w14:paraId="74F1492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6791024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33935E61" w14:textId="77777777" w:rsidTr="00F552A0">
        <w:tc>
          <w:tcPr>
            <w:tcW w:w="3226" w:type="dxa"/>
            <w:tcBorders>
              <w:top w:val="nil"/>
              <w:bottom w:val="single" w:sz="4" w:space="0" w:color="auto"/>
            </w:tcBorders>
            <w:tcMar>
              <w:top w:w="15" w:type="dxa"/>
              <w:left w:w="75" w:type="dxa"/>
              <w:bottom w:w="15" w:type="dxa"/>
              <w:right w:w="75" w:type="dxa"/>
            </w:tcMar>
            <w:vAlign w:val="center"/>
            <w:hideMark/>
          </w:tcPr>
          <w:p w14:paraId="5B6268D0"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950" w:type="dxa"/>
            <w:tcBorders>
              <w:top w:val="nil"/>
              <w:bottom w:val="single" w:sz="4" w:space="0" w:color="auto"/>
            </w:tcBorders>
            <w:tcMar>
              <w:top w:w="15" w:type="dxa"/>
              <w:left w:w="75" w:type="dxa"/>
              <w:bottom w:w="15" w:type="dxa"/>
              <w:right w:w="75" w:type="dxa"/>
            </w:tcMar>
            <w:vAlign w:val="center"/>
            <w:hideMark/>
          </w:tcPr>
          <w:p w14:paraId="695BD4B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(0.35)</w:t>
            </w:r>
          </w:p>
        </w:tc>
        <w:tc>
          <w:tcPr>
            <w:tcW w:w="750" w:type="dxa"/>
            <w:tcBorders>
              <w:top w:val="nil"/>
              <w:bottom w:val="single" w:sz="4" w:space="0" w:color="auto"/>
            </w:tcBorders>
            <w:tcMar>
              <w:top w:w="15" w:type="dxa"/>
              <w:left w:w="75" w:type="dxa"/>
              <w:bottom w:w="15" w:type="dxa"/>
              <w:right w:w="75" w:type="dxa"/>
            </w:tcMar>
            <w:vAlign w:val="center"/>
            <w:hideMark/>
          </w:tcPr>
          <w:p w14:paraId="02FD6D6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4F5B670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nil"/>
              <w:bottom w:val="single" w:sz="4" w:space="0" w:color="auto"/>
            </w:tcBorders>
            <w:tcMar>
              <w:top w:w="15" w:type="dxa"/>
              <w:left w:w="75" w:type="dxa"/>
              <w:bottom w:w="15" w:type="dxa"/>
              <w:right w:w="75" w:type="dxa"/>
            </w:tcMar>
            <w:vAlign w:val="center"/>
            <w:hideMark/>
          </w:tcPr>
          <w:p w14:paraId="008C6A7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(1.25)</w:t>
            </w:r>
          </w:p>
        </w:tc>
        <w:tc>
          <w:tcPr>
            <w:tcW w:w="750" w:type="dxa"/>
            <w:tcBorders>
              <w:top w:val="nil"/>
              <w:bottom w:val="single" w:sz="4" w:space="0" w:color="auto"/>
            </w:tcBorders>
            <w:tcMar>
              <w:top w:w="15" w:type="dxa"/>
              <w:left w:w="75" w:type="dxa"/>
              <w:bottom w:w="15" w:type="dxa"/>
              <w:right w:w="75" w:type="dxa"/>
            </w:tcMar>
            <w:vAlign w:val="center"/>
            <w:hideMark/>
          </w:tcPr>
          <w:p w14:paraId="25DDF9F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4FCAD67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4605C31C" w14:textId="77777777" w:rsidTr="00F552A0">
        <w:tc>
          <w:tcPr>
            <w:tcW w:w="3226" w:type="dxa"/>
            <w:tcBorders>
              <w:top w:val="single" w:sz="4" w:space="0" w:color="auto"/>
            </w:tcBorders>
            <w:tcMar>
              <w:top w:w="15" w:type="dxa"/>
              <w:left w:w="75" w:type="dxa"/>
              <w:bottom w:w="15" w:type="dxa"/>
              <w:right w:w="75" w:type="dxa"/>
            </w:tcMar>
            <w:vAlign w:val="center"/>
            <w:hideMark/>
          </w:tcPr>
          <w:p w14:paraId="37986CA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Num. obs.</w:t>
            </w:r>
          </w:p>
        </w:tc>
        <w:tc>
          <w:tcPr>
            <w:tcW w:w="950" w:type="dxa"/>
            <w:tcBorders>
              <w:top w:val="single" w:sz="4" w:space="0" w:color="auto"/>
            </w:tcBorders>
            <w:tcMar>
              <w:top w:w="15" w:type="dxa"/>
              <w:left w:w="75" w:type="dxa"/>
              <w:bottom w:w="15" w:type="dxa"/>
              <w:right w:w="75" w:type="dxa"/>
            </w:tcMar>
            <w:vAlign w:val="center"/>
            <w:hideMark/>
          </w:tcPr>
          <w:p w14:paraId="6D8E26F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7110</w:t>
            </w:r>
          </w:p>
        </w:tc>
        <w:tc>
          <w:tcPr>
            <w:tcW w:w="750" w:type="dxa"/>
            <w:tcBorders>
              <w:top w:val="single" w:sz="4" w:space="0" w:color="auto"/>
            </w:tcBorders>
            <w:tcMar>
              <w:top w:w="15" w:type="dxa"/>
              <w:left w:w="75" w:type="dxa"/>
              <w:bottom w:w="15" w:type="dxa"/>
              <w:right w:w="75" w:type="dxa"/>
            </w:tcMar>
            <w:vAlign w:val="center"/>
            <w:hideMark/>
          </w:tcPr>
          <w:p w14:paraId="01792D0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single" w:sz="4" w:space="0" w:color="auto"/>
            </w:tcBorders>
            <w:tcMar>
              <w:top w:w="15" w:type="dxa"/>
              <w:left w:w="75" w:type="dxa"/>
              <w:bottom w:w="15" w:type="dxa"/>
              <w:right w:w="75" w:type="dxa"/>
            </w:tcMar>
            <w:vAlign w:val="center"/>
            <w:hideMark/>
          </w:tcPr>
          <w:p w14:paraId="20C0CC4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single" w:sz="4" w:space="0" w:color="auto"/>
            </w:tcBorders>
            <w:tcMar>
              <w:top w:w="15" w:type="dxa"/>
              <w:left w:w="75" w:type="dxa"/>
              <w:bottom w:w="15" w:type="dxa"/>
              <w:right w:w="75" w:type="dxa"/>
            </w:tcMar>
            <w:vAlign w:val="center"/>
            <w:hideMark/>
          </w:tcPr>
          <w:p w14:paraId="1F6A2AE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1458</w:t>
            </w:r>
          </w:p>
        </w:tc>
        <w:tc>
          <w:tcPr>
            <w:tcW w:w="750" w:type="dxa"/>
            <w:tcBorders>
              <w:top w:val="single" w:sz="4" w:space="0" w:color="auto"/>
            </w:tcBorders>
            <w:tcMar>
              <w:top w:w="15" w:type="dxa"/>
              <w:left w:w="75" w:type="dxa"/>
              <w:bottom w:w="15" w:type="dxa"/>
              <w:right w:w="75" w:type="dxa"/>
            </w:tcMar>
            <w:vAlign w:val="center"/>
            <w:hideMark/>
          </w:tcPr>
          <w:p w14:paraId="46FD5E4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single" w:sz="4" w:space="0" w:color="auto"/>
            </w:tcBorders>
            <w:tcMar>
              <w:top w:w="15" w:type="dxa"/>
              <w:left w:w="75" w:type="dxa"/>
              <w:bottom w:w="15" w:type="dxa"/>
              <w:right w:w="75" w:type="dxa"/>
            </w:tcMar>
            <w:vAlign w:val="center"/>
            <w:hideMark/>
          </w:tcPr>
          <w:p w14:paraId="01160D3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0DA26715" w14:textId="77777777" w:rsidTr="00F552A0">
        <w:tc>
          <w:tcPr>
            <w:tcW w:w="3226" w:type="dxa"/>
            <w:tcMar>
              <w:top w:w="15" w:type="dxa"/>
              <w:left w:w="75" w:type="dxa"/>
              <w:bottom w:w="15" w:type="dxa"/>
              <w:right w:w="75" w:type="dxa"/>
            </w:tcMar>
            <w:vAlign w:val="center"/>
            <w:hideMark/>
          </w:tcPr>
          <w:p w14:paraId="661AD1A0"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Log Likelihood</w:t>
            </w:r>
          </w:p>
        </w:tc>
        <w:tc>
          <w:tcPr>
            <w:tcW w:w="950" w:type="dxa"/>
            <w:tcMar>
              <w:top w:w="15" w:type="dxa"/>
              <w:left w:w="75" w:type="dxa"/>
              <w:bottom w:w="15" w:type="dxa"/>
              <w:right w:w="75" w:type="dxa"/>
            </w:tcMar>
            <w:vAlign w:val="center"/>
            <w:hideMark/>
          </w:tcPr>
          <w:p w14:paraId="2DE8E53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-3156.61</w:t>
            </w:r>
          </w:p>
        </w:tc>
        <w:tc>
          <w:tcPr>
            <w:tcW w:w="750" w:type="dxa"/>
            <w:tcMar>
              <w:top w:w="15" w:type="dxa"/>
              <w:left w:w="75" w:type="dxa"/>
              <w:bottom w:w="15" w:type="dxa"/>
              <w:right w:w="75" w:type="dxa"/>
            </w:tcMar>
            <w:vAlign w:val="center"/>
            <w:hideMark/>
          </w:tcPr>
          <w:p w14:paraId="5AAED6C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00739CE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6E569A9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-616.04</w:t>
            </w:r>
          </w:p>
        </w:tc>
        <w:tc>
          <w:tcPr>
            <w:tcW w:w="750" w:type="dxa"/>
            <w:tcMar>
              <w:top w:w="15" w:type="dxa"/>
              <w:left w:w="75" w:type="dxa"/>
              <w:bottom w:w="15" w:type="dxa"/>
              <w:right w:w="75" w:type="dxa"/>
            </w:tcMar>
            <w:vAlign w:val="center"/>
            <w:hideMark/>
          </w:tcPr>
          <w:p w14:paraId="0B7467F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0BC4880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21BCB62A" w14:textId="77777777" w:rsidTr="00F552A0">
        <w:tc>
          <w:tcPr>
            <w:tcW w:w="3226" w:type="dxa"/>
            <w:tcMar>
              <w:top w:w="15" w:type="dxa"/>
              <w:left w:w="75" w:type="dxa"/>
              <w:bottom w:w="15" w:type="dxa"/>
              <w:right w:w="75" w:type="dxa"/>
            </w:tcMar>
            <w:vAlign w:val="center"/>
            <w:hideMark/>
          </w:tcPr>
          <w:p w14:paraId="2A594681"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AIC</w:t>
            </w:r>
          </w:p>
        </w:tc>
        <w:tc>
          <w:tcPr>
            <w:tcW w:w="950" w:type="dxa"/>
            <w:tcMar>
              <w:top w:w="15" w:type="dxa"/>
              <w:left w:w="75" w:type="dxa"/>
              <w:bottom w:w="15" w:type="dxa"/>
              <w:right w:w="75" w:type="dxa"/>
            </w:tcMar>
            <w:vAlign w:val="center"/>
            <w:hideMark/>
          </w:tcPr>
          <w:p w14:paraId="3DF28D5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6403.22</w:t>
            </w:r>
          </w:p>
        </w:tc>
        <w:tc>
          <w:tcPr>
            <w:tcW w:w="750" w:type="dxa"/>
            <w:tcMar>
              <w:top w:w="15" w:type="dxa"/>
              <w:left w:w="75" w:type="dxa"/>
              <w:bottom w:w="15" w:type="dxa"/>
              <w:right w:w="75" w:type="dxa"/>
            </w:tcMar>
            <w:vAlign w:val="center"/>
            <w:hideMark/>
          </w:tcPr>
          <w:p w14:paraId="1D25319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36EBAE9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A96B18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1322.09</w:t>
            </w:r>
          </w:p>
        </w:tc>
        <w:tc>
          <w:tcPr>
            <w:tcW w:w="750" w:type="dxa"/>
            <w:tcMar>
              <w:top w:w="15" w:type="dxa"/>
              <w:left w:w="75" w:type="dxa"/>
              <w:bottom w:w="15" w:type="dxa"/>
              <w:right w:w="75" w:type="dxa"/>
            </w:tcMar>
            <w:vAlign w:val="center"/>
            <w:hideMark/>
          </w:tcPr>
          <w:p w14:paraId="5226330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1E7FA3D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16E156AD" w14:textId="77777777" w:rsidTr="00F552A0">
        <w:tc>
          <w:tcPr>
            <w:tcW w:w="3226" w:type="dxa"/>
            <w:tcMar>
              <w:top w:w="15" w:type="dxa"/>
              <w:left w:w="75" w:type="dxa"/>
              <w:bottom w:w="15" w:type="dxa"/>
              <w:right w:w="75" w:type="dxa"/>
            </w:tcMar>
            <w:vAlign w:val="center"/>
            <w:hideMark/>
          </w:tcPr>
          <w:p w14:paraId="5FA51AEF"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BIC</w:t>
            </w:r>
          </w:p>
        </w:tc>
        <w:tc>
          <w:tcPr>
            <w:tcW w:w="950" w:type="dxa"/>
            <w:tcMar>
              <w:top w:w="15" w:type="dxa"/>
              <w:left w:w="75" w:type="dxa"/>
              <w:bottom w:w="15" w:type="dxa"/>
              <w:right w:w="75" w:type="dxa"/>
            </w:tcMar>
            <w:vAlign w:val="center"/>
            <w:hideMark/>
          </w:tcPr>
          <w:p w14:paraId="5C072D1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6712.33</w:t>
            </w:r>
          </w:p>
        </w:tc>
        <w:tc>
          <w:tcPr>
            <w:tcW w:w="750" w:type="dxa"/>
            <w:tcMar>
              <w:top w:w="15" w:type="dxa"/>
              <w:left w:w="75" w:type="dxa"/>
              <w:bottom w:w="15" w:type="dxa"/>
              <w:right w:w="75" w:type="dxa"/>
            </w:tcMar>
            <w:vAlign w:val="center"/>
            <w:hideMark/>
          </w:tcPr>
          <w:p w14:paraId="1A58FB1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62A6266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1B1C375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1559.91</w:t>
            </w:r>
          </w:p>
        </w:tc>
        <w:tc>
          <w:tcPr>
            <w:tcW w:w="750" w:type="dxa"/>
            <w:tcMar>
              <w:top w:w="15" w:type="dxa"/>
              <w:left w:w="75" w:type="dxa"/>
              <w:bottom w:w="15" w:type="dxa"/>
              <w:right w:w="75" w:type="dxa"/>
            </w:tcMar>
            <w:vAlign w:val="center"/>
            <w:hideMark/>
          </w:tcPr>
          <w:p w14:paraId="2483594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5E0592E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676C3371" w14:textId="77777777" w:rsidTr="00F552A0">
        <w:tc>
          <w:tcPr>
            <w:tcW w:w="3226" w:type="dxa"/>
            <w:tcBorders>
              <w:bottom w:val="nil"/>
            </w:tcBorders>
            <w:tcMar>
              <w:top w:w="15" w:type="dxa"/>
              <w:left w:w="75" w:type="dxa"/>
              <w:bottom w:w="15" w:type="dxa"/>
              <w:right w:w="75" w:type="dxa"/>
            </w:tcMar>
            <w:vAlign w:val="center"/>
            <w:hideMark/>
          </w:tcPr>
          <w:p w14:paraId="5DC6EB8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McFadden R²</w:t>
            </w:r>
          </w:p>
        </w:tc>
        <w:tc>
          <w:tcPr>
            <w:tcW w:w="950" w:type="dxa"/>
            <w:tcBorders>
              <w:bottom w:val="nil"/>
            </w:tcBorders>
            <w:tcMar>
              <w:top w:w="15" w:type="dxa"/>
              <w:left w:w="75" w:type="dxa"/>
              <w:bottom w:w="15" w:type="dxa"/>
              <w:right w:w="75" w:type="dxa"/>
            </w:tcMar>
            <w:vAlign w:val="center"/>
            <w:hideMark/>
          </w:tcPr>
          <w:p w14:paraId="3345D11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0.36</w:t>
            </w:r>
          </w:p>
        </w:tc>
        <w:tc>
          <w:tcPr>
            <w:tcW w:w="750" w:type="dxa"/>
            <w:tcBorders>
              <w:bottom w:val="nil"/>
            </w:tcBorders>
            <w:tcMar>
              <w:top w:w="15" w:type="dxa"/>
              <w:left w:w="75" w:type="dxa"/>
              <w:bottom w:w="15" w:type="dxa"/>
              <w:right w:w="75" w:type="dxa"/>
            </w:tcMar>
            <w:vAlign w:val="center"/>
            <w:hideMark/>
          </w:tcPr>
          <w:p w14:paraId="18722FC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6FA08EE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bottom w:val="nil"/>
            </w:tcBorders>
            <w:tcMar>
              <w:top w:w="15" w:type="dxa"/>
              <w:left w:w="75" w:type="dxa"/>
              <w:bottom w:w="15" w:type="dxa"/>
              <w:right w:w="75" w:type="dxa"/>
            </w:tcMar>
            <w:vAlign w:val="center"/>
            <w:hideMark/>
          </w:tcPr>
          <w:p w14:paraId="7D97466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0.39</w:t>
            </w:r>
          </w:p>
        </w:tc>
        <w:tc>
          <w:tcPr>
            <w:tcW w:w="750" w:type="dxa"/>
            <w:tcBorders>
              <w:bottom w:val="nil"/>
            </w:tcBorders>
            <w:tcMar>
              <w:top w:w="15" w:type="dxa"/>
              <w:left w:w="75" w:type="dxa"/>
              <w:bottom w:w="15" w:type="dxa"/>
              <w:right w:w="75" w:type="dxa"/>
            </w:tcMar>
            <w:vAlign w:val="center"/>
            <w:hideMark/>
          </w:tcPr>
          <w:p w14:paraId="2F74BB7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2C48297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51BD5FBA" w14:textId="77777777" w:rsidTr="00F552A0">
        <w:tc>
          <w:tcPr>
            <w:tcW w:w="3226" w:type="dxa"/>
            <w:tcBorders>
              <w:top w:val="nil"/>
              <w:bottom w:val="single" w:sz="4" w:space="0" w:color="auto"/>
            </w:tcBorders>
            <w:tcMar>
              <w:top w:w="15" w:type="dxa"/>
              <w:left w:w="75" w:type="dxa"/>
              <w:bottom w:w="15" w:type="dxa"/>
              <w:right w:w="75" w:type="dxa"/>
            </w:tcMar>
            <w:vAlign w:val="center"/>
            <w:hideMark/>
          </w:tcPr>
          <w:p w14:paraId="3CFE552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LR χ² (</w:t>
            </w:r>
            <w:proofErr w:type="spellStart"/>
            <w:r w:rsidRPr="00A830A9">
              <w:rPr>
                <w:rFonts w:ascii="Times New Roman" w:eastAsia="Times New Roman" w:hAnsi="Times New Roman" w:cs="Times New Roman"/>
                <w:color w:val="000000"/>
                <w:kern w:val="0"/>
                <w:sz w:val="18"/>
                <w:szCs w:val="18"/>
                <w:lang w:val="en-US"/>
                <w14:ligatures w14:val="none"/>
              </w:rPr>
              <w:t>df</w:t>
            </w:r>
            <w:proofErr w:type="spellEnd"/>
            <w:r w:rsidRPr="00A830A9">
              <w:rPr>
                <w:rFonts w:ascii="Times New Roman" w:eastAsia="Times New Roman" w:hAnsi="Times New Roman" w:cs="Times New Roman"/>
                <w:color w:val="000000"/>
                <w:kern w:val="0"/>
                <w:sz w:val="18"/>
                <w:szCs w:val="18"/>
                <w:lang w:val="en-US"/>
                <w14:ligatures w14:val="none"/>
              </w:rPr>
              <w:t>=45)</w:t>
            </w:r>
          </w:p>
        </w:tc>
        <w:tc>
          <w:tcPr>
            <w:tcW w:w="950" w:type="dxa"/>
            <w:tcBorders>
              <w:top w:val="nil"/>
              <w:bottom w:val="single" w:sz="4" w:space="0" w:color="auto"/>
            </w:tcBorders>
            <w:tcMar>
              <w:top w:w="15" w:type="dxa"/>
              <w:left w:w="75" w:type="dxa"/>
              <w:bottom w:w="15" w:type="dxa"/>
              <w:right w:w="75" w:type="dxa"/>
            </w:tcMar>
            <w:vAlign w:val="center"/>
            <w:hideMark/>
          </w:tcPr>
          <w:p w14:paraId="0414E67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3543.33***</w:t>
            </w:r>
          </w:p>
        </w:tc>
        <w:tc>
          <w:tcPr>
            <w:tcW w:w="750" w:type="dxa"/>
            <w:tcBorders>
              <w:top w:val="nil"/>
              <w:bottom w:val="single" w:sz="4" w:space="0" w:color="auto"/>
            </w:tcBorders>
            <w:tcMar>
              <w:top w:w="15" w:type="dxa"/>
              <w:left w:w="75" w:type="dxa"/>
              <w:bottom w:w="15" w:type="dxa"/>
              <w:right w:w="75" w:type="dxa"/>
            </w:tcMar>
            <w:vAlign w:val="center"/>
            <w:hideMark/>
          </w:tcPr>
          <w:p w14:paraId="30D98F3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2558D94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nil"/>
              <w:bottom w:val="single" w:sz="4" w:space="0" w:color="auto"/>
            </w:tcBorders>
            <w:tcMar>
              <w:top w:w="15" w:type="dxa"/>
              <w:left w:w="75" w:type="dxa"/>
              <w:bottom w:w="15" w:type="dxa"/>
              <w:right w:w="75" w:type="dxa"/>
            </w:tcMar>
            <w:vAlign w:val="center"/>
            <w:hideMark/>
          </w:tcPr>
          <w:p w14:paraId="5C9327A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789.13***</w:t>
            </w:r>
          </w:p>
        </w:tc>
        <w:tc>
          <w:tcPr>
            <w:tcW w:w="750" w:type="dxa"/>
            <w:tcBorders>
              <w:top w:val="nil"/>
              <w:bottom w:val="single" w:sz="4" w:space="0" w:color="auto"/>
            </w:tcBorders>
            <w:tcMar>
              <w:top w:w="15" w:type="dxa"/>
              <w:left w:w="75" w:type="dxa"/>
              <w:bottom w:w="15" w:type="dxa"/>
              <w:right w:w="75" w:type="dxa"/>
            </w:tcMar>
            <w:vAlign w:val="center"/>
            <w:hideMark/>
          </w:tcPr>
          <w:p w14:paraId="1465A68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1AB2A05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61A0A048" w14:textId="77777777" w:rsidTr="00F552A0">
        <w:tc>
          <w:tcPr>
            <w:tcW w:w="9026" w:type="dxa"/>
            <w:gridSpan w:val="7"/>
            <w:tcBorders>
              <w:top w:val="single" w:sz="4" w:space="0" w:color="auto"/>
            </w:tcBorders>
            <w:tcMar>
              <w:top w:w="15" w:type="dxa"/>
              <w:left w:w="75" w:type="dxa"/>
              <w:bottom w:w="15" w:type="dxa"/>
              <w:right w:w="75" w:type="dxa"/>
            </w:tcMar>
            <w:vAlign w:val="center"/>
          </w:tcPr>
          <w:p w14:paraId="690E38A9" w14:textId="77777777" w:rsidR="00A830A9" w:rsidRPr="00A830A9" w:rsidRDefault="00A830A9" w:rsidP="00A830A9">
            <w:pPr>
              <w:spacing w:after="0" w:line="240" w:lineRule="auto"/>
              <w:rPr>
                <w:rFonts w:ascii="Times New Roman" w:eastAsia="Times New Roman" w:hAnsi="Times New Roman" w:cs="Times New Roman"/>
                <w:b/>
                <w:bCs/>
                <w:color w:val="000000"/>
                <w:kern w:val="0"/>
                <w:sz w:val="18"/>
                <w:szCs w:val="18"/>
                <w:lang w:val="en-GB"/>
                <w14:ligatures w14:val="none"/>
              </w:rPr>
            </w:pPr>
            <w:r w:rsidRPr="00065263">
              <w:rPr>
                <w:lang w:val="en-US"/>
              </w:rPr>
              <w:t xml:space="preserve">***p &lt; 0.001; **p &lt; 0.01; *p &lt; 0.05. Note: Coefficients (Coef.) and standard deviations (SD) of random parameters estimated from mixed logit models using simulated maximum likelihood; standard errors in parentheses. MWTP (marginal willingness-to-pay, SEK/month) calculated as 10% of median monthly housing cost (owners 10,000 SEK; renters 9,000 SEK); 95% confidence intervals in parentheses, estimated via the delta method. </w:t>
            </w:r>
            <w:r>
              <w:t>EUR/SEK exchange rate: 1 EUR = 11.42 SEK (May 31, 2024).</w:t>
            </w:r>
          </w:p>
        </w:tc>
      </w:tr>
    </w:tbl>
    <w:p w14:paraId="6A31D1C8"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1449C784" w14:textId="77777777" w:rsidR="00A830A9" w:rsidRPr="00A830A9" w:rsidRDefault="00A830A9" w:rsidP="00A830A9">
      <w:pPr>
        <w:spacing w:after="0" w:line="240" w:lineRule="auto"/>
        <w:rPr>
          <w:rFonts w:ascii="Times New Roman" w:eastAsia="Times New Roman" w:hAnsi="Times New Roman" w:cs="Times New Roman"/>
          <w:kern w:val="0"/>
          <w:sz w:val="18"/>
          <w:szCs w:val="18"/>
          <w:lang w:val="en-GB" w:eastAsia="en-GB"/>
          <w14:ligatures w14:val="none"/>
        </w:rPr>
      </w:pPr>
    </w:p>
    <w:p w14:paraId="6D77CEF8" w14:textId="77777777" w:rsidR="00A830A9" w:rsidRPr="00A830A9" w:rsidRDefault="00A830A9" w:rsidP="00A830A9">
      <w:pPr>
        <w:spacing w:after="0" w:line="240" w:lineRule="auto"/>
        <w:rPr>
          <w:rFonts w:ascii="Times New Roman" w:eastAsia="Times New Roman" w:hAnsi="Times New Roman" w:cs="Times New Roman"/>
          <w:kern w:val="0"/>
          <w:sz w:val="18"/>
          <w:szCs w:val="18"/>
          <w:lang w:val="en-GB" w:eastAsia="en-GB"/>
          <w14:ligatures w14:val="none"/>
        </w:rPr>
      </w:pPr>
    </w:p>
    <w:p w14:paraId="284BECE4" w14:textId="77777777" w:rsidR="00A830A9" w:rsidRPr="00A830A9" w:rsidRDefault="00A830A9" w:rsidP="00A830A9">
      <w:pPr>
        <w:spacing w:after="0" w:line="240" w:lineRule="auto"/>
        <w:rPr>
          <w:rFonts w:ascii="Times New Roman" w:eastAsia="Times New Roman" w:hAnsi="Times New Roman" w:cs="Times New Roman"/>
          <w:kern w:val="0"/>
          <w:sz w:val="18"/>
          <w:szCs w:val="18"/>
          <w:lang w:val="en-GB" w:eastAsia="en-GB"/>
          <w14:ligatures w14:val="none"/>
        </w:rPr>
      </w:pPr>
    </w:p>
    <w:p w14:paraId="03CBB6C8" w14:textId="77777777" w:rsidR="00A830A9" w:rsidRPr="00A830A9" w:rsidRDefault="00A830A9" w:rsidP="00A830A9">
      <w:pPr>
        <w:spacing w:after="0" w:line="240" w:lineRule="auto"/>
        <w:rPr>
          <w:rFonts w:ascii="Times New Roman" w:eastAsia="Times New Roman" w:hAnsi="Times New Roman" w:cs="Times New Roman"/>
          <w:kern w:val="0"/>
          <w:sz w:val="18"/>
          <w:szCs w:val="18"/>
          <w:lang w:val="en-GB" w:eastAsia="en-GB"/>
          <w14:ligatures w14:val="none"/>
        </w:rPr>
      </w:pPr>
      <w:r w:rsidRPr="00A830A9">
        <w:rPr>
          <w:rFonts w:ascii="Times New Roman" w:eastAsia="Times New Roman" w:hAnsi="Times New Roman" w:cs="Times New Roman"/>
          <w:kern w:val="0"/>
          <w:sz w:val="18"/>
          <w:szCs w:val="18"/>
          <w:lang w:val="en-GB" w:eastAsia="en-GB"/>
          <w14:ligatures w14:val="none"/>
        </w:rPr>
        <w:br w:type="page"/>
      </w:r>
    </w:p>
    <w:p w14:paraId="392FC2DD" w14:textId="77777777" w:rsidR="00A830A9" w:rsidRPr="00A830A9" w:rsidRDefault="00A830A9" w:rsidP="00A830A9">
      <w:pPr>
        <w:spacing w:after="0" w:line="240" w:lineRule="auto"/>
        <w:rPr>
          <w:rFonts w:ascii="Times New Roman" w:eastAsia="Times New Roman" w:hAnsi="Times New Roman" w:cs="Times New Roman"/>
          <w:kern w:val="0"/>
          <w:sz w:val="18"/>
          <w:szCs w:val="18"/>
          <w:lang w:val="en-GB" w:eastAsia="en-GB"/>
          <w14:ligatures w14:val="none"/>
        </w:rPr>
      </w:pPr>
    </w:p>
    <w:p w14:paraId="78537891"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35453C2D"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3C225A99"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0CFA67AB"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7D67B48E"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0E869696"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5C4BBAA7"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6044816B"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3F25BD2A" w14:textId="77777777" w:rsidR="0038260B" w:rsidRDefault="0038260B"/>
    <w:p w14:paraId="25D6BF30" w14:textId="77777777" w:rsidR="00A54720" w:rsidRPr="00065263" w:rsidRDefault="00000000">
      <w:pPr>
        <w:rPr>
          <w:lang w:val="en-US"/>
        </w:rPr>
      </w:pPr>
      <w:r w:rsidRPr="00065263">
        <w:rPr>
          <w:lang w:val="en-US"/>
        </w:rPr>
        <w:t>Table 4. Latent Class Logit Model: Utility Coefficients and Marginal Willingness-to-Pay (MWTP) by Class (N = 957)</w:t>
      </w:r>
    </w:p>
    <w:tbl>
      <w:tblPr>
        <w:tblW w:w="0" w:type="auto"/>
        <w:tblLayout w:type="fixed"/>
        <w:tblLook w:val="04A0" w:firstRow="1" w:lastRow="0" w:firstColumn="1" w:lastColumn="0" w:noHBand="0" w:noVBand="1"/>
      </w:tblPr>
      <w:tblGrid>
        <w:gridCol w:w="2700"/>
        <w:gridCol w:w="1000"/>
        <w:gridCol w:w="900"/>
        <w:gridCol w:w="1000"/>
        <w:gridCol w:w="900"/>
        <w:gridCol w:w="1000"/>
        <w:gridCol w:w="900"/>
      </w:tblGrid>
      <w:tr w:rsidR="00A54720" w14:paraId="4B131BC4" w14:textId="77777777">
        <w:tc>
          <w:tcPr>
            <w:tcW w:w="2700" w:type="dxa"/>
            <w:tcMar>
              <w:top w:w="20" w:type="dxa"/>
              <w:left w:w="75" w:type="dxa"/>
              <w:bottom w:w="20" w:type="dxa"/>
              <w:right w:w="75" w:type="dxa"/>
            </w:tcMar>
          </w:tcPr>
          <w:p w14:paraId="3A71607E" w14:textId="77777777" w:rsidR="00A54720" w:rsidRPr="00065263" w:rsidRDefault="00A54720">
            <w:pPr>
              <w:spacing w:before="20" w:after="20" w:line="240" w:lineRule="auto"/>
              <w:rPr>
                <w:lang w:val="en-US"/>
              </w:rPr>
            </w:pPr>
          </w:p>
        </w:tc>
        <w:tc>
          <w:tcPr>
            <w:tcW w:w="1900" w:type="dxa"/>
            <w:gridSpan w:val="2"/>
            <w:tcMar>
              <w:top w:w="20" w:type="dxa"/>
              <w:left w:w="75" w:type="dxa"/>
              <w:bottom w:w="20" w:type="dxa"/>
              <w:right w:w="75" w:type="dxa"/>
            </w:tcMar>
          </w:tcPr>
          <w:p w14:paraId="2A8F8343" w14:textId="77777777" w:rsidR="00A54720" w:rsidRDefault="00000000">
            <w:pPr>
              <w:spacing w:before="20" w:after="20" w:line="240" w:lineRule="auto"/>
            </w:pPr>
            <w:r>
              <w:rPr>
                <w:rFonts w:ascii="Times New Roman" w:hAnsi="Times New Roman"/>
                <w:b/>
                <w:sz w:val="18"/>
              </w:rPr>
              <w:t>Class 1: Shop-seekers (38.8%)</w:t>
            </w:r>
          </w:p>
        </w:tc>
        <w:tc>
          <w:tcPr>
            <w:tcW w:w="1900" w:type="dxa"/>
            <w:gridSpan w:val="2"/>
            <w:tcMar>
              <w:top w:w="20" w:type="dxa"/>
              <w:left w:w="75" w:type="dxa"/>
              <w:bottom w:w="20" w:type="dxa"/>
              <w:right w:w="75" w:type="dxa"/>
            </w:tcMar>
          </w:tcPr>
          <w:p w14:paraId="5EAB71BD" w14:textId="77777777" w:rsidR="00A54720" w:rsidRDefault="00000000">
            <w:pPr>
              <w:spacing w:before="20" w:after="20" w:line="240" w:lineRule="auto"/>
            </w:pPr>
            <w:r>
              <w:rPr>
                <w:rFonts w:ascii="Times New Roman" w:hAnsi="Times New Roman"/>
                <w:b/>
                <w:sz w:val="18"/>
              </w:rPr>
              <w:t>Class 2: Nature-seekers (24.7%)</w:t>
            </w:r>
          </w:p>
        </w:tc>
        <w:tc>
          <w:tcPr>
            <w:tcW w:w="1900" w:type="dxa"/>
            <w:gridSpan w:val="2"/>
            <w:tcMar>
              <w:top w:w="20" w:type="dxa"/>
              <w:left w:w="75" w:type="dxa"/>
              <w:bottom w:w="20" w:type="dxa"/>
              <w:right w:w="75" w:type="dxa"/>
            </w:tcMar>
          </w:tcPr>
          <w:p w14:paraId="723735AD" w14:textId="77777777" w:rsidR="00A54720" w:rsidRDefault="00000000">
            <w:pPr>
              <w:spacing w:before="20" w:after="20" w:line="240" w:lineRule="auto"/>
            </w:pPr>
            <w:r>
              <w:rPr>
                <w:rFonts w:ascii="Times New Roman" w:hAnsi="Times New Roman"/>
                <w:b/>
                <w:sz w:val="18"/>
              </w:rPr>
              <w:t>Class 3: Car-centred (36.5%)</w:t>
            </w:r>
          </w:p>
        </w:tc>
      </w:tr>
      <w:tr w:rsidR="00A54720" w14:paraId="02A0303A" w14:textId="77777777">
        <w:tc>
          <w:tcPr>
            <w:tcW w:w="2700" w:type="dxa"/>
            <w:tcBorders>
              <w:bottom w:val="single" w:sz="4" w:space="0" w:color="auto"/>
            </w:tcBorders>
            <w:tcMar>
              <w:top w:w="20" w:type="dxa"/>
              <w:left w:w="75" w:type="dxa"/>
              <w:bottom w:w="20" w:type="dxa"/>
              <w:right w:w="75" w:type="dxa"/>
            </w:tcMar>
          </w:tcPr>
          <w:p w14:paraId="371D1A07" w14:textId="77777777" w:rsidR="00A54720" w:rsidRDefault="00000000">
            <w:pPr>
              <w:spacing w:before="20" w:after="20" w:line="240" w:lineRule="auto"/>
            </w:pPr>
            <w:r>
              <w:rPr>
                <w:rFonts w:ascii="Times New Roman" w:hAnsi="Times New Roman"/>
                <w:b/>
                <w:sz w:val="18"/>
              </w:rPr>
              <w:t>Attribute</w:t>
            </w:r>
          </w:p>
        </w:tc>
        <w:tc>
          <w:tcPr>
            <w:tcW w:w="1000" w:type="dxa"/>
            <w:tcBorders>
              <w:bottom w:val="single" w:sz="4" w:space="0" w:color="auto"/>
            </w:tcBorders>
            <w:tcMar>
              <w:top w:w="20" w:type="dxa"/>
              <w:left w:w="75" w:type="dxa"/>
              <w:bottom w:w="20" w:type="dxa"/>
              <w:right w:w="75" w:type="dxa"/>
            </w:tcMar>
          </w:tcPr>
          <w:p w14:paraId="727C40A1" w14:textId="77777777" w:rsidR="00A54720" w:rsidRDefault="00000000">
            <w:pPr>
              <w:spacing w:before="20" w:after="20" w:line="240" w:lineRule="auto"/>
            </w:pPr>
            <w:r>
              <w:rPr>
                <w:rFonts w:ascii="Times New Roman" w:hAnsi="Times New Roman"/>
                <w:b/>
                <w:sz w:val="18"/>
              </w:rPr>
              <w:t>Coef.</w:t>
            </w:r>
          </w:p>
        </w:tc>
        <w:tc>
          <w:tcPr>
            <w:tcW w:w="900" w:type="dxa"/>
            <w:tcBorders>
              <w:bottom w:val="single" w:sz="4" w:space="0" w:color="auto"/>
            </w:tcBorders>
            <w:tcMar>
              <w:top w:w="20" w:type="dxa"/>
              <w:left w:w="75" w:type="dxa"/>
              <w:bottom w:w="20" w:type="dxa"/>
              <w:right w:w="75" w:type="dxa"/>
            </w:tcMar>
          </w:tcPr>
          <w:p w14:paraId="23C84246" w14:textId="77777777" w:rsidR="00A54720" w:rsidRDefault="00000000">
            <w:pPr>
              <w:spacing w:before="20" w:after="20" w:line="240" w:lineRule="auto"/>
            </w:pPr>
            <w:r>
              <w:rPr>
                <w:rFonts w:ascii="Times New Roman" w:hAnsi="Times New Roman"/>
                <w:b/>
                <w:sz w:val="18"/>
              </w:rPr>
              <w:t>MWTP</w:t>
            </w:r>
          </w:p>
        </w:tc>
        <w:tc>
          <w:tcPr>
            <w:tcW w:w="1000" w:type="dxa"/>
            <w:tcBorders>
              <w:bottom w:val="single" w:sz="4" w:space="0" w:color="auto"/>
            </w:tcBorders>
            <w:tcMar>
              <w:top w:w="20" w:type="dxa"/>
              <w:left w:w="75" w:type="dxa"/>
              <w:bottom w:w="20" w:type="dxa"/>
              <w:right w:w="75" w:type="dxa"/>
            </w:tcMar>
          </w:tcPr>
          <w:p w14:paraId="54A32C8E" w14:textId="77777777" w:rsidR="00A54720" w:rsidRDefault="00000000">
            <w:pPr>
              <w:spacing w:before="20" w:after="20" w:line="240" w:lineRule="auto"/>
            </w:pPr>
            <w:r>
              <w:rPr>
                <w:rFonts w:ascii="Times New Roman" w:hAnsi="Times New Roman"/>
                <w:b/>
                <w:sz w:val="18"/>
              </w:rPr>
              <w:t>Coef.</w:t>
            </w:r>
          </w:p>
        </w:tc>
        <w:tc>
          <w:tcPr>
            <w:tcW w:w="900" w:type="dxa"/>
            <w:tcBorders>
              <w:bottom w:val="single" w:sz="4" w:space="0" w:color="auto"/>
            </w:tcBorders>
            <w:tcMar>
              <w:top w:w="20" w:type="dxa"/>
              <w:left w:w="75" w:type="dxa"/>
              <w:bottom w:w="20" w:type="dxa"/>
              <w:right w:w="75" w:type="dxa"/>
            </w:tcMar>
          </w:tcPr>
          <w:p w14:paraId="12F1151C" w14:textId="77777777" w:rsidR="00A54720" w:rsidRDefault="00000000">
            <w:pPr>
              <w:spacing w:before="20" w:after="20" w:line="240" w:lineRule="auto"/>
            </w:pPr>
            <w:r>
              <w:rPr>
                <w:rFonts w:ascii="Times New Roman" w:hAnsi="Times New Roman"/>
                <w:b/>
                <w:sz w:val="18"/>
              </w:rPr>
              <w:t>MWTP</w:t>
            </w:r>
          </w:p>
        </w:tc>
        <w:tc>
          <w:tcPr>
            <w:tcW w:w="1000" w:type="dxa"/>
            <w:tcBorders>
              <w:bottom w:val="single" w:sz="4" w:space="0" w:color="auto"/>
            </w:tcBorders>
            <w:tcMar>
              <w:top w:w="20" w:type="dxa"/>
              <w:left w:w="75" w:type="dxa"/>
              <w:bottom w:w="20" w:type="dxa"/>
              <w:right w:w="75" w:type="dxa"/>
            </w:tcMar>
          </w:tcPr>
          <w:p w14:paraId="45C39EA0" w14:textId="77777777" w:rsidR="00A54720" w:rsidRDefault="00000000">
            <w:pPr>
              <w:spacing w:before="20" w:after="20" w:line="240" w:lineRule="auto"/>
            </w:pPr>
            <w:r>
              <w:rPr>
                <w:rFonts w:ascii="Times New Roman" w:hAnsi="Times New Roman"/>
                <w:b/>
                <w:sz w:val="18"/>
              </w:rPr>
              <w:t>Coef.</w:t>
            </w:r>
          </w:p>
        </w:tc>
        <w:tc>
          <w:tcPr>
            <w:tcW w:w="900" w:type="dxa"/>
            <w:tcBorders>
              <w:bottom w:val="single" w:sz="4" w:space="0" w:color="auto"/>
            </w:tcBorders>
            <w:tcMar>
              <w:top w:w="20" w:type="dxa"/>
              <w:left w:w="75" w:type="dxa"/>
              <w:bottom w:w="20" w:type="dxa"/>
              <w:right w:w="75" w:type="dxa"/>
            </w:tcMar>
          </w:tcPr>
          <w:p w14:paraId="7CA93697" w14:textId="77777777" w:rsidR="00A54720" w:rsidRDefault="00000000">
            <w:pPr>
              <w:spacing w:before="20" w:after="20" w:line="240" w:lineRule="auto"/>
            </w:pPr>
            <w:r>
              <w:rPr>
                <w:rFonts w:ascii="Times New Roman" w:hAnsi="Times New Roman"/>
                <w:b/>
                <w:sz w:val="18"/>
              </w:rPr>
              <w:t>MWTP</w:t>
            </w:r>
          </w:p>
        </w:tc>
      </w:tr>
      <w:tr w:rsidR="00A54720" w14:paraId="4D1921F5" w14:textId="77777777">
        <w:tc>
          <w:tcPr>
            <w:tcW w:w="2700" w:type="dxa"/>
            <w:tcBorders>
              <w:top w:val="single" w:sz="4" w:space="0" w:color="auto"/>
            </w:tcBorders>
            <w:tcMar>
              <w:top w:w="20" w:type="dxa"/>
              <w:left w:w="75" w:type="dxa"/>
              <w:bottom w:w="20" w:type="dxa"/>
              <w:right w:w="75" w:type="dxa"/>
            </w:tcMar>
          </w:tcPr>
          <w:p w14:paraId="5666CDCD" w14:textId="77777777" w:rsidR="00A54720" w:rsidRPr="00065263" w:rsidRDefault="00000000">
            <w:pPr>
              <w:spacing w:before="20" w:after="20" w:line="240" w:lineRule="auto"/>
              <w:rPr>
                <w:lang w:val="en-US"/>
              </w:rPr>
            </w:pPr>
            <w:r w:rsidRPr="00065263">
              <w:rPr>
                <w:rFonts w:ascii="Times New Roman" w:hAnsi="Times New Roman"/>
                <w:sz w:val="18"/>
                <w:lang w:val="en-US"/>
              </w:rPr>
              <w:t>Green space: 5 km (vs 15 km)</w:t>
            </w:r>
          </w:p>
        </w:tc>
        <w:tc>
          <w:tcPr>
            <w:tcW w:w="1000" w:type="dxa"/>
            <w:tcBorders>
              <w:top w:val="single" w:sz="4" w:space="0" w:color="auto"/>
            </w:tcBorders>
            <w:tcMar>
              <w:top w:w="20" w:type="dxa"/>
              <w:left w:w="75" w:type="dxa"/>
              <w:bottom w:w="20" w:type="dxa"/>
              <w:right w:w="75" w:type="dxa"/>
            </w:tcMar>
          </w:tcPr>
          <w:p w14:paraId="40F21C2C" w14:textId="77777777" w:rsidR="00A54720" w:rsidRDefault="00000000">
            <w:pPr>
              <w:spacing w:before="20" w:after="20" w:line="240" w:lineRule="auto"/>
            </w:pPr>
            <w:r>
              <w:rPr>
                <w:rFonts w:ascii="Times New Roman" w:hAnsi="Times New Roman"/>
                <w:sz w:val="18"/>
              </w:rPr>
              <w:t>-0.18</w:t>
            </w:r>
          </w:p>
        </w:tc>
        <w:tc>
          <w:tcPr>
            <w:tcW w:w="900" w:type="dxa"/>
            <w:tcBorders>
              <w:top w:val="single" w:sz="4" w:space="0" w:color="auto"/>
            </w:tcBorders>
            <w:tcMar>
              <w:top w:w="20" w:type="dxa"/>
              <w:left w:w="75" w:type="dxa"/>
              <w:bottom w:w="20" w:type="dxa"/>
              <w:right w:w="75" w:type="dxa"/>
            </w:tcMar>
          </w:tcPr>
          <w:p w14:paraId="232FA7A4" w14:textId="77777777" w:rsidR="00A54720" w:rsidRDefault="00000000">
            <w:pPr>
              <w:spacing w:before="20" w:after="20" w:line="240" w:lineRule="auto"/>
            </w:pPr>
            <w:r>
              <w:rPr>
                <w:rFonts w:ascii="Times New Roman" w:hAnsi="Times New Roman"/>
                <w:sz w:val="18"/>
              </w:rPr>
              <w:t>-35</w:t>
            </w:r>
          </w:p>
        </w:tc>
        <w:tc>
          <w:tcPr>
            <w:tcW w:w="1000" w:type="dxa"/>
            <w:tcBorders>
              <w:top w:val="single" w:sz="4" w:space="0" w:color="auto"/>
            </w:tcBorders>
            <w:tcMar>
              <w:top w:w="20" w:type="dxa"/>
              <w:left w:w="75" w:type="dxa"/>
              <w:bottom w:w="20" w:type="dxa"/>
              <w:right w:w="75" w:type="dxa"/>
            </w:tcMar>
          </w:tcPr>
          <w:p w14:paraId="763F0861" w14:textId="77777777" w:rsidR="00A54720" w:rsidRDefault="00000000">
            <w:pPr>
              <w:spacing w:before="20" w:after="20" w:line="240" w:lineRule="auto"/>
            </w:pPr>
            <w:r>
              <w:rPr>
                <w:rFonts w:ascii="Times New Roman" w:hAnsi="Times New Roman"/>
                <w:sz w:val="18"/>
              </w:rPr>
              <w:t>2.09***</w:t>
            </w:r>
          </w:p>
        </w:tc>
        <w:tc>
          <w:tcPr>
            <w:tcW w:w="900" w:type="dxa"/>
            <w:tcBorders>
              <w:top w:val="single" w:sz="4" w:space="0" w:color="auto"/>
            </w:tcBorders>
            <w:tcMar>
              <w:top w:w="20" w:type="dxa"/>
              <w:left w:w="75" w:type="dxa"/>
              <w:bottom w:w="20" w:type="dxa"/>
              <w:right w:w="75" w:type="dxa"/>
            </w:tcMar>
          </w:tcPr>
          <w:p w14:paraId="6B316E37" w14:textId="77777777" w:rsidR="00A54720" w:rsidRDefault="00000000">
            <w:pPr>
              <w:spacing w:before="20" w:after="20" w:line="240" w:lineRule="auto"/>
            </w:pPr>
            <w:r>
              <w:rPr>
                <w:rFonts w:ascii="Times New Roman" w:hAnsi="Times New Roman"/>
                <w:sz w:val="18"/>
              </w:rPr>
              <w:t>481</w:t>
            </w:r>
          </w:p>
        </w:tc>
        <w:tc>
          <w:tcPr>
            <w:tcW w:w="1000" w:type="dxa"/>
            <w:tcBorders>
              <w:top w:val="single" w:sz="4" w:space="0" w:color="auto"/>
            </w:tcBorders>
            <w:tcMar>
              <w:top w:w="20" w:type="dxa"/>
              <w:left w:w="75" w:type="dxa"/>
              <w:bottom w:w="20" w:type="dxa"/>
              <w:right w:w="75" w:type="dxa"/>
            </w:tcMar>
          </w:tcPr>
          <w:p w14:paraId="625E3348" w14:textId="77777777" w:rsidR="00A54720" w:rsidRDefault="00000000">
            <w:pPr>
              <w:spacing w:before="20" w:after="20" w:line="240" w:lineRule="auto"/>
            </w:pPr>
            <w:r>
              <w:rPr>
                <w:rFonts w:ascii="Times New Roman" w:hAnsi="Times New Roman"/>
                <w:sz w:val="18"/>
              </w:rPr>
              <w:t>1.00***</w:t>
            </w:r>
          </w:p>
        </w:tc>
        <w:tc>
          <w:tcPr>
            <w:tcW w:w="900" w:type="dxa"/>
            <w:tcBorders>
              <w:top w:val="single" w:sz="4" w:space="0" w:color="auto"/>
            </w:tcBorders>
            <w:tcMar>
              <w:top w:w="20" w:type="dxa"/>
              <w:left w:w="75" w:type="dxa"/>
              <w:bottom w:w="20" w:type="dxa"/>
              <w:right w:w="75" w:type="dxa"/>
            </w:tcMar>
          </w:tcPr>
          <w:p w14:paraId="52E2425F" w14:textId="77777777" w:rsidR="00A54720" w:rsidRDefault="00000000">
            <w:pPr>
              <w:spacing w:before="20" w:after="20" w:line="240" w:lineRule="auto"/>
            </w:pPr>
            <w:r>
              <w:rPr>
                <w:rFonts w:ascii="Times New Roman" w:hAnsi="Times New Roman"/>
                <w:sz w:val="18"/>
              </w:rPr>
              <w:t>267</w:t>
            </w:r>
          </w:p>
        </w:tc>
      </w:tr>
      <w:tr w:rsidR="00A54720" w14:paraId="032AEF85" w14:textId="77777777">
        <w:tc>
          <w:tcPr>
            <w:tcW w:w="2700" w:type="dxa"/>
            <w:tcMar>
              <w:top w:w="20" w:type="dxa"/>
              <w:left w:w="75" w:type="dxa"/>
              <w:bottom w:w="20" w:type="dxa"/>
              <w:right w:w="75" w:type="dxa"/>
            </w:tcMar>
          </w:tcPr>
          <w:p w14:paraId="58389FF9" w14:textId="77777777" w:rsidR="00A54720" w:rsidRDefault="00A54720">
            <w:pPr>
              <w:spacing w:before="20" w:after="20" w:line="240" w:lineRule="auto"/>
            </w:pPr>
          </w:p>
        </w:tc>
        <w:tc>
          <w:tcPr>
            <w:tcW w:w="1000" w:type="dxa"/>
            <w:tcMar>
              <w:top w:w="20" w:type="dxa"/>
              <w:left w:w="75" w:type="dxa"/>
              <w:bottom w:w="20" w:type="dxa"/>
              <w:right w:w="75" w:type="dxa"/>
            </w:tcMar>
          </w:tcPr>
          <w:p w14:paraId="0F5E09D9" w14:textId="77777777" w:rsidR="00A54720" w:rsidRDefault="00000000">
            <w:pPr>
              <w:spacing w:before="20" w:after="20" w:line="240" w:lineRule="auto"/>
            </w:pPr>
            <w:r>
              <w:rPr>
                <w:rFonts w:ascii="Times New Roman" w:hAnsi="Times New Roman"/>
                <w:sz w:val="18"/>
              </w:rPr>
              <w:t>(0.12)</w:t>
            </w:r>
          </w:p>
        </w:tc>
        <w:tc>
          <w:tcPr>
            <w:tcW w:w="900" w:type="dxa"/>
            <w:tcMar>
              <w:top w:w="20" w:type="dxa"/>
              <w:left w:w="75" w:type="dxa"/>
              <w:bottom w:w="20" w:type="dxa"/>
              <w:right w:w="75" w:type="dxa"/>
            </w:tcMar>
          </w:tcPr>
          <w:p w14:paraId="25AC7D03" w14:textId="77777777" w:rsidR="00A54720" w:rsidRDefault="00A54720">
            <w:pPr>
              <w:spacing w:before="20" w:after="20" w:line="240" w:lineRule="auto"/>
            </w:pPr>
          </w:p>
        </w:tc>
        <w:tc>
          <w:tcPr>
            <w:tcW w:w="1000" w:type="dxa"/>
            <w:tcMar>
              <w:top w:w="20" w:type="dxa"/>
              <w:left w:w="75" w:type="dxa"/>
              <w:bottom w:w="20" w:type="dxa"/>
              <w:right w:w="75" w:type="dxa"/>
            </w:tcMar>
          </w:tcPr>
          <w:p w14:paraId="654491E3" w14:textId="77777777" w:rsidR="00A54720" w:rsidRDefault="00000000">
            <w:pPr>
              <w:spacing w:before="20" w:after="20" w:line="240" w:lineRule="auto"/>
            </w:pPr>
            <w:r>
              <w:rPr>
                <w:rFonts w:ascii="Times New Roman" w:hAnsi="Times New Roman"/>
                <w:sz w:val="18"/>
              </w:rPr>
              <w:t>(0.20)</w:t>
            </w:r>
          </w:p>
        </w:tc>
        <w:tc>
          <w:tcPr>
            <w:tcW w:w="900" w:type="dxa"/>
            <w:tcMar>
              <w:top w:w="20" w:type="dxa"/>
              <w:left w:w="75" w:type="dxa"/>
              <w:bottom w:w="20" w:type="dxa"/>
              <w:right w:w="75" w:type="dxa"/>
            </w:tcMar>
          </w:tcPr>
          <w:p w14:paraId="129D9B57" w14:textId="77777777" w:rsidR="00A54720" w:rsidRDefault="00A54720">
            <w:pPr>
              <w:spacing w:before="20" w:after="20" w:line="240" w:lineRule="auto"/>
            </w:pPr>
          </w:p>
        </w:tc>
        <w:tc>
          <w:tcPr>
            <w:tcW w:w="1000" w:type="dxa"/>
            <w:tcMar>
              <w:top w:w="20" w:type="dxa"/>
              <w:left w:w="75" w:type="dxa"/>
              <w:bottom w:w="20" w:type="dxa"/>
              <w:right w:w="75" w:type="dxa"/>
            </w:tcMar>
          </w:tcPr>
          <w:p w14:paraId="435D2555" w14:textId="77777777" w:rsidR="00A54720" w:rsidRDefault="00000000">
            <w:pPr>
              <w:spacing w:before="20" w:after="20" w:line="240" w:lineRule="auto"/>
            </w:pPr>
            <w:r>
              <w:rPr>
                <w:rFonts w:ascii="Times New Roman" w:hAnsi="Times New Roman"/>
                <w:sz w:val="18"/>
              </w:rPr>
              <w:t>(0.12)</w:t>
            </w:r>
          </w:p>
        </w:tc>
        <w:tc>
          <w:tcPr>
            <w:tcW w:w="900" w:type="dxa"/>
            <w:tcMar>
              <w:top w:w="20" w:type="dxa"/>
              <w:left w:w="75" w:type="dxa"/>
              <w:bottom w:w="20" w:type="dxa"/>
              <w:right w:w="75" w:type="dxa"/>
            </w:tcMar>
          </w:tcPr>
          <w:p w14:paraId="676E07B7" w14:textId="77777777" w:rsidR="00A54720" w:rsidRDefault="00A54720">
            <w:pPr>
              <w:spacing w:before="20" w:after="20" w:line="240" w:lineRule="auto"/>
            </w:pPr>
          </w:p>
        </w:tc>
      </w:tr>
      <w:tr w:rsidR="00A54720" w14:paraId="6CF795CB" w14:textId="77777777">
        <w:tc>
          <w:tcPr>
            <w:tcW w:w="2700" w:type="dxa"/>
            <w:tcMar>
              <w:top w:w="20" w:type="dxa"/>
              <w:left w:w="75" w:type="dxa"/>
              <w:bottom w:w="20" w:type="dxa"/>
              <w:right w:w="75" w:type="dxa"/>
            </w:tcMar>
          </w:tcPr>
          <w:p w14:paraId="21337458" w14:textId="77777777" w:rsidR="00A54720" w:rsidRPr="00065263" w:rsidRDefault="00000000">
            <w:pPr>
              <w:spacing w:before="20" w:after="20" w:line="240" w:lineRule="auto"/>
              <w:rPr>
                <w:lang w:val="en-US"/>
              </w:rPr>
            </w:pPr>
            <w:r w:rsidRPr="00065263">
              <w:rPr>
                <w:rFonts w:ascii="Times New Roman" w:hAnsi="Times New Roman"/>
                <w:sz w:val="18"/>
                <w:lang w:val="en-US"/>
              </w:rPr>
              <w:t>Green space: 500 m (vs 15 km)</w:t>
            </w:r>
          </w:p>
        </w:tc>
        <w:tc>
          <w:tcPr>
            <w:tcW w:w="1000" w:type="dxa"/>
            <w:tcMar>
              <w:top w:w="20" w:type="dxa"/>
              <w:left w:w="75" w:type="dxa"/>
              <w:bottom w:w="20" w:type="dxa"/>
              <w:right w:w="75" w:type="dxa"/>
            </w:tcMar>
          </w:tcPr>
          <w:p w14:paraId="4E032232" w14:textId="77777777" w:rsidR="00A54720" w:rsidRDefault="00000000">
            <w:pPr>
              <w:spacing w:before="20" w:after="20" w:line="240" w:lineRule="auto"/>
            </w:pPr>
            <w:r>
              <w:rPr>
                <w:rFonts w:ascii="Times New Roman" w:hAnsi="Times New Roman"/>
                <w:sz w:val="18"/>
              </w:rPr>
              <w:t>0.76***</w:t>
            </w:r>
          </w:p>
        </w:tc>
        <w:tc>
          <w:tcPr>
            <w:tcW w:w="900" w:type="dxa"/>
            <w:tcMar>
              <w:top w:w="20" w:type="dxa"/>
              <w:left w:w="75" w:type="dxa"/>
              <w:bottom w:w="20" w:type="dxa"/>
              <w:right w:w="75" w:type="dxa"/>
            </w:tcMar>
          </w:tcPr>
          <w:p w14:paraId="6943BAEB" w14:textId="77777777" w:rsidR="00A54720" w:rsidRDefault="00000000">
            <w:pPr>
              <w:spacing w:before="20" w:after="20" w:line="240" w:lineRule="auto"/>
            </w:pPr>
            <w:r>
              <w:rPr>
                <w:rFonts w:ascii="Times New Roman" w:hAnsi="Times New Roman"/>
                <w:sz w:val="18"/>
              </w:rPr>
              <w:t>142</w:t>
            </w:r>
          </w:p>
        </w:tc>
        <w:tc>
          <w:tcPr>
            <w:tcW w:w="1000" w:type="dxa"/>
            <w:tcMar>
              <w:top w:w="20" w:type="dxa"/>
              <w:left w:w="75" w:type="dxa"/>
              <w:bottom w:w="20" w:type="dxa"/>
              <w:right w:w="75" w:type="dxa"/>
            </w:tcMar>
          </w:tcPr>
          <w:p w14:paraId="6666B2A5" w14:textId="77777777" w:rsidR="00A54720" w:rsidRDefault="00000000">
            <w:pPr>
              <w:spacing w:before="20" w:after="20" w:line="240" w:lineRule="auto"/>
            </w:pPr>
            <w:r>
              <w:rPr>
                <w:rFonts w:ascii="Times New Roman" w:hAnsi="Times New Roman"/>
                <w:sz w:val="18"/>
              </w:rPr>
              <w:t>3.66***</w:t>
            </w:r>
          </w:p>
        </w:tc>
        <w:tc>
          <w:tcPr>
            <w:tcW w:w="900" w:type="dxa"/>
            <w:tcMar>
              <w:top w:w="20" w:type="dxa"/>
              <w:left w:w="75" w:type="dxa"/>
              <w:bottom w:w="20" w:type="dxa"/>
              <w:right w:w="75" w:type="dxa"/>
            </w:tcMar>
          </w:tcPr>
          <w:p w14:paraId="0CE045A7" w14:textId="77777777" w:rsidR="00A54720" w:rsidRDefault="00000000">
            <w:pPr>
              <w:spacing w:before="20" w:after="20" w:line="240" w:lineRule="auto"/>
            </w:pPr>
            <w:r>
              <w:rPr>
                <w:rFonts w:ascii="Times New Roman" w:hAnsi="Times New Roman"/>
                <w:sz w:val="18"/>
              </w:rPr>
              <w:t>841</w:t>
            </w:r>
          </w:p>
        </w:tc>
        <w:tc>
          <w:tcPr>
            <w:tcW w:w="1000" w:type="dxa"/>
            <w:tcMar>
              <w:top w:w="20" w:type="dxa"/>
              <w:left w:w="75" w:type="dxa"/>
              <w:bottom w:w="20" w:type="dxa"/>
              <w:right w:w="75" w:type="dxa"/>
            </w:tcMar>
          </w:tcPr>
          <w:p w14:paraId="12DCC5C1" w14:textId="77777777" w:rsidR="00A54720" w:rsidRDefault="00000000">
            <w:pPr>
              <w:spacing w:before="20" w:after="20" w:line="240" w:lineRule="auto"/>
            </w:pPr>
            <w:r>
              <w:rPr>
                <w:rFonts w:ascii="Times New Roman" w:hAnsi="Times New Roman"/>
                <w:sz w:val="18"/>
              </w:rPr>
              <w:t>0.61***</w:t>
            </w:r>
          </w:p>
        </w:tc>
        <w:tc>
          <w:tcPr>
            <w:tcW w:w="900" w:type="dxa"/>
            <w:tcMar>
              <w:top w:w="20" w:type="dxa"/>
              <w:left w:w="75" w:type="dxa"/>
              <w:bottom w:w="20" w:type="dxa"/>
              <w:right w:w="75" w:type="dxa"/>
            </w:tcMar>
          </w:tcPr>
          <w:p w14:paraId="3A9B256D" w14:textId="77777777" w:rsidR="00A54720" w:rsidRDefault="00000000">
            <w:pPr>
              <w:spacing w:before="20" w:after="20" w:line="240" w:lineRule="auto"/>
            </w:pPr>
            <w:r>
              <w:rPr>
                <w:rFonts w:ascii="Times New Roman" w:hAnsi="Times New Roman"/>
                <w:sz w:val="18"/>
              </w:rPr>
              <w:t>163</w:t>
            </w:r>
          </w:p>
        </w:tc>
      </w:tr>
      <w:tr w:rsidR="00A54720" w14:paraId="0794CDD9" w14:textId="77777777">
        <w:tc>
          <w:tcPr>
            <w:tcW w:w="2700" w:type="dxa"/>
            <w:tcMar>
              <w:top w:w="20" w:type="dxa"/>
              <w:left w:w="75" w:type="dxa"/>
              <w:bottom w:w="20" w:type="dxa"/>
              <w:right w:w="75" w:type="dxa"/>
            </w:tcMar>
          </w:tcPr>
          <w:p w14:paraId="713A8CB9" w14:textId="77777777" w:rsidR="00A54720" w:rsidRDefault="00A54720">
            <w:pPr>
              <w:spacing w:before="20" w:after="20" w:line="240" w:lineRule="auto"/>
            </w:pPr>
          </w:p>
        </w:tc>
        <w:tc>
          <w:tcPr>
            <w:tcW w:w="1000" w:type="dxa"/>
            <w:tcMar>
              <w:top w:w="20" w:type="dxa"/>
              <w:left w:w="75" w:type="dxa"/>
              <w:bottom w:w="20" w:type="dxa"/>
              <w:right w:w="75" w:type="dxa"/>
            </w:tcMar>
          </w:tcPr>
          <w:p w14:paraId="6E357856" w14:textId="77777777" w:rsidR="00A54720" w:rsidRDefault="00000000">
            <w:pPr>
              <w:spacing w:before="20" w:after="20" w:line="240" w:lineRule="auto"/>
            </w:pPr>
            <w:r>
              <w:rPr>
                <w:rFonts w:ascii="Times New Roman" w:hAnsi="Times New Roman"/>
                <w:sz w:val="18"/>
              </w:rPr>
              <w:t>(0.12)</w:t>
            </w:r>
          </w:p>
        </w:tc>
        <w:tc>
          <w:tcPr>
            <w:tcW w:w="900" w:type="dxa"/>
            <w:tcMar>
              <w:top w:w="20" w:type="dxa"/>
              <w:left w:w="75" w:type="dxa"/>
              <w:bottom w:w="20" w:type="dxa"/>
              <w:right w:w="75" w:type="dxa"/>
            </w:tcMar>
          </w:tcPr>
          <w:p w14:paraId="14566113" w14:textId="77777777" w:rsidR="00A54720" w:rsidRDefault="00A54720">
            <w:pPr>
              <w:spacing w:before="20" w:after="20" w:line="240" w:lineRule="auto"/>
            </w:pPr>
          </w:p>
        </w:tc>
        <w:tc>
          <w:tcPr>
            <w:tcW w:w="1000" w:type="dxa"/>
            <w:tcMar>
              <w:top w:w="20" w:type="dxa"/>
              <w:left w:w="75" w:type="dxa"/>
              <w:bottom w:w="20" w:type="dxa"/>
              <w:right w:w="75" w:type="dxa"/>
            </w:tcMar>
          </w:tcPr>
          <w:p w14:paraId="50D6C3AF" w14:textId="77777777" w:rsidR="00A54720" w:rsidRDefault="00000000">
            <w:pPr>
              <w:spacing w:before="20" w:after="20" w:line="240" w:lineRule="auto"/>
            </w:pPr>
            <w:r>
              <w:rPr>
                <w:rFonts w:ascii="Times New Roman" w:hAnsi="Times New Roman"/>
                <w:sz w:val="18"/>
              </w:rPr>
              <w:t>(0.25)</w:t>
            </w:r>
          </w:p>
        </w:tc>
        <w:tc>
          <w:tcPr>
            <w:tcW w:w="900" w:type="dxa"/>
            <w:tcMar>
              <w:top w:w="20" w:type="dxa"/>
              <w:left w:w="75" w:type="dxa"/>
              <w:bottom w:w="20" w:type="dxa"/>
              <w:right w:w="75" w:type="dxa"/>
            </w:tcMar>
          </w:tcPr>
          <w:p w14:paraId="5A1DE9BD" w14:textId="77777777" w:rsidR="00A54720" w:rsidRDefault="00A54720">
            <w:pPr>
              <w:spacing w:before="20" w:after="20" w:line="240" w:lineRule="auto"/>
            </w:pPr>
          </w:p>
        </w:tc>
        <w:tc>
          <w:tcPr>
            <w:tcW w:w="1000" w:type="dxa"/>
            <w:tcMar>
              <w:top w:w="20" w:type="dxa"/>
              <w:left w:w="75" w:type="dxa"/>
              <w:bottom w:w="20" w:type="dxa"/>
              <w:right w:w="75" w:type="dxa"/>
            </w:tcMar>
          </w:tcPr>
          <w:p w14:paraId="489CD758" w14:textId="77777777" w:rsidR="00A54720" w:rsidRDefault="00000000">
            <w:pPr>
              <w:spacing w:before="20" w:after="20" w:line="240" w:lineRule="auto"/>
            </w:pPr>
            <w:r>
              <w:rPr>
                <w:rFonts w:ascii="Times New Roman" w:hAnsi="Times New Roman"/>
                <w:sz w:val="18"/>
              </w:rPr>
              <w:t>(0.14)</w:t>
            </w:r>
          </w:p>
        </w:tc>
        <w:tc>
          <w:tcPr>
            <w:tcW w:w="900" w:type="dxa"/>
            <w:tcMar>
              <w:top w:w="20" w:type="dxa"/>
              <w:left w:w="75" w:type="dxa"/>
              <w:bottom w:w="20" w:type="dxa"/>
              <w:right w:w="75" w:type="dxa"/>
            </w:tcMar>
          </w:tcPr>
          <w:p w14:paraId="43FE2316" w14:textId="77777777" w:rsidR="00A54720" w:rsidRDefault="00A54720">
            <w:pPr>
              <w:spacing w:before="20" w:after="20" w:line="240" w:lineRule="auto"/>
            </w:pPr>
          </w:p>
        </w:tc>
      </w:tr>
      <w:tr w:rsidR="00A54720" w14:paraId="247DF118" w14:textId="77777777">
        <w:tc>
          <w:tcPr>
            <w:tcW w:w="2700" w:type="dxa"/>
            <w:tcMar>
              <w:top w:w="20" w:type="dxa"/>
              <w:left w:w="75" w:type="dxa"/>
              <w:bottom w:w="20" w:type="dxa"/>
              <w:right w:w="75" w:type="dxa"/>
            </w:tcMar>
          </w:tcPr>
          <w:p w14:paraId="72A9C2EA" w14:textId="77777777" w:rsidR="00A54720" w:rsidRDefault="00000000">
            <w:pPr>
              <w:spacing w:before="20" w:after="20" w:line="240" w:lineRule="auto"/>
            </w:pPr>
            <w:r>
              <w:rPr>
                <w:rFonts w:ascii="Times New Roman" w:hAnsi="Times New Roman"/>
                <w:sz w:val="18"/>
              </w:rPr>
              <w:t>Shops: 5 km (vs 15 km)</w:t>
            </w:r>
          </w:p>
        </w:tc>
        <w:tc>
          <w:tcPr>
            <w:tcW w:w="1000" w:type="dxa"/>
            <w:tcMar>
              <w:top w:w="20" w:type="dxa"/>
              <w:left w:w="75" w:type="dxa"/>
              <w:bottom w:w="20" w:type="dxa"/>
              <w:right w:w="75" w:type="dxa"/>
            </w:tcMar>
          </w:tcPr>
          <w:p w14:paraId="75A776FA" w14:textId="77777777" w:rsidR="00A54720" w:rsidRDefault="00000000">
            <w:pPr>
              <w:spacing w:before="20" w:after="20" w:line="240" w:lineRule="auto"/>
            </w:pPr>
            <w:r>
              <w:rPr>
                <w:rFonts w:ascii="Times New Roman" w:hAnsi="Times New Roman"/>
                <w:sz w:val="18"/>
              </w:rPr>
              <w:t>0.60***</w:t>
            </w:r>
          </w:p>
        </w:tc>
        <w:tc>
          <w:tcPr>
            <w:tcW w:w="900" w:type="dxa"/>
            <w:tcMar>
              <w:top w:w="20" w:type="dxa"/>
              <w:left w:w="75" w:type="dxa"/>
              <w:bottom w:w="20" w:type="dxa"/>
              <w:right w:w="75" w:type="dxa"/>
            </w:tcMar>
          </w:tcPr>
          <w:p w14:paraId="348C4B48" w14:textId="77777777" w:rsidR="00A54720" w:rsidRDefault="00000000">
            <w:pPr>
              <w:spacing w:before="20" w:after="20" w:line="240" w:lineRule="auto"/>
            </w:pPr>
            <w:r>
              <w:rPr>
                <w:rFonts w:ascii="Times New Roman" w:hAnsi="Times New Roman"/>
                <w:sz w:val="18"/>
              </w:rPr>
              <w:t>114</w:t>
            </w:r>
          </w:p>
        </w:tc>
        <w:tc>
          <w:tcPr>
            <w:tcW w:w="1000" w:type="dxa"/>
            <w:tcMar>
              <w:top w:w="20" w:type="dxa"/>
              <w:left w:w="75" w:type="dxa"/>
              <w:bottom w:w="20" w:type="dxa"/>
              <w:right w:w="75" w:type="dxa"/>
            </w:tcMar>
          </w:tcPr>
          <w:p w14:paraId="0530E9BE" w14:textId="77777777" w:rsidR="00A54720" w:rsidRDefault="00000000">
            <w:pPr>
              <w:spacing w:before="20" w:after="20" w:line="240" w:lineRule="auto"/>
            </w:pPr>
            <w:r>
              <w:rPr>
                <w:rFonts w:ascii="Times New Roman" w:hAnsi="Times New Roman"/>
                <w:sz w:val="18"/>
              </w:rPr>
              <w:t>0.14</w:t>
            </w:r>
          </w:p>
        </w:tc>
        <w:tc>
          <w:tcPr>
            <w:tcW w:w="900" w:type="dxa"/>
            <w:tcMar>
              <w:top w:w="20" w:type="dxa"/>
              <w:left w:w="75" w:type="dxa"/>
              <w:bottom w:w="20" w:type="dxa"/>
              <w:right w:w="75" w:type="dxa"/>
            </w:tcMar>
          </w:tcPr>
          <w:p w14:paraId="4083D6AB" w14:textId="77777777" w:rsidR="00A54720" w:rsidRDefault="00000000">
            <w:pPr>
              <w:spacing w:before="20" w:after="20" w:line="240" w:lineRule="auto"/>
            </w:pPr>
            <w:r>
              <w:rPr>
                <w:rFonts w:ascii="Times New Roman" w:hAnsi="Times New Roman"/>
                <w:sz w:val="18"/>
              </w:rPr>
              <w:t>33</w:t>
            </w:r>
          </w:p>
        </w:tc>
        <w:tc>
          <w:tcPr>
            <w:tcW w:w="1000" w:type="dxa"/>
            <w:tcMar>
              <w:top w:w="20" w:type="dxa"/>
              <w:left w:w="75" w:type="dxa"/>
              <w:bottom w:w="20" w:type="dxa"/>
              <w:right w:w="75" w:type="dxa"/>
            </w:tcMar>
          </w:tcPr>
          <w:p w14:paraId="1CCF4440" w14:textId="77777777" w:rsidR="00A54720" w:rsidRDefault="00000000">
            <w:pPr>
              <w:spacing w:before="20" w:after="20" w:line="240" w:lineRule="auto"/>
            </w:pPr>
            <w:r>
              <w:rPr>
                <w:rFonts w:ascii="Times New Roman" w:hAnsi="Times New Roman"/>
                <w:sz w:val="18"/>
              </w:rPr>
              <w:t>1.47***</w:t>
            </w:r>
          </w:p>
        </w:tc>
        <w:tc>
          <w:tcPr>
            <w:tcW w:w="900" w:type="dxa"/>
            <w:tcMar>
              <w:top w:w="20" w:type="dxa"/>
              <w:left w:w="75" w:type="dxa"/>
              <w:bottom w:w="20" w:type="dxa"/>
              <w:right w:w="75" w:type="dxa"/>
            </w:tcMar>
          </w:tcPr>
          <w:p w14:paraId="567A14D4" w14:textId="77777777" w:rsidR="00A54720" w:rsidRDefault="00000000">
            <w:pPr>
              <w:spacing w:before="20" w:after="20" w:line="240" w:lineRule="auto"/>
            </w:pPr>
            <w:r>
              <w:rPr>
                <w:rFonts w:ascii="Times New Roman" w:hAnsi="Times New Roman"/>
                <w:sz w:val="18"/>
              </w:rPr>
              <w:t>390</w:t>
            </w:r>
          </w:p>
        </w:tc>
      </w:tr>
      <w:tr w:rsidR="00A54720" w14:paraId="10B4C5BF" w14:textId="77777777">
        <w:tc>
          <w:tcPr>
            <w:tcW w:w="2700" w:type="dxa"/>
            <w:tcMar>
              <w:top w:w="20" w:type="dxa"/>
              <w:left w:w="75" w:type="dxa"/>
              <w:bottom w:w="20" w:type="dxa"/>
              <w:right w:w="75" w:type="dxa"/>
            </w:tcMar>
          </w:tcPr>
          <w:p w14:paraId="0E96E4A9" w14:textId="77777777" w:rsidR="00A54720" w:rsidRDefault="00A54720">
            <w:pPr>
              <w:spacing w:before="20" w:after="20" w:line="240" w:lineRule="auto"/>
            </w:pPr>
          </w:p>
        </w:tc>
        <w:tc>
          <w:tcPr>
            <w:tcW w:w="1000" w:type="dxa"/>
            <w:tcMar>
              <w:top w:w="20" w:type="dxa"/>
              <w:left w:w="75" w:type="dxa"/>
              <w:bottom w:w="20" w:type="dxa"/>
              <w:right w:w="75" w:type="dxa"/>
            </w:tcMar>
          </w:tcPr>
          <w:p w14:paraId="4DCEF10C" w14:textId="77777777" w:rsidR="00A54720" w:rsidRDefault="00000000">
            <w:pPr>
              <w:spacing w:before="20" w:after="20" w:line="240" w:lineRule="auto"/>
            </w:pPr>
            <w:r>
              <w:rPr>
                <w:rFonts w:ascii="Times New Roman" w:hAnsi="Times New Roman"/>
                <w:sz w:val="18"/>
              </w:rPr>
              <w:t>(0.11)</w:t>
            </w:r>
          </w:p>
        </w:tc>
        <w:tc>
          <w:tcPr>
            <w:tcW w:w="900" w:type="dxa"/>
            <w:tcMar>
              <w:top w:w="20" w:type="dxa"/>
              <w:left w:w="75" w:type="dxa"/>
              <w:bottom w:w="20" w:type="dxa"/>
              <w:right w:w="75" w:type="dxa"/>
            </w:tcMar>
          </w:tcPr>
          <w:p w14:paraId="17024868" w14:textId="77777777" w:rsidR="00A54720" w:rsidRDefault="00A54720">
            <w:pPr>
              <w:spacing w:before="20" w:after="20" w:line="240" w:lineRule="auto"/>
            </w:pPr>
          </w:p>
        </w:tc>
        <w:tc>
          <w:tcPr>
            <w:tcW w:w="1000" w:type="dxa"/>
            <w:tcMar>
              <w:top w:w="20" w:type="dxa"/>
              <w:left w:w="75" w:type="dxa"/>
              <w:bottom w:w="20" w:type="dxa"/>
              <w:right w:w="75" w:type="dxa"/>
            </w:tcMar>
          </w:tcPr>
          <w:p w14:paraId="4DA07899" w14:textId="77777777" w:rsidR="00A54720" w:rsidRDefault="00000000">
            <w:pPr>
              <w:spacing w:before="20" w:after="20" w:line="240" w:lineRule="auto"/>
            </w:pPr>
            <w:r>
              <w:rPr>
                <w:rFonts w:ascii="Times New Roman" w:hAnsi="Times New Roman"/>
                <w:sz w:val="18"/>
              </w:rPr>
              <w:t>(0.20)</w:t>
            </w:r>
          </w:p>
        </w:tc>
        <w:tc>
          <w:tcPr>
            <w:tcW w:w="900" w:type="dxa"/>
            <w:tcMar>
              <w:top w:w="20" w:type="dxa"/>
              <w:left w:w="75" w:type="dxa"/>
              <w:bottom w:w="20" w:type="dxa"/>
              <w:right w:w="75" w:type="dxa"/>
            </w:tcMar>
          </w:tcPr>
          <w:p w14:paraId="203F75FA" w14:textId="77777777" w:rsidR="00A54720" w:rsidRDefault="00A54720">
            <w:pPr>
              <w:spacing w:before="20" w:after="20" w:line="240" w:lineRule="auto"/>
            </w:pPr>
          </w:p>
        </w:tc>
        <w:tc>
          <w:tcPr>
            <w:tcW w:w="1000" w:type="dxa"/>
            <w:tcMar>
              <w:top w:w="20" w:type="dxa"/>
              <w:left w:w="75" w:type="dxa"/>
              <w:bottom w:w="20" w:type="dxa"/>
              <w:right w:w="75" w:type="dxa"/>
            </w:tcMar>
          </w:tcPr>
          <w:p w14:paraId="3D9DBCFB" w14:textId="77777777" w:rsidR="00A54720" w:rsidRDefault="00000000">
            <w:pPr>
              <w:spacing w:before="20" w:after="20" w:line="240" w:lineRule="auto"/>
            </w:pPr>
            <w:r>
              <w:rPr>
                <w:rFonts w:ascii="Times New Roman" w:hAnsi="Times New Roman"/>
                <w:sz w:val="18"/>
              </w:rPr>
              <w:t>(0.16)</w:t>
            </w:r>
          </w:p>
        </w:tc>
        <w:tc>
          <w:tcPr>
            <w:tcW w:w="900" w:type="dxa"/>
            <w:tcMar>
              <w:top w:w="20" w:type="dxa"/>
              <w:left w:w="75" w:type="dxa"/>
              <w:bottom w:w="20" w:type="dxa"/>
              <w:right w:w="75" w:type="dxa"/>
            </w:tcMar>
          </w:tcPr>
          <w:p w14:paraId="6767B5C2" w14:textId="77777777" w:rsidR="00A54720" w:rsidRDefault="00A54720">
            <w:pPr>
              <w:spacing w:before="20" w:after="20" w:line="240" w:lineRule="auto"/>
            </w:pPr>
          </w:p>
        </w:tc>
      </w:tr>
      <w:tr w:rsidR="00A54720" w14:paraId="6B4004BD" w14:textId="77777777">
        <w:tc>
          <w:tcPr>
            <w:tcW w:w="2700" w:type="dxa"/>
            <w:tcMar>
              <w:top w:w="20" w:type="dxa"/>
              <w:left w:w="75" w:type="dxa"/>
              <w:bottom w:w="20" w:type="dxa"/>
              <w:right w:w="75" w:type="dxa"/>
            </w:tcMar>
          </w:tcPr>
          <w:p w14:paraId="0212E3F1" w14:textId="77777777" w:rsidR="00A54720" w:rsidRDefault="00000000">
            <w:pPr>
              <w:spacing w:before="20" w:after="20" w:line="240" w:lineRule="auto"/>
            </w:pPr>
            <w:r>
              <w:rPr>
                <w:rFonts w:ascii="Times New Roman" w:hAnsi="Times New Roman"/>
                <w:sz w:val="18"/>
              </w:rPr>
              <w:t>Shops: 500 m (vs 15 km)</w:t>
            </w:r>
          </w:p>
        </w:tc>
        <w:tc>
          <w:tcPr>
            <w:tcW w:w="1000" w:type="dxa"/>
            <w:tcMar>
              <w:top w:w="20" w:type="dxa"/>
              <w:left w:w="75" w:type="dxa"/>
              <w:bottom w:w="20" w:type="dxa"/>
              <w:right w:w="75" w:type="dxa"/>
            </w:tcMar>
          </w:tcPr>
          <w:p w14:paraId="29BF46D4" w14:textId="77777777" w:rsidR="00A54720" w:rsidRDefault="00000000">
            <w:pPr>
              <w:spacing w:before="20" w:after="20" w:line="240" w:lineRule="auto"/>
            </w:pPr>
            <w:r>
              <w:rPr>
                <w:rFonts w:ascii="Times New Roman" w:hAnsi="Times New Roman"/>
                <w:sz w:val="18"/>
              </w:rPr>
              <w:t>3.13***</w:t>
            </w:r>
          </w:p>
        </w:tc>
        <w:tc>
          <w:tcPr>
            <w:tcW w:w="900" w:type="dxa"/>
            <w:tcMar>
              <w:top w:w="20" w:type="dxa"/>
              <w:left w:w="75" w:type="dxa"/>
              <w:bottom w:w="20" w:type="dxa"/>
              <w:right w:w="75" w:type="dxa"/>
            </w:tcMar>
          </w:tcPr>
          <w:p w14:paraId="2A0D084A" w14:textId="77777777" w:rsidR="00A54720" w:rsidRDefault="00000000">
            <w:pPr>
              <w:spacing w:before="20" w:after="20" w:line="240" w:lineRule="auto"/>
            </w:pPr>
            <w:r>
              <w:rPr>
                <w:rFonts w:ascii="Times New Roman" w:hAnsi="Times New Roman"/>
                <w:sz w:val="18"/>
              </w:rPr>
              <w:t>589</w:t>
            </w:r>
          </w:p>
        </w:tc>
        <w:tc>
          <w:tcPr>
            <w:tcW w:w="1000" w:type="dxa"/>
            <w:tcMar>
              <w:top w:w="20" w:type="dxa"/>
              <w:left w:w="75" w:type="dxa"/>
              <w:bottom w:w="20" w:type="dxa"/>
              <w:right w:w="75" w:type="dxa"/>
            </w:tcMar>
          </w:tcPr>
          <w:p w14:paraId="5103BE1F" w14:textId="77777777" w:rsidR="00A54720" w:rsidRDefault="00000000">
            <w:pPr>
              <w:spacing w:before="20" w:after="20" w:line="240" w:lineRule="auto"/>
            </w:pPr>
            <w:r>
              <w:rPr>
                <w:rFonts w:ascii="Times New Roman" w:hAnsi="Times New Roman"/>
                <w:sz w:val="18"/>
              </w:rPr>
              <w:t>1.04***</w:t>
            </w:r>
          </w:p>
        </w:tc>
        <w:tc>
          <w:tcPr>
            <w:tcW w:w="900" w:type="dxa"/>
            <w:tcMar>
              <w:top w:w="20" w:type="dxa"/>
              <w:left w:w="75" w:type="dxa"/>
              <w:bottom w:w="20" w:type="dxa"/>
              <w:right w:w="75" w:type="dxa"/>
            </w:tcMar>
          </w:tcPr>
          <w:p w14:paraId="17A190CB" w14:textId="77777777" w:rsidR="00A54720" w:rsidRDefault="00000000">
            <w:pPr>
              <w:spacing w:before="20" w:after="20" w:line="240" w:lineRule="auto"/>
            </w:pPr>
            <w:r>
              <w:rPr>
                <w:rFonts w:ascii="Times New Roman" w:hAnsi="Times New Roman"/>
                <w:sz w:val="18"/>
              </w:rPr>
              <w:t>239</w:t>
            </w:r>
          </w:p>
        </w:tc>
        <w:tc>
          <w:tcPr>
            <w:tcW w:w="1000" w:type="dxa"/>
            <w:tcMar>
              <w:top w:w="20" w:type="dxa"/>
              <w:left w:w="75" w:type="dxa"/>
              <w:bottom w:w="20" w:type="dxa"/>
              <w:right w:w="75" w:type="dxa"/>
            </w:tcMar>
          </w:tcPr>
          <w:p w14:paraId="2C3C73F2" w14:textId="77777777" w:rsidR="00A54720" w:rsidRDefault="00000000">
            <w:pPr>
              <w:spacing w:before="20" w:after="20" w:line="240" w:lineRule="auto"/>
            </w:pPr>
            <w:r>
              <w:rPr>
                <w:rFonts w:ascii="Times New Roman" w:hAnsi="Times New Roman"/>
                <w:sz w:val="18"/>
              </w:rPr>
              <w:t>1.59***</w:t>
            </w:r>
          </w:p>
        </w:tc>
        <w:tc>
          <w:tcPr>
            <w:tcW w:w="900" w:type="dxa"/>
            <w:tcMar>
              <w:top w:w="20" w:type="dxa"/>
              <w:left w:w="75" w:type="dxa"/>
              <w:bottom w:w="20" w:type="dxa"/>
              <w:right w:w="75" w:type="dxa"/>
            </w:tcMar>
          </w:tcPr>
          <w:p w14:paraId="2638C73C" w14:textId="77777777" w:rsidR="00A54720" w:rsidRDefault="00000000">
            <w:pPr>
              <w:spacing w:before="20" w:after="20" w:line="240" w:lineRule="auto"/>
            </w:pPr>
            <w:r>
              <w:rPr>
                <w:rFonts w:ascii="Times New Roman" w:hAnsi="Times New Roman"/>
                <w:sz w:val="18"/>
              </w:rPr>
              <w:t>422</w:t>
            </w:r>
          </w:p>
        </w:tc>
      </w:tr>
      <w:tr w:rsidR="00A54720" w14:paraId="488FABC2" w14:textId="77777777">
        <w:tc>
          <w:tcPr>
            <w:tcW w:w="2700" w:type="dxa"/>
            <w:tcMar>
              <w:top w:w="20" w:type="dxa"/>
              <w:left w:w="75" w:type="dxa"/>
              <w:bottom w:w="20" w:type="dxa"/>
              <w:right w:w="75" w:type="dxa"/>
            </w:tcMar>
          </w:tcPr>
          <w:p w14:paraId="1202AC7E" w14:textId="77777777" w:rsidR="00A54720" w:rsidRDefault="00A54720">
            <w:pPr>
              <w:spacing w:before="20" w:after="20" w:line="240" w:lineRule="auto"/>
            </w:pPr>
          </w:p>
        </w:tc>
        <w:tc>
          <w:tcPr>
            <w:tcW w:w="1000" w:type="dxa"/>
            <w:tcMar>
              <w:top w:w="20" w:type="dxa"/>
              <w:left w:w="75" w:type="dxa"/>
              <w:bottom w:w="20" w:type="dxa"/>
              <w:right w:w="75" w:type="dxa"/>
            </w:tcMar>
          </w:tcPr>
          <w:p w14:paraId="0BA00B8F" w14:textId="77777777" w:rsidR="00A54720" w:rsidRDefault="00000000">
            <w:pPr>
              <w:spacing w:before="20" w:after="20" w:line="240" w:lineRule="auto"/>
            </w:pPr>
            <w:r>
              <w:rPr>
                <w:rFonts w:ascii="Times New Roman" w:hAnsi="Times New Roman"/>
                <w:sz w:val="18"/>
              </w:rPr>
              <w:t>(0.16)</w:t>
            </w:r>
          </w:p>
        </w:tc>
        <w:tc>
          <w:tcPr>
            <w:tcW w:w="900" w:type="dxa"/>
            <w:tcMar>
              <w:top w:w="20" w:type="dxa"/>
              <w:left w:w="75" w:type="dxa"/>
              <w:bottom w:w="20" w:type="dxa"/>
              <w:right w:w="75" w:type="dxa"/>
            </w:tcMar>
          </w:tcPr>
          <w:p w14:paraId="15E81FC1" w14:textId="77777777" w:rsidR="00A54720" w:rsidRDefault="00A54720">
            <w:pPr>
              <w:spacing w:before="20" w:after="20" w:line="240" w:lineRule="auto"/>
            </w:pPr>
          </w:p>
        </w:tc>
        <w:tc>
          <w:tcPr>
            <w:tcW w:w="1000" w:type="dxa"/>
            <w:tcMar>
              <w:top w:w="20" w:type="dxa"/>
              <w:left w:w="75" w:type="dxa"/>
              <w:bottom w:w="20" w:type="dxa"/>
              <w:right w:w="75" w:type="dxa"/>
            </w:tcMar>
          </w:tcPr>
          <w:p w14:paraId="0516E870" w14:textId="77777777" w:rsidR="00A54720" w:rsidRDefault="00000000">
            <w:pPr>
              <w:spacing w:before="20" w:after="20" w:line="240" w:lineRule="auto"/>
            </w:pPr>
            <w:r>
              <w:rPr>
                <w:rFonts w:ascii="Times New Roman" w:hAnsi="Times New Roman"/>
                <w:sz w:val="18"/>
              </w:rPr>
              <w:t>(0.18)</w:t>
            </w:r>
          </w:p>
        </w:tc>
        <w:tc>
          <w:tcPr>
            <w:tcW w:w="900" w:type="dxa"/>
            <w:tcMar>
              <w:top w:w="20" w:type="dxa"/>
              <w:left w:w="75" w:type="dxa"/>
              <w:bottom w:w="20" w:type="dxa"/>
              <w:right w:w="75" w:type="dxa"/>
            </w:tcMar>
          </w:tcPr>
          <w:p w14:paraId="5ADFC270" w14:textId="77777777" w:rsidR="00A54720" w:rsidRDefault="00A54720">
            <w:pPr>
              <w:spacing w:before="20" w:after="20" w:line="240" w:lineRule="auto"/>
            </w:pPr>
          </w:p>
        </w:tc>
        <w:tc>
          <w:tcPr>
            <w:tcW w:w="1000" w:type="dxa"/>
            <w:tcMar>
              <w:top w:w="20" w:type="dxa"/>
              <w:left w:w="75" w:type="dxa"/>
              <w:bottom w:w="20" w:type="dxa"/>
              <w:right w:w="75" w:type="dxa"/>
            </w:tcMar>
          </w:tcPr>
          <w:p w14:paraId="553333E7" w14:textId="77777777" w:rsidR="00A54720" w:rsidRDefault="00000000">
            <w:pPr>
              <w:spacing w:before="20" w:after="20" w:line="240" w:lineRule="auto"/>
            </w:pPr>
            <w:r>
              <w:rPr>
                <w:rFonts w:ascii="Times New Roman" w:hAnsi="Times New Roman"/>
                <w:sz w:val="18"/>
              </w:rPr>
              <w:t>(0.12)</w:t>
            </w:r>
          </w:p>
        </w:tc>
        <w:tc>
          <w:tcPr>
            <w:tcW w:w="900" w:type="dxa"/>
            <w:tcMar>
              <w:top w:w="20" w:type="dxa"/>
              <w:left w:w="75" w:type="dxa"/>
              <w:bottom w:w="20" w:type="dxa"/>
              <w:right w:w="75" w:type="dxa"/>
            </w:tcMar>
          </w:tcPr>
          <w:p w14:paraId="285B105E" w14:textId="77777777" w:rsidR="00A54720" w:rsidRDefault="00A54720">
            <w:pPr>
              <w:spacing w:before="20" w:after="20" w:line="240" w:lineRule="auto"/>
            </w:pPr>
          </w:p>
        </w:tc>
      </w:tr>
      <w:tr w:rsidR="00A54720" w14:paraId="0A6D7D00" w14:textId="77777777">
        <w:tc>
          <w:tcPr>
            <w:tcW w:w="2700" w:type="dxa"/>
            <w:tcMar>
              <w:top w:w="20" w:type="dxa"/>
              <w:left w:w="75" w:type="dxa"/>
              <w:bottom w:w="20" w:type="dxa"/>
              <w:right w:w="75" w:type="dxa"/>
            </w:tcMar>
          </w:tcPr>
          <w:p w14:paraId="4ABD0180" w14:textId="77777777" w:rsidR="00A54720" w:rsidRPr="00065263" w:rsidRDefault="00000000">
            <w:pPr>
              <w:spacing w:before="20" w:after="20" w:line="240" w:lineRule="auto"/>
              <w:rPr>
                <w:lang w:val="en-US"/>
              </w:rPr>
            </w:pPr>
            <w:r w:rsidRPr="00065263">
              <w:rPr>
                <w:rFonts w:ascii="Times New Roman" w:hAnsi="Times New Roman"/>
                <w:sz w:val="18"/>
                <w:lang w:val="en-US"/>
              </w:rPr>
              <w:t xml:space="preserve">Transit </w:t>
            </w:r>
            <w:proofErr w:type="gramStart"/>
            <w:r w:rsidRPr="00065263">
              <w:rPr>
                <w:rFonts w:ascii="Times New Roman" w:hAnsi="Times New Roman"/>
                <w:sz w:val="18"/>
                <w:lang w:val="en-US"/>
              </w:rPr>
              <w:t>stop</w:t>
            </w:r>
            <w:proofErr w:type="gramEnd"/>
            <w:r w:rsidRPr="00065263">
              <w:rPr>
                <w:rFonts w:ascii="Times New Roman" w:hAnsi="Times New Roman"/>
                <w:sz w:val="18"/>
                <w:lang w:val="en-US"/>
              </w:rPr>
              <w:t>: 600 m (vs 900 m)</w:t>
            </w:r>
          </w:p>
        </w:tc>
        <w:tc>
          <w:tcPr>
            <w:tcW w:w="1000" w:type="dxa"/>
            <w:tcMar>
              <w:top w:w="20" w:type="dxa"/>
              <w:left w:w="75" w:type="dxa"/>
              <w:bottom w:w="20" w:type="dxa"/>
              <w:right w:w="75" w:type="dxa"/>
            </w:tcMar>
          </w:tcPr>
          <w:p w14:paraId="4FEF650A" w14:textId="77777777" w:rsidR="00A54720" w:rsidRDefault="00000000">
            <w:pPr>
              <w:spacing w:before="20" w:after="20" w:line="240" w:lineRule="auto"/>
            </w:pPr>
            <w:r>
              <w:rPr>
                <w:rFonts w:ascii="Times New Roman" w:hAnsi="Times New Roman"/>
                <w:sz w:val="18"/>
              </w:rPr>
              <w:t>0.27*</w:t>
            </w:r>
          </w:p>
        </w:tc>
        <w:tc>
          <w:tcPr>
            <w:tcW w:w="900" w:type="dxa"/>
            <w:tcMar>
              <w:top w:w="20" w:type="dxa"/>
              <w:left w:w="75" w:type="dxa"/>
              <w:bottom w:w="20" w:type="dxa"/>
              <w:right w:w="75" w:type="dxa"/>
            </w:tcMar>
          </w:tcPr>
          <w:p w14:paraId="2E040CCC" w14:textId="77777777" w:rsidR="00A54720" w:rsidRDefault="00000000">
            <w:pPr>
              <w:spacing w:before="20" w:after="20" w:line="240" w:lineRule="auto"/>
            </w:pPr>
            <w:r>
              <w:rPr>
                <w:rFonts w:ascii="Times New Roman" w:hAnsi="Times New Roman"/>
                <w:sz w:val="18"/>
              </w:rPr>
              <w:t>51</w:t>
            </w:r>
          </w:p>
        </w:tc>
        <w:tc>
          <w:tcPr>
            <w:tcW w:w="1000" w:type="dxa"/>
            <w:tcMar>
              <w:top w:w="20" w:type="dxa"/>
              <w:left w:w="75" w:type="dxa"/>
              <w:bottom w:w="20" w:type="dxa"/>
              <w:right w:w="75" w:type="dxa"/>
            </w:tcMar>
          </w:tcPr>
          <w:p w14:paraId="6C6BB19E" w14:textId="77777777" w:rsidR="00A54720" w:rsidRDefault="00000000">
            <w:pPr>
              <w:spacing w:before="20" w:after="20" w:line="240" w:lineRule="auto"/>
            </w:pPr>
            <w:r>
              <w:rPr>
                <w:rFonts w:ascii="Times New Roman" w:hAnsi="Times New Roman"/>
                <w:sz w:val="18"/>
              </w:rPr>
              <w:t>-0.62**</w:t>
            </w:r>
          </w:p>
        </w:tc>
        <w:tc>
          <w:tcPr>
            <w:tcW w:w="900" w:type="dxa"/>
            <w:tcMar>
              <w:top w:w="20" w:type="dxa"/>
              <w:left w:w="75" w:type="dxa"/>
              <w:bottom w:w="20" w:type="dxa"/>
              <w:right w:w="75" w:type="dxa"/>
            </w:tcMar>
          </w:tcPr>
          <w:p w14:paraId="7A89ED7C" w14:textId="77777777" w:rsidR="00A54720" w:rsidRDefault="00000000">
            <w:pPr>
              <w:spacing w:before="20" w:after="20" w:line="240" w:lineRule="auto"/>
            </w:pPr>
            <w:r>
              <w:rPr>
                <w:rFonts w:ascii="Times New Roman" w:hAnsi="Times New Roman"/>
                <w:sz w:val="18"/>
              </w:rPr>
              <w:t>-143</w:t>
            </w:r>
          </w:p>
        </w:tc>
        <w:tc>
          <w:tcPr>
            <w:tcW w:w="1000" w:type="dxa"/>
            <w:tcMar>
              <w:top w:w="20" w:type="dxa"/>
              <w:left w:w="75" w:type="dxa"/>
              <w:bottom w:w="20" w:type="dxa"/>
              <w:right w:w="75" w:type="dxa"/>
            </w:tcMar>
          </w:tcPr>
          <w:p w14:paraId="1868AE40" w14:textId="77777777" w:rsidR="00A54720" w:rsidRDefault="00000000">
            <w:pPr>
              <w:spacing w:before="20" w:after="20" w:line="240" w:lineRule="auto"/>
            </w:pPr>
            <w:r>
              <w:rPr>
                <w:rFonts w:ascii="Times New Roman" w:hAnsi="Times New Roman"/>
                <w:sz w:val="18"/>
              </w:rPr>
              <w:t>1.03***</w:t>
            </w:r>
          </w:p>
        </w:tc>
        <w:tc>
          <w:tcPr>
            <w:tcW w:w="900" w:type="dxa"/>
            <w:tcMar>
              <w:top w:w="20" w:type="dxa"/>
              <w:left w:w="75" w:type="dxa"/>
              <w:bottom w:w="20" w:type="dxa"/>
              <w:right w:w="75" w:type="dxa"/>
            </w:tcMar>
          </w:tcPr>
          <w:p w14:paraId="02F19F00" w14:textId="77777777" w:rsidR="00A54720" w:rsidRDefault="00000000">
            <w:pPr>
              <w:spacing w:before="20" w:after="20" w:line="240" w:lineRule="auto"/>
            </w:pPr>
            <w:r>
              <w:rPr>
                <w:rFonts w:ascii="Times New Roman" w:hAnsi="Times New Roman"/>
                <w:sz w:val="18"/>
              </w:rPr>
              <w:t>274</w:t>
            </w:r>
          </w:p>
        </w:tc>
      </w:tr>
      <w:tr w:rsidR="00A54720" w14:paraId="0A61EF54" w14:textId="77777777">
        <w:tc>
          <w:tcPr>
            <w:tcW w:w="2700" w:type="dxa"/>
            <w:tcMar>
              <w:top w:w="20" w:type="dxa"/>
              <w:left w:w="75" w:type="dxa"/>
              <w:bottom w:w="20" w:type="dxa"/>
              <w:right w:w="75" w:type="dxa"/>
            </w:tcMar>
          </w:tcPr>
          <w:p w14:paraId="25610CBF" w14:textId="77777777" w:rsidR="00A54720" w:rsidRDefault="00A54720">
            <w:pPr>
              <w:spacing w:before="20" w:after="20" w:line="240" w:lineRule="auto"/>
            </w:pPr>
          </w:p>
        </w:tc>
        <w:tc>
          <w:tcPr>
            <w:tcW w:w="1000" w:type="dxa"/>
            <w:tcMar>
              <w:top w:w="20" w:type="dxa"/>
              <w:left w:w="75" w:type="dxa"/>
              <w:bottom w:w="20" w:type="dxa"/>
              <w:right w:w="75" w:type="dxa"/>
            </w:tcMar>
          </w:tcPr>
          <w:p w14:paraId="1732B826" w14:textId="77777777" w:rsidR="00A54720" w:rsidRDefault="00000000">
            <w:pPr>
              <w:spacing w:before="20" w:after="20" w:line="240" w:lineRule="auto"/>
            </w:pPr>
            <w:r>
              <w:rPr>
                <w:rFonts w:ascii="Times New Roman" w:hAnsi="Times New Roman"/>
                <w:sz w:val="18"/>
              </w:rPr>
              <w:t>(0.13)</w:t>
            </w:r>
          </w:p>
        </w:tc>
        <w:tc>
          <w:tcPr>
            <w:tcW w:w="900" w:type="dxa"/>
            <w:tcMar>
              <w:top w:w="20" w:type="dxa"/>
              <w:left w:w="75" w:type="dxa"/>
              <w:bottom w:w="20" w:type="dxa"/>
              <w:right w:w="75" w:type="dxa"/>
            </w:tcMar>
          </w:tcPr>
          <w:p w14:paraId="0FCF39F3" w14:textId="77777777" w:rsidR="00A54720" w:rsidRDefault="00A54720">
            <w:pPr>
              <w:spacing w:before="20" w:after="20" w:line="240" w:lineRule="auto"/>
            </w:pPr>
          </w:p>
        </w:tc>
        <w:tc>
          <w:tcPr>
            <w:tcW w:w="1000" w:type="dxa"/>
            <w:tcMar>
              <w:top w:w="20" w:type="dxa"/>
              <w:left w:w="75" w:type="dxa"/>
              <w:bottom w:w="20" w:type="dxa"/>
              <w:right w:w="75" w:type="dxa"/>
            </w:tcMar>
          </w:tcPr>
          <w:p w14:paraId="1BEEDA96" w14:textId="77777777" w:rsidR="00A54720" w:rsidRDefault="00000000">
            <w:pPr>
              <w:spacing w:before="20" w:after="20" w:line="240" w:lineRule="auto"/>
            </w:pPr>
            <w:r>
              <w:rPr>
                <w:rFonts w:ascii="Times New Roman" w:hAnsi="Times New Roman"/>
                <w:sz w:val="18"/>
              </w:rPr>
              <w:t>(0.21)</w:t>
            </w:r>
          </w:p>
        </w:tc>
        <w:tc>
          <w:tcPr>
            <w:tcW w:w="900" w:type="dxa"/>
            <w:tcMar>
              <w:top w:w="20" w:type="dxa"/>
              <w:left w:w="75" w:type="dxa"/>
              <w:bottom w:w="20" w:type="dxa"/>
              <w:right w:w="75" w:type="dxa"/>
            </w:tcMar>
          </w:tcPr>
          <w:p w14:paraId="35446A46" w14:textId="77777777" w:rsidR="00A54720" w:rsidRDefault="00A54720">
            <w:pPr>
              <w:spacing w:before="20" w:after="20" w:line="240" w:lineRule="auto"/>
            </w:pPr>
          </w:p>
        </w:tc>
        <w:tc>
          <w:tcPr>
            <w:tcW w:w="1000" w:type="dxa"/>
            <w:tcMar>
              <w:top w:w="20" w:type="dxa"/>
              <w:left w:w="75" w:type="dxa"/>
              <w:bottom w:w="20" w:type="dxa"/>
              <w:right w:w="75" w:type="dxa"/>
            </w:tcMar>
          </w:tcPr>
          <w:p w14:paraId="1CADBCFC" w14:textId="77777777" w:rsidR="00A54720" w:rsidRDefault="00000000">
            <w:pPr>
              <w:spacing w:before="20" w:after="20" w:line="240" w:lineRule="auto"/>
            </w:pPr>
            <w:r>
              <w:rPr>
                <w:rFonts w:ascii="Times New Roman" w:hAnsi="Times New Roman"/>
                <w:sz w:val="18"/>
              </w:rPr>
              <w:t>(0.15)</w:t>
            </w:r>
          </w:p>
        </w:tc>
        <w:tc>
          <w:tcPr>
            <w:tcW w:w="900" w:type="dxa"/>
            <w:tcMar>
              <w:top w:w="20" w:type="dxa"/>
              <w:left w:w="75" w:type="dxa"/>
              <w:bottom w:w="20" w:type="dxa"/>
              <w:right w:w="75" w:type="dxa"/>
            </w:tcMar>
          </w:tcPr>
          <w:p w14:paraId="5037DE8F" w14:textId="77777777" w:rsidR="00A54720" w:rsidRDefault="00A54720">
            <w:pPr>
              <w:spacing w:before="20" w:after="20" w:line="240" w:lineRule="auto"/>
            </w:pPr>
          </w:p>
        </w:tc>
      </w:tr>
      <w:tr w:rsidR="00A54720" w14:paraId="52A7FF98" w14:textId="77777777">
        <w:tc>
          <w:tcPr>
            <w:tcW w:w="2700" w:type="dxa"/>
            <w:tcMar>
              <w:top w:w="20" w:type="dxa"/>
              <w:left w:w="75" w:type="dxa"/>
              <w:bottom w:w="20" w:type="dxa"/>
              <w:right w:w="75" w:type="dxa"/>
            </w:tcMar>
          </w:tcPr>
          <w:p w14:paraId="6A271D5D" w14:textId="77777777" w:rsidR="00A54720" w:rsidRPr="00065263" w:rsidRDefault="00000000">
            <w:pPr>
              <w:spacing w:before="20" w:after="20" w:line="240" w:lineRule="auto"/>
              <w:rPr>
                <w:lang w:val="en-US"/>
              </w:rPr>
            </w:pPr>
            <w:r w:rsidRPr="00065263">
              <w:rPr>
                <w:rFonts w:ascii="Times New Roman" w:hAnsi="Times New Roman"/>
                <w:sz w:val="18"/>
                <w:lang w:val="en-US"/>
              </w:rPr>
              <w:t xml:space="preserve">Transit </w:t>
            </w:r>
            <w:proofErr w:type="gramStart"/>
            <w:r w:rsidRPr="00065263">
              <w:rPr>
                <w:rFonts w:ascii="Times New Roman" w:hAnsi="Times New Roman"/>
                <w:sz w:val="18"/>
                <w:lang w:val="en-US"/>
              </w:rPr>
              <w:t>stop</w:t>
            </w:r>
            <w:proofErr w:type="gramEnd"/>
            <w:r w:rsidRPr="00065263">
              <w:rPr>
                <w:rFonts w:ascii="Times New Roman" w:hAnsi="Times New Roman"/>
                <w:sz w:val="18"/>
                <w:lang w:val="en-US"/>
              </w:rPr>
              <w:t>: 300 m (vs 900 m)</w:t>
            </w:r>
          </w:p>
        </w:tc>
        <w:tc>
          <w:tcPr>
            <w:tcW w:w="1000" w:type="dxa"/>
            <w:tcMar>
              <w:top w:w="20" w:type="dxa"/>
              <w:left w:w="75" w:type="dxa"/>
              <w:bottom w:w="20" w:type="dxa"/>
              <w:right w:w="75" w:type="dxa"/>
            </w:tcMar>
          </w:tcPr>
          <w:p w14:paraId="799E6D4C" w14:textId="77777777" w:rsidR="00A54720" w:rsidRDefault="00000000">
            <w:pPr>
              <w:spacing w:before="20" w:after="20" w:line="240" w:lineRule="auto"/>
            </w:pPr>
            <w:r>
              <w:rPr>
                <w:rFonts w:ascii="Times New Roman" w:hAnsi="Times New Roman"/>
                <w:sz w:val="18"/>
              </w:rPr>
              <w:t>0.64***</w:t>
            </w:r>
          </w:p>
        </w:tc>
        <w:tc>
          <w:tcPr>
            <w:tcW w:w="900" w:type="dxa"/>
            <w:tcMar>
              <w:top w:w="20" w:type="dxa"/>
              <w:left w:w="75" w:type="dxa"/>
              <w:bottom w:w="20" w:type="dxa"/>
              <w:right w:w="75" w:type="dxa"/>
            </w:tcMar>
          </w:tcPr>
          <w:p w14:paraId="4DD3E7C2" w14:textId="77777777" w:rsidR="00A54720" w:rsidRDefault="00000000">
            <w:pPr>
              <w:spacing w:before="20" w:after="20" w:line="240" w:lineRule="auto"/>
            </w:pPr>
            <w:r>
              <w:rPr>
                <w:rFonts w:ascii="Times New Roman" w:hAnsi="Times New Roman"/>
                <w:sz w:val="18"/>
              </w:rPr>
              <w:t>120</w:t>
            </w:r>
          </w:p>
        </w:tc>
        <w:tc>
          <w:tcPr>
            <w:tcW w:w="1000" w:type="dxa"/>
            <w:tcMar>
              <w:top w:w="20" w:type="dxa"/>
              <w:left w:w="75" w:type="dxa"/>
              <w:bottom w:w="20" w:type="dxa"/>
              <w:right w:w="75" w:type="dxa"/>
            </w:tcMar>
          </w:tcPr>
          <w:p w14:paraId="556ECDB9" w14:textId="77777777" w:rsidR="00A54720" w:rsidRDefault="00000000">
            <w:pPr>
              <w:spacing w:before="20" w:after="20" w:line="240" w:lineRule="auto"/>
            </w:pPr>
            <w:r>
              <w:rPr>
                <w:rFonts w:ascii="Times New Roman" w:hAnsi="Times New Roman"/>
                <w:sz w:val="18"/>
              </w:rPr>
              <w:t>1.36***</w:t>
            </w:r>
          </w:p>
        </w:tc>
        <w:tc>
          <w:tcPr>
            <w:tcW w:w="900" w:type="dxa"/>
            <w:tcMar>
              <w:top w:w="20" w:type="dxa"/>
              <w:left w:w="75" w:type="dxa"/>
              <w:bottom w:w="20" w:type="dxa"/>
              <w:right w:w="75" w:type="dxa"/>
            </w:tcMar>
          </w:tcPr>
          <w:p w14:paraId="16D720A7" w14:textId="77777777" w:rsidR="00A54720" w:rsidRDefault="00000000">
            <w:pPr>
              <w:spacing w:before="20" w:after="20" w:line="240" w:lineRule="auto"/>
            </w:pPr>
            <w:r>
              <w:rPr>
                <w:rFonts w:ascii="Times New Roman" w:hAnsi="Times New Roman"/>
                <w:sz w:val="18"/>
              </w:rPr>
              <w:t>312</w:t>
            </w:r>
          </w:p>
        </w:tc>
        <w:tc>
          <w:tcPr>
            <w:tcW w:w="1000" w:type="dxa"/>
            <w:tcMar>
              <w:top w:w="20" w:type="dxa"/>
              <w:left w:w="75" w:type="dxa"/>
              <w:bottom w:w="20" w:type="dxa"/>
              <w:right w:w="75" w:type="dxa"/>
            </w:tcMar>
          </w:tcPr>
          <w:p w14:paraId="560C7677" w14:textId="77777777" w:rsidR="00A54720" w:rsidRDefault="00000000">
            <w:pPr>
              <w:spacing w:before="20" w:after="20" w:line="240" w:lineRule="auto"/>
            </w:pPr>
            <w:r>
              <w:rPr>
                <w:rFonts w:ascii="Times New Roman" w:hAnsi="Times New Roman"/>
                <w:sz w:val="18"/>
              </w:rPr>
              <w:t>0.61***</w:t>
            </w:r>
          </w:p>
        </w:tc>
        <w:tc>
          <w:tcPr>
            <w:tcW w:w="900" w:type="dxa"/>
            <w:tcMar>
              <w:top w:w="20" w:type="dxa"/>
              <w:left w:w="75" w:type="dxa"/>
              <w:bottom w:w="20" w:type="dxa"/>
              <w:right w:w="75" w:type="dxa"/>
            </w:tcMar>
          </w:tcPr>
          <w:p w14:paraId="37299E3B" w14:textId="77777777" w:rsidR="00A54720" w:rsidRDefault="00000000">
            <w:pPr>
              <w:spacing w:before="20" w:after="20" w:line="240" w:lineRule="auto"/>
            </w:pPr>
            <w:r>
              <w:rPr>
                <w:rFonts w:ascii="Times New Roman" w:hAnsi="Times New Roman"/>
                <w:sz w:val="18"/>
              </w:rPr>
              <w:t>164</w:t>
            </w:r>
          </w:p>
        </w:tc>
      </w:tr>
      <w:tr w:rsidR="00A54720" w14:paraId="3C0ECF56" w14:textId="77777777">
        <w:tc>
          <w:tcPr>
            <w:tcW w:w="2700" w:type="dxa"/>
            <w:tcMar>
              <w:top w:w="20" w:type="dxa"/>
              <w:left w:w="75" w:type="dxa"/>
              <w:bottom w:w="20" w:type="dxa"/>
              <w:right w:w="75" w:type="dxa"/>
            </w:tcMar>
          </w:tcPr>
          <w:p w14:paraId="120552F9" w14:textId="77777777" w:rsidR="00A54720" w:rsidRDefault="00A54720">
            <w:pPr>
              <w:spacing w:before="20" w:after="20" w:line="240" w:lineRule="auto"/>
            </w:pPr>
          </w:p>
        </w:tc>
        <w:tc>
          <w:tcPr>
            <w:tcW w:w="1000" w:type="dxa"/>
            <w:tcMar>
              <w:top w:w="20" w:type="dxa"/>
              <w:left w:w="75" w:type="dxa"/>
              <w:bottom w:w="20" w:type="dxa"/>
              <w:right w:w="75" w:type="dxa"/>
            </w:tcMar>
          </w:tcPr>
          <w:p w14:paraId="714CCB62" w14:textId="77777777" w:rsidR="00A54720" w:rsidRDefault="00000000">
            <w:pPr>
              <w:spacing w:before="20" w:after="20" w:line="240" w:lineRule="auto"/>
            </w:pPr>
            <w:r>
              <w:rPr>
                <w:rFonts w:ascii="Times New Roman" w:hAnsi="Times New Roman"/>
                <w:sz w:val="18"/>
              </w:rPr>
              <w:t>(0.10)</w:t>
            </w:r>
          </w:p>
        </w:tc>
        <w:tc>
          <w:tcPr>
            <w:tcW w:w="900" w:type="dxa"/>
            <w:tcMar>
              <w:top w:w="20" w:type="dxa"/>
              <w:left w:w="75" w:type="dxa"/>
              <w:bottom w:w="20" w:type="dxa"/>
              <w:right w:w="75" w:type="dxa"/>
            </w:tcMar>
          </w:tcPr>
          <w:p w14:paraId="2A235FE5" w14:textId="77777777" w:rsidR="00A54720" w:rsidRDefault="00A54720">
            <w:pPr>
              <w:spacing w:before="20" w:after="20" w:line="240" w:lineRule="auto"/>
            </w:pPr>
          </w:p>
        </w:tc>
        <w:tc>
          <w:tcPr>
            <w:tcW w:w="1000" w:type="dxa"/>
            <w:tcMar>
              <w:top w:w="20" w:type="dxa"/>
              <w:left w:w="75" w:type="dxa"/>
              <w:bottom w:w="20" w:type="dxa"/>
              <w:right w:w="75" w:type="dxa"/>
            </w:tcMar>
          </w:tcPr>
          <w:p w14:paraId="2A22A03F" w14:textId="77777777" w:rsidR="00A54720" w:rsidRDefault="00000000">
            <w:pPr>
              <w:spacing w:before="20" w:after="20" w:line="240" w:lineRule="auto"/>
            </w:pPr>
            <w:r>
              <w:rPr>
                <w:rFonts w:ascii="Times New Roman" w:hAnsi="Times New Roman"/>
                <w:sz w:val="18"/>
              </w:rPr>
              <w:t>(0.18)</w:t>
            </w:r>
          </w:p>
        </w:tc>
        <w:tc>
          <w:tcPr>
            <w:tcW w:w="900" w:type="dxa"/>
            <w:tcMar>
              <w:top w:w="20" w:type="dxa"/>
              <w:left w:w="75" w:type="dxa"/>
              <w:bottom w:w="20" w:type="dxa"/>
              <w:right w:w="75" w:type="dxa"/>
            </w:tcMar>
          </w:tcPr>
          <w:p w14:paraId="0D6A5261" w14:textId="77777777" w:rsidR="00A54720" w:rsidRDefault="00A54720">
            <w:pPr>
              <w:spacing w:before="20" w:after="20" w:line="240" w:lineRule="auto"/>
            </w:pPr>
          </w:p>
        </w:tc>
        <w:tc>
          <w:tcPr>
            <w:tcW w:w="1000" w:type="dxa"/>
            <w:tcMar>
              <w:top w:w="20" w:type="dxa"/>
              <w:left w:w="75" w:type="dxa"/>
              <w:bottom w:w="20" w:type="dxa"/>
              <w:right w:w="75" w:type="dxa"/>
            </w:tcMar>
          </w:tcPr>
          <w:p w14:paraId="42E6FD46" w14:textId="77777777" w:rsidR="00A54720" w:rsidRDefault="00000000">
            <w:pPr>
              <w:spacing w:before="20" w:after="20" w:line="240" w:lineRule="auto"/>
            </w:pPr>
            <w:r>
              <w:rPr>
                <w:rFonts w:ascii="Times New Roman" w:hAnsi="Times New Roman"/>
                <w:sz w:val="18"/>
              </w:rPr>
              <w:t>(0.14)</w:t>
            </w:r>
          </w:p>
        </w:tc>
        <w:tc>
          <w:tcPr>
            <w:tcW w:w="900" w:type="dxa"/>
            <w:tcMar>
              <w:top w:w="20" w:type="dxa"/>
              <w:left w:w="75" w:type="dxa"/>
              <w:bottom w:w="20" w:type="dxa"/>
              <w:right w:w="75" w:type="dxa"/>
            </w:tcMar>
          </w:tcPr>
          <w:p w14:paraId="328F3C73" w14:textId="77777777" w:rsidR="00A54720" w:rsidRDefault="00A54720">
            <w:pPr>
              <w:spacing w:before="20" w:after="20" w:line="240" w:lineRule="auto"/>
            </w:pPr>
          </w:p>
        </w:tc>
      </w:tr>
      <w:tr w:rsidR="00A54720" w14:paraId="1B26F220" w14:textId="77777777">
        <w:tc>
          <w:tcPr>
            <w:tcW w:w="2700" w:type="dxa"/>
            <w:tcMar>
              <w:top w:w="20" w:type="dxa"/>
              <w:left w:w="75" w:type="dxa"/>
              <w:bottom w:w="20" w:type="dxa"/>
              <w:right w:w="75" w:type="dxa"/>
            </w:tcMar>
          </w:tcPr>
          <w:p w14:paraId="1F34DBA1" w14:textId="77777777" w:rsidR="00A54720" w:rsidRPr="00065263" w:rsidRDefault="00000000">
            <w:pPr>
              <w:spacing w:before="20" w:after="20" w:line="240" w:lineRule="auto"/>
              <w:rPr>
                <w:lang w:val="en-US"/>
              </w:rPr>
            </w:pPr>
            <w:r w:rsidRPr="00065263">
              <w:rPr>
                <w:rFonts w:ascii="Times New Roman" w:hAnsi="Times New Roman"/>
                <w:sz w:val="18"/>
                <w:lang w:val="en-US"/>
              </w:rPr>
              <w:t>Parking: reserved garage (vs none)</w:t>
            </w:r>
          </w:p>
        </w:tc>
        <w:tc>
          <w:tcPr>
            <w:tcW w:w="1000" w:type="dxa"/>
            <w:tcMar>
              <w:top w:w="20" w:type="dxa"/>
              <w:left w:w="75" w:type="dxa"/>
              <w:bottom w:w="20" w:type="dxa"/>
              <w:right w:w="75" w:type="dxa"/>
            </w:tcMar>
          </w:tcPr>
          <w:p w14:paraId="49DA6A9B" w14:textId="77777777" w:rsidR="00A54720" w:rsidRDefault="00000000">
            <w:pPr>
              <w:spacing w:before="20" w:after="20" w:line="240" w:lineRule="auto"/>
            </w:pPr>
            <w:r>
              <w:rPr>
                <w:rFonts w:ascii="Times New Roman" w:hAnsi="Times New Roman"/>
                <w:sz w:val="18"/>
              </w:rPr>
              <w:t>1.02***</w:t>
            </w:r>
          </w:p>
        </w:tc>
        <w:tc>
          <w:tcPr>
            <w:tcW w:w="900" w:type="dxa"/>
            <w:tcMar>
              <w:top w:w="20" w:type="dxa"/>
              <w:left w:w="75" w:type="dxa"/>
              <w:bottom w:w="20" w:type="dxa"/>
              <w:right w:w="75" w:type="dxa"/>
            </w:tcMar>
          </w:tcPr>
          <w:p w14:paraId="5B38A236" w14:textId="77777777" w:rsidR="00A54720" w:rsidRDefault="00000000">
            <w:pPr>
              <w:spacing w:before="20" w:after="20" w:line="240" w:lineRule="auto"/>
            </w:pPr>
            <w:r>
              <w:rPr>
                <w:rFonts w:ascii="Times New Roman" w:hAnsi="Times New Roman"/>
                <w:sz w:val="18"/>
              </w:rPr>
              <w:t>192</w:t>
            </w:r>
          </w:p>
        </w:tc>
        <w:tc>
          <w:tcPr>
            <w:tcW w:w="1000" w:type="dxa"/>
            <w:tcMar>
              <w:top w:w="20" w:type="dxa"/>
              <w:left w:w="75" w:type="dxa"/>
              <w:bottom w:w="20" w:type="dxa"/>
              <w:right w:w="75" w:type="dxa"/>
            </w:tcMar>
          </w:tcPr>
          <w:p w14:paraId="26B3CCA8" w14:textId="77777777" w:rsidR="00A54720" w:rsidRDefault="00000000">
            <w:pPr>
              <w:spacing w:before="20" w:after="20" w:line="240" w:lineRule="auto"/>
            </w:pPr>
            <w:r>
              <w:rPr>
                <w:rFonts w:ascii="Times New Roman" w:hAnsi="Times New Roman"/>
                <w:sz w:val="18"/>
              </w:rPr>
              <w:t>0.76***</w:t>
            </w:r>
          </w:p>
        </w:tc>
        <w:tc>
          <w:tcPr>
            <w:tcW w:w="900" w:type="dxa"/>
            <w:tcMar>
              <w:top w:w="20" w:type="dxa"/>
              <w:left w:w="75" w:type="dxa"/>
              <w:bottom w:w="20" w:type="dxa"/>
              <w:right w:w="75" w:type="dxa"/>
            </w:tcMar>
          </w:tcPr>
          <w:p w14:paraId="5ABF171B" w14:textId="77777777" w:rsidR="00A54720" w:rsidRDefault="00000000">
            <w:pPr>
              <w:spacing w:before="20" w:after="20" w:line="240" w:lineRule="auto"/>
            </w:pPr>
            <w:r>
              <w:rPr>
                <w:rFonts w:ascii="Times New Roman" w:hAnsi="Times New Roman"/>
                <w:sz w:val="18"/>
              </w:rPr>
              <w:t>175</w:t>
            </w:r>
          </w:p>
        </w:tc>
        <w:tc>
          <w:tcPr>
            <w:tcW w:w="1000" w:type="dxa"/>
            <w:tcMar>
              <w:top w:w="20" w:type="dxa"/>
              <w:left w:w="75" w:type="dxa"/>
              <w:bottom w:w="20" w:type="dxa"/>
              <w:right w:w="75" w:type="dxa"/>
            </w:tcMar>
          </w:tcPr>
          <w:p w14:paraId="6FE64AFC" w14:textId="77777777" w:rsidR="00A54720" w:rsidRDefault="00000000">
            <w:pPr>
              <w:spacing w:before="20" w:after="20" w:line="240" w:lineRule="auto"/>
            </w:pPr>
            <w:r>
              <w:rPr>
                <w:rFonts w:ascii="Times New Roman" w:hAnsi="Times New Roman"/>
                <w:sz w:val="18"/>
              </w:rPr>
              <w:t>4.12***</w:t>
            </w:r>
          </w:p>
        </w:tc>
        <w:tc>
          <w:tcPr>
            <w:tcW w:w="900" w:type="dxa"/>
            <w:tcMar>
              <w:top w:w="20" w:type="dxa"/>
              <w:left w:w="75" w:type="dxa"/>
              <w:bottom w:w="20" w:type="dxa"/>
              <w:right w:w="75" w:type="dxa"/>
            </w:tcMar>
          </w:tcPr>
          <w:p w14:paraId="70D7A020" w14:textId="77777777" w:rsidR="00A54720" w:rsidRDefault="00000000">
            <w:pPr>
              <w:spacing w:before="20" w:after="20" w:line="240" w:lineRule="auto"/>
            </w:pPr>
            <w:r>
              <w:rPr>
                <w:rFonts w:ascii="Times New Roman" w:hAnsi="Times New Roman"/>
                <w:sz w:val="18"/>
              </w:rPr>
              <w:t>1095</w:t>
            </w:r>
          </w:p>
        </w:tc>
      </w:tr>
      <w:tr w:rsidR="00A54720" w14:paraId="4AC4C86F" w14:textId="77777777">
        <w:tc>
          <w:tcPr>
            <w:tcW w:w="2700" w:type="dxa"/>
            <w:tcMar>
              <w:top w:w="20" w:type="dxa"/>
              <w:left w:w="75" w:type="dxa"/>
              <w:bottom w:w="20" w:type="dxa"/>
              <w:right w:w="75" w:type="dxa"/>
            </w:tcMar>
          </w:tcPr>
          <w:p w14:paraId="40236AE6" w14:textId="77777777" w:rsidR="00A54720" w:rsidRDefault="00A54720">
            <w:pPr>
              <w:spacing w:before="20" w:after="20" w:line="240" w:lineRule="auto"/>
            </w:pPr>
          </w:p>
        </w:tc>
        <w:tc>
          <w:tcPr>
            <w:tcW w:w="1000" w:type="dxa"/>
            <w:tcMar>
              <w:top w:w="20" w:type="dxa"/>
              <w:left w:w="75" w:type="dxa"/>
              <w:bottom w:w="20" w:type="dxa"/>
              <w:right w:w="75" w:type="dxa"/>
            </w:tcMar>
          </w:tcPr>
          <w:p w14:paraId="29C8D904" w14:textId="77777777" w:rsidR="00A54720" w:rsidRDefault="00000000">
            <w:pPr>
              <w:spacing w:before="20" w:after="20" w:line="240" w:lineRule="auto"/>
            </w:pPr>
            <w:r>
              <w:rPr>
                <w:rFonts w:ascii="Times New Roman" w:hAnsi="Times New Roman"/>
                <w:sz w:val="18"/>
              </w:rPr>
              <w:t>(0.13)</w:t>
            </w:r>
          </w:p>
        </w:tc>
        <w:tc>
          <w:tcPr>
            <w:tcW w:w="900" w:type="dxa"/>
            <w:tcMar>
              <w:top w:w="20" w:type="dxa"/>
              <w:left w:w="75" w:type="dxa"/>
              <w:bottom w:w="20" w:type="dxa"/>
              <w:right w:w="75" w:type="dxa"/>
            </w:tcMar>
          </w:tcPr>
          <w:p w14:paraId="193A31AB" w14:textId="77777777" w:rsidR="00A54720" w:rsidRDefault="00A54720">
            <w:pPr>
              <w:spacing w:before="20" w:after="20" w:line="240" w:lineRule="auto"/>
            </w:pPr>
          </w:p>
        </w:tc>
        <w:tc>
          <w:tcPr>
            <w:tcW w:w="1000" w:type="dxa"/>
            <w:tcMar>
              <w:top w:w="20" w:type="dxa"/>
              <w:left w:w="75" w:type="dxa"/>
              <w:bottom w:w="20" w:type="dxa"/>
              <w:right w:w="75" w:type="dxa"/>
            </w:tcMar>
          </w:tcPr>
          <w:p w14:paraId="68901DF9" w14:textId="77777777" w:rsidR="00A54720" w:rsidRDefault="00000000">
            <w:pPr>
              <w:spacing w:before="20" w:after="20" w:line="240" w:lineRule="auto"/>
            </w:pPr>
            <w:r>
              <w:rPr>
                <w:rFonts w:ascii="Times New Roman" w:hAnsi="Times New Roman"/>
                <w:sz w:val="18"/>
              </w:rPr>
              <w:t>(0.18)</w:t>
            </w:r>
          </w:p>
        </w:tc>
        <w:tc>
          <w:tcPr>
            <w:tcW w:w="900" w:type="dxa"/>
            <w:tcMar>
              <w:top w:w="20" w:type="dxa"/>
              <w:left w:w="75" w:type="dxa"/>
              <w:bottom w:w="20" w:type="dxa"/>
              <w:right w:w="75" w:type="dxa"/>
            </w:tcMar>
          </w:tcPr>
          <w:p w14:paraId="7BDAC3C7" w14:textId="77777777" w:rsidR="00A54720" w:rsidRDefault="00A54720">
            <w:pPr>
              <w:spacing w:before="20" w:after="20" w:line="240" w:lineRule="auto"/>
            </w:pPr>
          </w:p>
        </w:tc>
        <w:tc>
          <w:tcPr>
            <w:tcW w:w="1000" w:type="dxa"/>
            <w:tcMar>
              <w:top w:w="20" w:type="dxa"/>
              <w:left w:w="75" w:type="dxa"/>
              <w:bottom w:w="20" w:type="dxa"/>
              <w:right w:w="75" w:type="dxa"/>
            </w:tcMar>
          </w:tcPr>
          <w:p w14:paraId="12959FD5" w14:textId="77777777" w:rsidR="00A54720" w:rsidRDefault="00000000">
            <w:pPr>
              <w:spacing w:before="20" w:after="20" w:line="240" w:lineRule="auto"/>
            </w:pPr>
            <w:r>
              <w:rPr>
                <w:rFonts w:ascii="Times New Roman" w:hAnsi="Times New Roman"/>
                <w:sz w:val="18"/>
              </w:rPr>
              <w:t>(0.24)</w:t>
            </w:r>
          </w:p>
        </w:tc>
        <w:tc>
          <w:tcPr>
            <w:tcW w:w="900" w:type="dxa"/>
            <w:tcMar>
              <w:top w:w="20" w:type="dxa"/>
              <w:left w:w="75" w:type="dxa"/>
              <w:bottom w:w="20" w:type="dxa"/>
              <w:right w:w="75" w:type="dxa"/>
            </w:tcMar>
          </w:tcPr>
          <w:p w14:paraId="11216FA5" w14:textId="77777777" w:rsidR="00A54720" w:rsidRDefault="00A54720">
            <w:pPr>
              <w:spacing w:before="20" w:after="20" w:line="240" w:lineRule="auto"/>
            </w:pPr>
          </w:p>
        </w:tc>
      </w:tr>
      <w:tr w:rsidR="00A54720" w14:paraId="05C1BC7F" w14:textId="77777777">
        <w:tc>
          <w:tcPr>
            <w:tcW w:w="2700" w:type="dxa"/>
            <w:tcMar>
              <w:top w:w="20" w:type="dxa"/>
              <w:left w:w="75" w:type="dxa"/>
              <w:bottom w:w="20" w:type="dxa"/>
              <w:right w:w="75" w:type="dxa"/>
            </w:tcMar>
          </w:tcPr>
          <w:p w14:paraId="7A4A2CB4" w14:textId="77777777" w:rsidR="00A54720" w:rsidRPr="00065263" w:rsidRDefault="00000000">
            <w:pPr>
              <w:spacing w:before="20" w:after="20" w:line="240" w:lineRule="auto"/>
              <w:rPr>
                <w:lang w:val="en-US"/>
              </w:rPr>
            </w:pPr>
            <w:r w:rsidRPr="00065263">
              <w:rPr>
                <w:rFonts w:ascii="Times New Roman" w:hAnsi="Times New Roman"/>
                <w:sz w:val="18"/>
                <w:lang w:val="en-US"/>
              </w:rPr>
              <w:t>Parking: reserved space (vs none)</w:t>
            </w:r>
          </w:p>
        </w:tc>
        <w:tc>
          <w:tcPr>
            <w:tcW w:w="1000" w:type="dxa"/>
            <w:tcMar>
              <w:top w:w="20" w:type="dxa"/>
              <w:left w:w="75" w:type="dxa"/>
              <w:bottom w:w="20" w:type="dxa"/>
              <w:right w:w="75" w:type="dxa"/>
            </w:tcMar>
          </w:tcPr>
          <w:p w14:paraId="0AA1E231" w14:textId="77777777" w:rsidR="00A54720" w:rsidRDefault="00000000">
            <w:pPr>
              <w:spacing w:before="20" w:after="20" w:line="240" w:lineRule="auto"/>
            </w:pPr>
            <w:r>
              <w:rPr>
                <w:rFonts w:ascii="Times New Roman" w:hAnsi="Times New Roman"/>
                <w:sz w:val="18"/>
              </w:rPr>
              <w:t>0.99***</w:t>
            </w:r>
          </w:p>
        </w:tc>
        <w:tc>
          <w:tcPr>
            <w:tcW w:w="900" w:type="dxa"/>
            <w:tcMar>
              <w:top w:w="20" w:type="dxa"/>
              <w:left w:w="75" w:type="dxa"/>
              <w:bottom w:w="20" w:type="dxa"/>
              <w:right w:w="75" w:type="dxa"/>
            </w:tcMar>
          </w:tcPr>
          <w:p w14:paraId="7F6F1B62" w14:textId="77777777" w:rsidR="00A54720" w:rsidRDefault="00000000">
            <w:pPr>
              <w:spacing w:before="20" w:after="20" w:line="240" w:lineRule="auto"/>
            </w:pPr>
            <w:r>
              <w:rPr>
                <w:rFonts w:ascii="Times New Roman" w:hAnsi="Times New Roman"/>
                <w:sz w:val="18"/>
              </w:rPr>
              <w:t>186</w:t>
            </w:r>
          </w:p>
        </w:tc>
        <w:tc>
          <w:tcPr>
            <w:tcW w:w="1000" w:type="dxa"/>
            <w:tcMar>
              <w:top w:w="20" w:type="dxa"/>
              <w:left w:w="75" w:type="dxa"/>
              <w:bottom w:w="20" w:type="dxa"/>
              <w:right w:w="75" w:type="dxa"/>
            </w:tcMar>
          </w:tcPr>
          <w:p w14:paraId="647A7789" w14:textId="77777777" w:rsidR="00A54720" w:rsidRDefault="00000000">
            <w:pPr>
              <w:spacing w:before="20" w:after="20" w:line="240" w:lineRule="auto"/>
            </w:pPr>
            <w:r>
              <w:rPr>
                <w:rFonts w:ascii="Times New Roman" w:hAnsi="Times New Roman"/>
                <w:sz w:val="18"/>
              </w:rPr>
              <w:t>0.60**</w:t>
            </w:r>
          </w:p>
        </w:tc>
        <w:tc>
          <w:tcPr>
            <w:tcW w:w="900" w:type="dxa"/>
            <w:tcMar>
              <w:top w:w="20" w:type="dxa"/>
              <w:left w:w="75" w:type="dxa"/>
              <w:bottom w:w="20" w:type="dxa"/>
              <w:right w:w="75" w:type="dxa"/>
            </w:tcMar>
          </w:tcPr>
          <w:p w14:paraId="4948A334" w14:textId="77777777" w:rsidR="00A54720" w:rsidRDefault="00000000">
            <w:pPr>
              <w:spacing w:before="20" w:after="20" w:line="240" w:lineRule="auto"/>
            </w:pPr>
            <w:r>
              <w:rPr>
                <w:rFonts w:ascii="Times New Roman" w:hAnsi="Times New Roman"/>
                <w:sz w:val="18"/>
              </w:rPr>
              <w:t>137</w:t>
            </w:r>
          </w:p>
        </w:tc>
        <w:tc>
          <w:tcPr>
            <w:tcW w:w="1000" w:type="dxa"/>
            <w:tcMar>
              <w:top w:w="20" w:type="dxa"/>
              <w:left w:w="75" w:type="dxa"/>
              <w:bottom w:w="20" w:type="dxa"/>
              <w:right w:w="75" w:type="dxa"/>
            </w:tcMar>
          </w:tcPr>
          <w:p w14:paraId="02A9D2F8" w14:textId="77777777" w:rsidR="00A54720" w:rsidRDefault="00000000">
            <w:pPr>
              <w:spacing w:before="20" w:after="20" w:line="240" w:lineRule="auto"/>
            </w:pPr>
            <w:r>
              <w:rPr>
                <w:rFonts w:ascii="Times New Roman" w:hAnsi="Times New Roman"/>
                <w:sz w:val="18"/>
              </w:rPr>
              <w:t>3.46***</w:t>
            </w:r>
          </w:p>
        </w:tc>
        <w:tc>
          <w:tcPr>
            <w:tcW w:w="900" w:type="dxa"/>
            <w:tcMar>
              <w:top w:w="20" w:type="dxa"/>
              <w:left w:w="75" w:type="dxa"/>
              <w:bottom w:w="20" w:type="dxa"/>
              <w:right w:w="75" w:type="dxa"/>
            </w:tcMar>
          </w:tcPr>
          <w:p w14:paraId="480F15BD" w14:textId="77777777" w:rsidR="00A54720" w:rsidRDefault="00000000">
            <w:pPr>
              <w:spacing w:before="20" w:after="20" w:line="240" w:lineRule="auto"/>
            </w:pPr>
            <w:r>
              <w:rPr>
                <w:rFonts w:ascii="Times New Roman" w:hAnsi="Times New Roman"/>
                <w:sz w:val="18"/>
              </w:rPr>
              <w:t>921</w:t>
            </w:r>
          </w:p>
        </w:tc>
      </w:tr>
      <w:tr w:rsidR="00A54720" w14:paraId="3C44B77C" w14:textId="77777777">
        <w:tc>
          <w:tcPr>
            <w:tcW w:w="2700" w:type="dxa"/>
            <w:tcMar>
              <w:top w:w="20" w:type="dxa"/>
              <w:left w:w="75" w:type="dxa"/>
              <w:bottom w:w="20" w:type="dxa"/>
              <w:right w:w="75" w:type="dxa"/>
            </w:tcMar>
          </w:tcPr>
          <w:p w14:paraId="74690D87" w14:textId="77777777" w:rsidR="00A54720" w:rsidRDefault="00A54720">
            <w:pPr>
              <w:spacing w:before="20" w:after="20" w:line="240" w:lineRule="auto"/>
            </w:pPr>
          </w:p>
        </w:tc>
        <w:tc>
          <w:tcPr>
            <w:tcW w:w="1000" w:type="dxa"/>
            <w:tcMar>
              <w:top w:w="20" w:type="dxa"/>
              <w:left w:w="75" w:type="dxa"/>
              <w:bottom w:w="20" w:type="dxa"/>
              <w:right w:w="75" w:type="dxa"/>
            </w:tcMar>
          </w:tcPr>
          <w:p w14:paraId="7D38F97D" w14:textId="77777777" w:rsidR="00A54720" w:rsidRDefault="00000000">
            <w:pPr>
              <w:spacing w:before="20" w:after="20" w:line="240" w:lineRule="auto"/>
            </w:pPr>
            <w:r>
              <w:rPr>
                <w:rFonts w:ascii="Times New Roman" w:hAnsi="Times New Roman"/>
                <w:sz w:val="18"/>
              </w:rPr>
              <w:t>(0.14)</w:t>
            </w:r>
          </w:p>
        </w:tc>
        <w:tc>
          <w:tcPr>
            <w:tcW w:w="900" w:type="dxa"/>
            <w:tcMar>
              <w:top w:w="20" w:type="dxa"/>
              <w:left w:w="75" w:type="dxa"/>
              <w:bottom w:w="20" w:type="dxa"/>
              <w:right w:w="75" w:type="dxa"/>
            </w:tcMar>
          </w:tcPr>
          <w:p w14:paraId="0DC81D96" w14:textId="77777777" w:rsidR="00A54720" w:rsidRDefault="00A54720">
            <w:pPr>
              <w:spacing w:before="20" w:after="20" w:line="240" w:lineRule="auto"/>
            </w:pPr>
          </w:p>
        </w:tc>
        <w:tc>
          <w:tcPr>
            <w:tcW w:w="1000" w:type="dxa"/>
            <w:tcMar>
              <w:top w:w="20" w:type="dxa"/>
              <w:left w:w="75" w:type="dxa"/>
              <w:bottom w:w="20" w:type="dxa"/>
              <w:right w:w="75" w:type="dxa"/>
            </w:tcMar>
          </w:tcPr>
          <w:p w14:paraId="5123A9A1" w14:textId="77777777" w:rsidR="00A54720" w:rsidRDefault="00000000">
            <w:pPr>
              <w:spacing w:before="20" w:after="20" w:line="240" w:lineRule="auto"/>
            </w:pPr>
            <w:r>
              <w:rPr>
                <w:rFonts w:ascii="Times New Roman" w:hAnsi="Times New Roman"/>
                <w:sz w:val="18"/>
              </w:rPr>
              <w:t>(0.19)</w:t>
            </w:r>
          </w:p>
        </w:tc>
        <w:tc>
          <w:tcPr>
            <w:tcW w:w="900" w:type="dxa"/>
            <w:tcMar>
              <w:top w:w="20" w:type="dxa"/>
              <w:left w:w="75" w:type="dxa"/>
              <w:bottom w:w="20" w:type="dxa"/>
              <w:right w:w="75" w:type="dxa"/>
            </w:tcMar>
          </w:tcPr>
          <w:p w14:paraId="602F70C9" w14:textId="77777777" w:rsidR="00A54720" w:rsidRDefault="00A54720">
            <w:pPr>
              <w:spacing w:before="20" w:after="20" w:line="240" w:lineRule="auto"/>
            </w:pPr>
          </w:p>
        </w:tc>
        <w:tc>
          <w:tcPr>
            <w:tcW w:w="1000" w:type="dxa"/>
            <w:tcMar>
              <w:top w:w="20" w:type="dxa"/>
              <w:left w:w="75" w:type="dxa"/>
              <w:bottom w:w="20" w:type="dxa"/>
              <w:right w:w="75" w:type="dxa"/>
            </w:tcMar>
          </w:tcPr>
          <w:p w14:paraId="1706AD0F" w14:textId="77777777" w:rsidR="00A54720" w:rsidRDefault="00000000">
            <w:pPr>
              <w:spacing w:before="20" w:after="20" w:line="240" w:lineRule="auto"/>
            </w:pPr>
            <w:r>
              <w:rPr>
                <w:rFonts w:ascii="Times New Roman" w:hAnsi="Times New Roman"/>
                <w:sz w:val="18"/>
              </w:rPr>
              <w:t>(0.21)</w:t>
            </w:r>
          </w:p>
        </w:tc>
        <w:tc>
          <w:tcPr>
            <w:tcW w:w="900" w:type="dxa"/>
            <w:tcMar>
              <w:top w:w="20" w:type="dxa"/>
              <w:left w:w="75" w:type="dxa"/>
              <w:bottom w:w="20" w:type="dxa"/>
              <w:right w:w="75" w:type="dxa"/>
            </w:tcMar>
          </w:tcPr>
          <w:p w14:paraId="7629CA59" w14:textId="77777777" w:rsidR="00A54720" w:rsidRDefault="00A54720">
            <w:pPr>
              <w:spacing w:before="20" w:after="20" w:line="240" w:lineRule="auto"/>
            </w:pPr>
          </w:p>
        </w:tc>
      </w:tr>
      <w:tr w:rsidR="00A54720" w14:paraId="0C2B26D2" w14:textId="77777777">
        <w:tc>
          <w:tcPr>
            <w:tcW w:w="2700" w:type="dxa"/>
            <w:tcMar>
              <w:top w:w="20" w:type="dxa"/>
              <w:left w:w="75" w:type="dxa"/>
              <w:bottom w:w="20" w:type="dxa"/>
              <w:right w:w="75" w:type="dxa"/>
            </w:tcMar>
          </w:tcPr>
          <w:p w14:paraId="333FF354" w14:textId="77777777" w:rsidR="00A54720" w:rsidRDefault="00000000">
            <w:pPr>
              <w:spacing w:before="20" w:after="20" w:line="240" w:lineRule="auto"/>
            </w:pPr>
            <w:r>
              <w:rPr>
                <w:rFonts w:ascii="Times New Roman" w:hAnsi="Times New Roman"/>
                <w:sz w:val="18"/>
              </w:rPr>
              <w:t>Price</w:t>
            </w:r>
          </w:p>
        </w:tc>
        <w:tc>
          <w:tcPr>
            <w:tcW w:w="1000" w:type="dxa"/>
            <w:tcMar>
              <w:top w:w="20" w:type="dxa"/>
              <w:left w:w="75" w:type="dxa"/>
              <w:bottom w:w="20" w:type="dxa"/>
              <w:right w:w="75" w:type="dxa"/>
            </w:tcMar>
          </w:tcPr>
          <w:p w14:paraId="3766AAD8" w14:textId="77777777" w:rsidR="00A54720" w:rsidRDefault="00000000">
            <w:pPr>
              <w:spacing w:before="20" w:after="20" w:line="240" w:lineRule="auto"/>
            </w:pPr>
            <w:r>
              <w:rPr>
                <w:rFonts w:ascii="Times New Roman" w:hAnsi="Times New Roman"/>
                <w:sz w:val="18"/>
              </w:rPr>
              <w:t>-4.78***</w:t>
            </w:r>
          </w:p>
        </w:tc>
        <w:tc>
          <w:tcPr>
            <w:tcW w:w="900" w:type="dxa"/>
            <w:tcMar>
              <w:top w:w="20" w:type="dxa"/>
              <w:left w:w="75" w:type="dxa"/>
              <w:bottom w:w="20" w:type="dxa"/>
              <w:right w:w="75" w:type="dxa"/>
            </w:tcMar>
          </w:tcPr>
          <w:p w14:paraId="78B4E553" w14:textId="77777777" w:rsidR="00A54720" w:rsidRDefault="00A54720">
            <w:pPr>
              <w:spacing w:before="20" w:after="20" w:line="240" w:lineRule="auto"/>
            </w:pPr>
          </w:p>
        </w:tc>
        <w:tc>
          <w:tcPr>
            <w:tcW w:w="1000" w:type="dxa"/>
            <w:tcMar>
              <w:top w:w="20" w:type="dxa"/>
              <w:left w:w="75" w:type="dxa"/>
              <w:bottom w:w="20" w:type="dxa"/>
              <w:right w:w="75" w:type="dxa"/>
            </w:tcMar>
          </w:tcPr>
          <w:p w14:paraId="4ECE9E95" w14:textId="77777777" w:rsidR="00A54720" w:rsidRDefault="00000000">
            <w:pPr>
              <w:spacing w:before="20" w:after="20" w:line="240" w:lineRule="auto"/>
            </w:pPr>
            <w:r>
              <w:rPr>
                <w:rFonts w:ascii="Times New Roman" w:hAnsi="Times New Roman"/>
                <w:sz w:val="18"/>
              </w:rPr>
              <w:t>-3.91***</w:t>
            </w:r>
          </w:p>
        </w:tc>
        <w:tc>
          <w:tcPr>
            <w:tcW w:w="900" w:type="dxa"/>
            <w:tcMar>
              <w:top w:w="20" w:type="dxa"/>
              <w:left w:w="75" w:type="dxa"/>
              <w:bottom w:w="20" w:type="dxa"/>
              <w:right w:w="75" w:type="dxa"/>
            </w:tcMar>
          </w:tcPr>
          <w:p w14:paraId="67A696AA" w14:textId="77777777" w:rsidR="00A54720" w:rsidRDefault="00A54720">
            <w:pPr>
              <w:spacing w:before="20" w:after="20" w:line="240" w:lineRule="auto"/>
            </w:pPr>
          </w:p>
        </w:tc>
        <w:tc>
          <w:tcPr>
            <w:tcW w:w="1000" w:type="dxa"/>
            <w:tcMar>
              <w:top w:w="20" w:type="dxa"/>
              <w:left w:w="75" w:type="dxa"/>
              <w:bottom w:w="20" w:type="dxa"/>
              <w:right w:w="75" w:type="dxa"/>
            </w:tcMar>
          </w:tcPr>
          <w:p w14:paraId="7CEEDE1B" w14:textId="77777777" w:rsidR="00A54720" w:rsidRDefault="00000000">
            <w:pPr>
              <w:spacing w:before="20" w:after="20" w:line="240" w:lineRule="auto"/>
            </w:pPr>
            <w:r>
              <w:rPr>
                <w:rFonts w:ascii="Times New Roman" w:hAnsi="Times New Roman"/>
                <w:sz w:val="18"/>
              </w:rPr>
              <w:t>-3.38***</w:t>
            </w:r>
          </w:p>
        </w:tc>
        <w:tc>
          <w:tcPr>
            <w:tcW w:w="900" w:type="dxa"/>
            <w:tcMar>
              <w:top w:w="20" w:type="dxa"/>
              <w:left w:w="75" w:type="dxa"/>
              <w:bottom w:w="20" w:type="dxa"/>
              <w:right w:w="75" w:type="dxa"/>
            </w:tcMar>
          </w:tcPr>
          <w:p w14:paraId="72CBB6A7" w14:textId="77777777" w:rsidR="00A54720" w:rsidRDefault="00A54720">
            <w:pPr>
              <w:spacing w:before="20" w:after="20" w:line="240" w:lineRule="auto"/>
            </w:pPr>
          </w:p>
        </w:tc>
      </w:tr>
      <w:tr w:rsidR="00A54720" w14:paraId="134F2057" w14:textId="77777777">
        <w:tc>
          <w:tcPr>
            <w:tcW w:w="2700" w:type="dxa"/>
            <w:tcMar>
              <w:top w:w="20" w:type="dxa"/>
              <w:left w:w="75" w:type="dxa"/>
              <w:bottom w:w="20" w:type="dxa"/>
              <w:right w:w="75" w:type="dxa"/>
            </w:tcMar>
          </w:tcPr>
          <w:p w14:paraId="6E7D0D65" w14:textId="77777777" w:rsidR="00A54720" w:rsidRDefault="00A54720"/>
        </w:tc>
        <w:tc>
          <w:tcPr>
            <w:tcW w:w="1000" w:type="dxa"/>
            <w:tcMar>
              <w:top w:w="20" w:type="dxa"/>
              <w:left w:w="75" w:type="dxa"/>
              <w:bottom w:w="20" w:type="dxa"/>
              <w:right w:w="75" w:type="dxa"/>
            </w:tcMar>
          </w:tcPr>
          <w:p w14:paraId="4E77C3FE" w14:textId="77777777" w:rsidR="00A54720" w:rsidRDefault="00000000">
            <w:pPr>
              <w:spacing w:before="20" w:after="20" w:line="240" w:lineRule="auto"/>
            </w:pPr>
            <w:r>
              <w:rPr>
                <w:rFonts w:ascii="Times New Roman" w:hAnsi="Times New Roman"/>
                <w:sz w:val="18"/>
              </w:rPr>
              <w:t>(0.44)</w:t>
            </w:r>
          </w:p>
        </w:tc>
        <w:tc>
          <w:tcPr>
            <w:tcW w:w="900" w:type="dxa"/>
            <w:tcMar>
              <w:top w:w="20" w:type="dxa"/>
              <w:left w:w="75" w:type="dxa"/>
              <w:bottom w:w="20" w:type="dxa"/>
              <w:right w:w="75" w:type="dxa"/>
            </w:tcMar>
          </w:tcPr>
          <w:p w14:paraId="63A6BB1E" w14:textId="77777777" w:rsidR="00A54720" w:rsidRDefault="00A54720"/>
        </w:tc>
        <w:tc>
          <w:tcPr>
            <w:tcW w:w="1000" w:type="dxa"/>
            <w:tcMar>
              <w:top w:w="20" w:type="dxa"/>
              <w:left w:w="75" w:type="dxa"/>
              <w:bottom w:w="20" w:type="dxa"/>
              <w:right w:w="75" w:type="dxa"/>
            </w:tcMar>
          </w:tcPr>
          <w:p w14:paraId="0E65518E" w14:textId="77777777" w:rsidR="00A54720" w:rsidRDefault="00000000">
            <w:pPr>
              <w:spacing w:before="20" w:after="20" w:line="240" w:lineRule="auto"/>
            </w:pPr>
            <w:r>
              <w:rPr>
                <w:rFonts w:ascii="Times New Roman" w:hAnsi="Times New Roman"/>
                <w:sz w:val="18"/>
              </w:rPr>
              <w:t>(0.55)</w:t>
            </w:r>
          </w:p>
        </w:tc>
        <w:tc>
          <w:tcPr>
            <w:tcW w:w="900" w:type="dxa"/>
            <w:tcMar>
              <w:top w:w="20" w:type="dxa"/>
              <w:left w:w="75" w:type="dxa"/>
              <w:bottom w:w="20" w:type="dxa"/>
              <w:right w:w="75" w:type="dxa"/>
            </w:tcMar>
          </w:tcPr>
          <w:p w14:paraId="5FF67E64" w14:textId="77777777" w:rsidR="00A54720" w:rsidRDefault="00A54720"/>
        </w:tc>
        <w:tc>
          <w:tcPr>
            <w:tcW w:w="1000" w:type="dxa"/>
            <w:tcMar>
              <w:top w:w="20" w:type="dxa"/>
              <w:left w:w="75" w:type="dxa"/>
              <w:bottom w:w="20" w:type="dxa"/>
              <w:right w:w="75" w:type="dxa"/>
            </w:tcMar>
          </w:tcPr>
          <w:p w14:paraId="0E5B98F3" w14:textId="77777777" w:rsidR="00A54720" w:rsidRDefault="00000000">
            <w:pPr>
              <w:spacing w:before="20" w:after="20" w:line="240" w:lineRule="auto"/>
            </w:pPr>
            <w:r>
              <w:rPr>
                <w:rFonts w:ascii="Times New Roman" w:hAnsi="Times New Roman"/>
                <w:sz w:val="18"/>
              </w:rPr>
              <w:t>(0.34)</w:t>
            </w:r>
          </w:p>
        </w:tc>
        <w:tc>
          <w:tcPr>
            <w:tcW w:w="900" w:type="dxa"/>
            <w:tcMar>
              <w:top w:w="20" w:type="dxa"/>
              <w:left w:w="75" w:type="dxa"/>
              <w:bottom w:w="20" w:type="dxa"/>
              <w:right w:w="75" w:type="dxa"/>
            </w:tcMar>
          </w:tcPr>
          <w:p w14:paraId="6B0754DA" w14:textId="77777777" w:rsidR="00A54720" w:rsidRDefault="00A54720"/>
        </w:tc>
      </w:tr>
      <w:tr w:rsidR="00A54720" w14:paraId="2C7A900F" w14:textId="77777777">
        <w:tc>
          <w:tcPr>
            <w:tcW w:w="2700" w:type="dxa"/>
            <w:tcBorders>
              <w:top w:val="single" w:sz="4" w:space="0" w:color="auto"/>
              <w:bottom w:val="single" w:sz="4" w:space="0" w:color="auto"/>
            </w:tcBorders>
            <w:tcMar>
              <w:top w:w="20" w:type="dxa"/>
              <w:left w:w="75" w:type="dxa"/>
              <w:bottom w:w="20" w:type="dxa"/>
              <w:right w:w="75" w:type="dxa"/>
            </w:tcMar>
          </w:tcPr>
          <w:p w14:paraId="5D9867DF" w14:textId="77777777" w:rsidR="00A54720" w:rsidRDefault="00000000">
            <w:pPr>
              <w:spacing w:before="20" w:after="20" w:line="240" w:lineRule="auto"/>
            </w:pPr>
            <w:r>
              <w:rPr>
                <w:rFonts w:ascii="Times New Roman" w:hAnsi="Times New Roman"/>
                <w:b/>
                <w:sz w:val="18"/>
              </w:rPr>
              <w:t>Class share (%)</w:t>
            </w:r>
          </w:p>
        </w:tc>
        <w:tc>
          <w:tcPr>
            <w:tcW w:w="1000" w:type="dxa"/>
            <w:tcBorders>
              <w:top w:val="single" w:sz="4" w:space="0" w:color="auto"/>
              <w:bottom w:val="single" w:sz="4" w:space="0" w:color="auto"/>
            </w:tcBorders>
            <w:tcMar>
              <w:top w:w="20" w:type="dxa"/>
              <w:left w:w="75" w:type="dxa"/>
              <w:bottom w:w="20" w:type="dxa"/>
              <w:right w:w="75" w:type="dxa"/>
            </w:tcMar>
          </w:tcPr>
          <w:p w14:paraId="3AD5ADAE" w14:textId="77777777" w:rsidR="00A54720" w:rsidRDefault="00000000">
            <w:pPr>
              <w:spacing w:before="20" w:after="20" w:line="240" w:lineRule="auto"/>
            </w:pPr>
            <w:r>
              <w:rPr>
                <w:rFonts w:ascii="Times New Roman" w:hAnsi="Times New Roman"/>
                <w:b/>
                <w:sz w:val="18"/>
              </w:rPr>
              <w:t>38.8</w:t>
            </w:r>
          </w:p>
        </w:tc>
        <w:tc>
          <w:tcPr>
            <w:tcW w:w="900" w:type="dxa"/>
            <w:tcBorders>
              <w:top w:val="single" w:sz="4" w:space="0" w:color="auto"/>
              <w:bottom w:val="single" w:sz="4" w:space="0" w:color="auto"/>
            </w:tcBorders>
            <w:tcMar>
              <w:top w:w="20" w:type="dxa"/>
              <w:left w:w="75" w:type="dxa"/>
              <w:bottom w:w="20" w:type="dxa"/>
              <w:right w:w="75" w:type="dxa"/>
            </w:tcMar>
          </w:tcPr>
          <w:p w14:paraId="3274B39E" w14:textId="77777777" w:rsidR="00A54720" w:rsidRDefault="00A54720">
            <w:pPr>
              <w:spacing w:before="20" w:after="20" w:line="240" w:lineRule="auto"/>
            </w:pPr>
          </w:p>
        </w:tc>
        <w:tc>
          <w:tcPr>
            <w:tcW w:w="1000" w:type="dxa"/>
            <w:tcBorders>
              <w:top w:val="single" w:sz="4" w:space="0" w:color="auto"/>
              <w:bottom w:val="single" w:sz="4" w:space="0" w:color="auto"/>
            </w:tcBorders>
            <w:tcMar>
              <w:top w:w="20" w:type="dxa"/>
              <w:left w:w="75" w:type="dxa"/>
              <w:bottom w:w="20" w:type="dxa"/>
              <w:right w:w="75" w:type="dxa"/>
            </w:tcMar>
          </w:tcPr>
          <w:p w14:paraId="421B9235" w14:textId="77777777" w:rsidR="00A54720" w:rsidRDefault="00000000">
            <w:pPr>
              <w:spacing w:before="20" w:after="20" w:line="240" w:lineRule="auto"/>
            </w:pPr>
            <w:r>
              <w:rPr>
                <w:rFonts w:ascii="Times New Roman" w:hAnsi="Times New Roman"/>
                <w:b/>
                <w:sz w:val="18"/>
              </w:rPr>
              <w:t>24.7</w:t>
            </w:r>
          </w:p>
        </w:tc>
        <w:tc>
          <w:tcPr>
            <w:tcW w:w="900" w:type="dxa"/>
            <w:tcBorders>
              <w:top w:val="single" w:sz="4" w:space="0" w:color="auto"/>
              <w:bottom w:val="single" w:sz="4" w:space="0" w:color="auto"/>
            </w:tcBorders>
            <w:tcMar>
              <w:top w:w="20" w:type="dxa"/>
              <w:left w:w="75" w:type="dxa"/>
              <w:bottom w:w="20" w:type="dxa"/>
              <w:right w:w="75" w:type="dxa"/>
            </w:tcMar>
          </w:tcPr>
          <w:p w14:paraId="36C4E4FB" w14:textId="77777777" w:rsidR="00A54720" w:rsidRDefault="00A54720">
            <w:pPr>
              <w:spacing w:before="20" w:after="20" w:line="240" w:lineRule="auto"/>
            </w:pPr>
          </w:p>
        </w:tc>
        <w:tc>
          <w:tcPr>
            <w:tcW w:w="1000" w:type="dxa"/>
            <w:tcBorders>
              <w:top w:val="single" w:sz="4" w:space="0" w:color="auto"/>
              <w:bottom w:val="single" w:sz="4" w:space="0" w:color="auto"/>
            </w:tcBorders>
            <w:tcMar>
              <w:top w:w="20" w:type="dxa"/>
              <w:left w:w="75" w:type="dxa"/>
              <w:bottom w:w="20" w:type="dxa"/>
              <w:right w:w="75" w:type="dxa"/>
            </w:tcMar>
          </w:tcPr>
          <w:p w14:paraId="3A912FF9" w14:textId="77777777" w:rsidR="00A54720" w:rsidRDefault="00000000">
            <w:pPr>
              <w:spacing w:before="20" w:after="20" w:line="240" w:lineRule="auto"/>
            </w:pPr>
            <w:r>
              <w:rPr>
                <w:rFonts w:ascii="Times New Roman" w:hAnsi="Times New Roman"/>
                <w:b/>
                <w:sz w:val="18"/>
              </w:rPr>
              <w:t>36.5</w:t>
            </w:r>
          </w:p>
        </w:tc>
        <w:tc>
          <w:tcPr>
            <w:tcW w:w="900" w:type="dxa"/>
            <w:tcBorders>
              <w:top w:val="single" w:sz="4" w:space="0" w:color="auto"/>
              <w:bottom w:val="single" w:sz="4" w:space="0" w:color="auto"/>
            </w:tcBorders>
            <w:tcMar>
              <w:top w:w="20" w:type="dxa"/>
              <w:left w:w="75" w:type="dxa"/>
              <w:bottom w:w="20" w:type="dxa"/>
              <w:right w:w="75" w:type="dxa"/>
            </w:tcMar>
          </w:tcPr>
          <w:p w14:paraId="6EEA4589" w14:textId="77777777" w:rsidR="00A54720" w:rsidRDefault="00A54720">
            <w:pPr>
              <w:spacing w:before="20" w:after="20" w:line="240" w:lineRule="auto"/>
            </w:pPr>
          </w:p>
        </w:tc>
      </w:tr>
      <w:tr w:rsidR="00A54720" w:rsidRPr="00890F27" w14:paraId="01124465" w14:textId="77777777">
        <w:tc>
          <w:tcPr>
            <w:tcW w:w="8400" w:type="dxa"/>
            <w:gridSpan w:val="7"/>
            <w:tcBorders>
              <w:top w:val="single" w:sz="4" w:space="0" w:color="auto"/>
            </w:tcBorders>
          </w:tcPr>
          <w:p w14:paraId="74F54984" w14:textId="77777777" w:rsidR="00A54720" w:rsidRPr="00065263" w:rsidRDefault="00000000">
            <w:pPr>
              <w:spacing w:before="20" w:after="20" w:line="240" w:lineRule="auto"/>
              <w:rPr>
                <w:lang w:val="en-US"/>
              </w:rPr>
            </w:pPr>
            <w:r w:rsidRPr="00065263">
              <w:rPr>
                <w:rFonts w:ascii="Times New Roman" w:hAnsi="Times New Roman"/>
                <w:sz w:val="16"/>
                <w:lang w:val="en-US"/>
              </w:rPr>
              <w:t xml:space="preserve">***p &lt; 0.001; **p &lt; 0.01; *p &lt; 0.05. Note: Latent class logit models estimated on the pooled sample (N = 957) using the </w:t>
            </w:r>
            <w:proofErr w:type="spellStart"/>
            <w:r w:rsidRPr="00065263">
              <w:rPr>
                <w:rFonts w:ascii="Times New Roman" w:hAnsi="Times New Roman"/>
                <w:sz w:val="16"/>
                <w:lang w:val="en-US"/>
              </w:rPr>
              <w:t>gmnl</w:t>
            </w:r>
            <w:proofErr w:type="spellEnd"/>
            <w:r w:rsidRPr="00065263">
              <w:rPr>
                <w:rFonts w:ascii="Times New Roman" w:hAnsi="Times New Roman"/>
                <w:sz w:val="16"/>
                <w:lang w:val="en-US"/>
              </w:rPr>
              <w:t xml:space="preserve"> package (</w:t>
            </w:r>
            <w:proofErr w:type="spellStart"/>
            <w:r w:rsidRPr="00065263">
              <w:rPr>
                <w:rFonts w:ascii="Times New Roman" w:hAnsi="Times New Roman"/>
                <w:sz w:val="16"/>
                <w:lang w:val="en-US"/>
              </w:rPr>
              <w:t>Sarrias</w:t>
            </w:r>
            <w:proofErr w:type="spellEnd"/>
            <w:r w:rsidRPr="00065263">
              <w:rPr>
                <w:rFonts w:ascii="Times New Roman" w:hAnsi="Times New Roman"/>
                <w:sz w:val="16"/>
                <w:lang w:val="en-US"/>
              </w:rPr>
              <w:t xml:space="preserve"> &amp; </w:t>
            </w:r>
            <w:proofErr w:type="spellStart"/>
            <w:r w:rsidRPr="00065263">
              <w:rPr>
                <w:rFonts w:ascii="Times New Roman" w:hAnsi="Times New Roman"/>
                <w:sz w:val="16"/>
                <w:lang w:val="en-US"/>
              </w:rPr>
              <w:t>Daziano</w:t>
            </w:r>
            <w:proofErr w:type="spellEnd"/>
            <w:r w:rsidRPr="00065263">
              <w:rPr>
                <w:rFonts w:ascii="Times New Roman" w:hAnsi="Times New Roman"/>
                <w:sz w:val="16"/>
                <w:lang w:val="en-US"/>
              </w:rPr>
              <w:t>, 2017); standard errors in parentheses. MWTP (marginal willingness-to-pay, SEK/month) calculated as -(coefficient/price coefficient) x 900 SEK (10% of the sample median planned monthly housing cost). Class shares are prior probabilities from the class-membership model.</w:t>
            </w:r>
          </w:p>
        </w:tc>
      </w:tr>
    </w:tbl>
    <w:p w14:paraId="34D6787C" w14:textId="77777777" w:rsidR="00014EC8" w:rsidRPr="00065263" w:rsidRDefault="00014EC8">
      <w:pPr>
        <w:rPr>
          <w:lang w:val="en-US"/>
        </w:rPr>
      </w:pPr>
    </w:p>
    <w:sectPr w:rsidR="00014EC8" w:rsidRPr="00065263">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15937" w14:textId="77777777" w:rsidR="006C4596" w:rsidRDefault="006C4596" w:rsidP="00065263">
      <w:pPr>
        <w:spacing w:after="0" w:line="240" w:lineRule="auto"/>
      </w:pPr>
      <w:r>
        <w:separator/>
      </w:r>
    </w:p>
  </w:endnote>
  <w:endnote w:type="continuationSeparator" w:id="0">
    <w:p w14:paraId="12EC3C48" w14:textId="77777777" w:rsidR="006C4596" w:rsidRDefault="006C4596" w:rsidP="00065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BD179" w14:textId="77777777" w:rsidR="00065263" w:rsidRDefault="000652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22EF" w14:textId="77777777" w:rsidR="00065263" w:rsidRDefault="000652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4FA2" w14:textId="77777777" w:rsidR="00065263" w:rsidRDefault="00065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7C17F" w14:textId="77777777" w:rsidR="006C4596" w:rsidRDefault="006C4596" w:rsidP="00065263">
      <w:pPr>
        <w:spacing w:after="0" w:line="240" w:lineRule="auto"/>
      </w:pPr>
      <w:r>
        <w:separator/>
      </w:r>
    </w:p>
  </w:footnote>
  <w:footnote w:type="continuationSeparator" w:id="0">
    <w:p w14:paraId="29F559BB" w14:textId="77777777" w:rsidR="006C4596" w:rsidRDefault="006C4596" w:rsidP="00065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5B7DA" w14:textId="77777777" w:rsidR="00065263" w:rsidRDefault="000652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353C" w14:textId="77777777" w:rsidR="00065263" w:rsidRDefault="000652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1ECA" w14:textId="77777777" w:rsidR="00065263" w:rsidRDefault="000652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4877960">
    <w:abstractNumId w:val="15"/>
  </w:num>
  <w:num w:numId="2" w16cid:durableId="1860048001">
    <w:abstractNumId w:val="19"/>
  </w:num>
  <w:num w:numId="3" w16cid:durableId="623737182">
    <w:abstractNumId w:val="1"/>
  </w:num>
  <w:num w:numId="4" w16cid:durableId="44957893">
    <w:abstractNumId w:val="2"/>
  </w:num>
  <w:num w:numId="5" w16cid:durableId="192544907">
    <w:abstractNumId w:val="3"/>
  </w:num>
  <w:num w:numId="6" w16cid:durableId="377433448">
    <w:abstractNumId w:val="4"/>
  </w:num>
  <w:num w:numId="7" w16cid:durableId="1033774096">
    <w:abstractNumId w:val="9"/>
  </w:num>
  <w:num w:numId="8" w16cid:durableId="1363818687">
    <w:abstractNumId w:val="5"/>
  </w:num>
  <w:num w:numId="9" w16cid:durableId="669218811">
    <w:abstractNumId w:val="7"/>
  </w:num>
  <w:num w:numId="10" w16cid:durableId="1902015547">
    <w:abstractNumId w:val="6"/>
  </w:num>
  <w:num w:numId="11" w16cid:durableId="1082482871">
    <w:abstractNumId w:val="10"/>
  </w:num>
  <w:num w:numId="12" w16cid:durableId="690110939">
    <w:abstractNumId w:val="8"/>
  </w:num>
  <w:num w:numId="13" w16cid:durableId="245385361">
    <w:abstractNumId w:val="17"/>
  </w:num>
  <w:num w:numId="14" w16cid:durableId="798180647">
    <w:abstractNumId w:val="20"/>
  </w:num>
  <w:num w:numId="15" w16cid:durableId="692267964">
    <w:abstractNumId w:val="14"/>
  </w:num>
  <w:num w:numId="16" w16cid:durableId="1710302642">
    <w:abstractNumId w:val="16"/>
  </w:num>
  <w:num w:numId="17" w16cid:durableId="80030162">
    <w:abstractNumId w:val="11"/>
  </w:num>
  <w:num w:numId="18" w16cid:durableId="1013073136">
    <w:abstractNumId w:val="0"/>
  </w:num>
  <w:num w:numId="19" w16cid:durableId="1490713044">
    <w:abstractNumId w:val="12"/>
  </w:num>
  <w:num w:numId="20" w16cid:durableId="572004450">
    <w:abstractNumId w:val="18"/>
  </w:num>
  <w:num w:numId="21" w16cid:durableId="468940963">
    <w:abstractNumId w:val="21"/>
  </w:num>
  <w:num w:numId="22" w16cid:durableId="1839226359">
    <w:abstractNumId w:val="22"/>
  </w:num>
  <w:num w:numId="23" w16cid:durableId="1870600706">
    <w:abstractNumId w:val="13"/>
  </w:num>
  <w:num w:numId="24" w16cid:durableId="12265738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A9"/>
    <w:rsid w:val="00010272"/>
    <w:rsid w:val="00014EC8"/>
    <w:rsid w:val="00050D21"/>
    <w:rsid w:val="00065263"/>
    <w:rsid w:val="00072029"/>
    <w:rsid w:val="00086BB9"/>
    <w:rsid w:val="0010134D"/>
    <w:rsid w:val="00234A41"/>
    <w:rsid w:val="00236DE7"/>
    <w:rsid w:val="00341F59"/>
    <w:rsid w:val="003620F2"/>
    <w:rsid w:val="0038260B"/>
    <w:rsid w:val="00507931"/>
    <w:rsid w:val="005242B0"/>
    <w:rsid w:val="00551D0B"/>
    <w:rsid w:val="006626B4"/>
    <w:rsid w:val="006C4596"/>
    <w:rsid w:val="006E52AA"/>
    <w:rsid w:val="006F1C74"/>
    <w:rsid w:val="006F4ACA"/>
    <w:rsid w:val="00760DD8"/>
    <w:rsid w:val="007A0D3A"/>
    <w:rsid w:val="007D40A8"/>
    <w:rsid w:val="00877718"/>
    <w:rsid w:val="008851D9"/>
    <w:rsid w:val="00887DAD"/>
    <w:rsid w:val="00890F27"/>
    <w:rsid w:val="009652B6"/>
    <w:rsid w:val="0099048C"/>
    <w:rsid w:val="00A54720"/>
    <w:rsid w:val="00A830A9"/>
    <w:rsid w:val="00AB5D02"/>
    <w:rsid w:val="00B14517"/>
    <w:rsid w:val="00B408A0"/>
    <w:rsid w:val="00B6514C"/>
    <w:rsid w:val="00C625AC"/>
    <w:rsid w:val="00CE78A1"/>
    <w:rsid w:val="00D15E4E"/>
    <w:rsid w:val="00E058F5"/>
    <w:rsid w:val="00E328C6"/>
    <w:rsid w:val="00E72BC2"/>
    <w:rsid w:val="00EE48D3"/>
    <w:rsid w:val="00F55065"/>
    <w:rsid w:val="00F6733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8300"/>
  <w15:chartTrackingRefBased/>
  <w15:docId w15:val="{CA129908-7C88-41E3-AFDE-144A1A4C8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83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83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83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83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3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83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83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83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A9"/>
    <w:rPr>
      <w:rFonts w:eastAsiaTheme="majorEastAsia" w:cstheme="majorBidi"/>
      <w:color w:val="272727" w:themeColor="text1" w:themeTint="D8"/>
    </w:rPr>
  </w:style>
  <w:style w:type="paragraph" w:styleId="Title">
    <w:name w:val="Title"/>
    <w:basedOn w:val="Normal"/>
    <w:next w:val="Normal"/>
    <w:link w:val="TitleChar"/>
    <w:uiPriority w:val="10"/>
    <w:qFormat/>
    <w:rsid w:val="00A83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A9"/>
    <w:pPr>
      <w:spacing w:before="160"/>
      <w:jc w:val="center"/>
    </w:pPr>
    <w:rPr>
      <w:i/>
      <w:iCs/>
      <w:color w:val="404040" w:themeColor="text1" w:themeTint="BF"/>
    </w:rPr>
  </w:style>
  <w:style w:type="character" w:customStyle="1" w:styleId="QuoteChar">
    <w:name w:val="Quote Char"/>
    <w:basedOn w:val="DefaultParagraphFont"/>
    <w:link w:val="Quote"/>
    <w:uiPriority w:val="29"/>
    <w:rsid w:val="00A830A9"/>
    <w:rPr>
      <w:i/>
      <w:iCs/>
      <w:color w:val="404040" w:themeColor="text1" w:themeTint="BF"/>
    </w:rPr>
  </w:style>
  <w:style w:type="paragraph" w:styleId="ListParagraph">
    <w:name w:val="List Paragraph"/>
    <w:basedOn w:val="Normal"/>
    <w:uiPriority w:val="34"/>
    <w:qFormat/>
    <w:rsid w:val="00A830A9"/>
    <w:pPr>
      <w:ind w:left="720"/>
      <w:contextualSpacing/>
    </w:pPr>
  </w:style>
  <w:style w:type="character" w:styleId="IntenseEmphasis">
    <w:name w:val="Intense Emphasis"/>
    <w:basedOn w:val="DefaultParagraphFont"/>
    <w:uiPriority w:val="21"/>
    <w:qFormat/>
    <w:rsid w:val="00A830A9"/>
    <w:rPr>
      <w:i/>
      <w:iCs/>
      <w:color w:val="0F4761" w:themeColor="accent1" w:themeShade="BF"/>
    </w:rPr>
  </w:style>
  <w:style w:type="paragraph" w:styleId="IntenseQuote">
    <w:name w:val="Intense Quote"/>
    <w:basedOn w:val="Normal"/>
    <w:next w:val="Normal"/>
    <w:link w:val="IntenseQuoteChar"/>
    <w:uiPriority w:val="30"/>
    <w:qFormat/>
    <w:rsid w:val="00A83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0A9"/>
    <w:rPr>
      <w:i/>
      <w:iCs/>
      <w:color w:val="0F4761" w:themeColor="accent1" w:themeShade="BF"/>
    </w:rPr>
  </w:style>
  <w:style w:type="character" w:styleId="IntenseReference">
    <w:name w:val="Intense Reference"/>
    <w:basedOn w:val="DefaultParagraphFont"/>
    <w:uiPriority w:val="32"/>
    <w:qFormat/>
    <w:rsid w:val="00A830A9"/>
    <w:rPr>
      <w:b/>
      <w:bCs/>
      <w:smallCaps/>
      <w:color w:val="0F4761" w:themeColor="accent1" w:themeShade="BF"/>
      <w:spacing w:val="5"/>
    </w:rPr>
  </w:style>
  <w:style w:type="numbering" w:customStyle="1" w:styleId="NoList1">
    <w:name w:val="No List1"/>
    <w:next w:val="NoList"/>
    <w:uiPriority w:val="99"/>
    <w:semiHidden/>
    <w:unhideWhenUsed/>
    <w:rsid w:val="00A830A9"/>
  </w:style>
  <w:style w:type="paragraph" w:customStyle="1" w:styleId="Articletitle">
    <w:name w:val="Article title"/>
    <w:basedOn w:val="Normal"/>
    <w:next w:val="Normal"/>
    <w:qFormat/>
    <w:rsid w:val="00A830A9"/>
    <w:pPr>
      <w:spacing w:after="120" w:line="360" w:lineRule="auto"/>
    </w:pPr>
    <w:rPr>
      <w:rFonts w:ascii="Times New Roman" w:eastAsia="Times New Roman" w:hAnsi="Times New Roman" w:cs="Times New Roman"/>
      <w:b/>
      <w:kern w:val="0"/>
      <w:sz w:val="28"/>
      <w:szCs w:val="24"/>
      <w:lang w:val="en-GB" w:eastAsia="en-GB"/>
      <w14:ligatures w14:val="none"/>
    </w:rPr>
  </w:style>
  <w:style w:type="paragraph" w:customStyle="1" w:styleId="Authornames">
    <w:name w:val="Author names"/>
    <w:basedOn w:val="Normal"/>
    <w:next w:val="Normal"/>
    <w:qFormat/>
    <w:rsid w:val="00A830A9"/>
    <w:pPr>
      <w:spacing w:before="240" w:after="0" w:line="360" w:lineRule="auto"/>
    </w:pPr>
    <w:rPr>
      <w:rFonts w:ascii="Times New Roman" w:eastAsia="Times New Roman" w:hAnsi="Times New Roman" w:cs="Times New Roman"/>
      <w:kern w:val="0"/>
      <w:sz w:val="28"/>
      <w:szCs w:val="24"/>
      <w:lang w:val="en-GB" w:eastAsia="en-GB"/>
      <w14:ligatures w14:val="none"/>
    </w:rPr>
  </w:style>
  <w:style w:type="paragraph" w:customStyle="1" w:styleId="Affiliation">
    <w:name w:val="Affiliation"/>
    <w:basedOn w:val="Normal"/>
    <w:qFormat/>
    <w:rsid w:val="00A830A9"/>
    <w:pPr>
      <w:spacing w:before="240" w:after="0" w:line="360" w:lineRule="auto"/>
    </w:pPr>
    <w:rPr>
      <w:rFonts w:ascii="Times New Roman" w:eastAsia="Times New Roman" w:hAnsi="Times New Roman" w:cs="Times New Roman"/>
      <w:i/>
      <w:kern w:val="0"/>
      <w:sz w:val="24"/>
      <w:szCs w:val="24"/>
      <w:lang w:val="en-GB" w:eastAsia="en-GB"/>
      <w14:ligatures w14:val="none"/>
    </w:rPr>
  </w:style>
  <w:style w:type="paragraph" w:customStyle="1" w:styleId="Receiveddates">
    <w:name w:val="Received dates"/>
    <w:basedOn w:val="Affiliation"/>
    <w:next w:val="Normal"/>
    <w:qFormat/>
    <w:rsid w:val="00A830A9"/>
  </w:style>
  <w:style w:type="paragraph" w:customStyle="1" w:styleId="Abstract">
    <w:name w:val="Abstract"/>
    <w:basedOn w:val="Normal"/>
    <w:next w:val="Keywords"/>
    <w:qFormat/>
    <w:rsid w:val="00A830A9"/>
    <w:pPr>
      <w:spacing w:before="360" w:after="30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Keywords">
    <w:name w:val="Keywords"/>
    <w:basedOn w:val="Normal"/>
    <w:next w:val="Paragraph"/>
    <w:qFormat/>
    <w:rsid w:val="00A830A9"/>
    <w:pPr>
      <w:spacing w:before="240" w:after="24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Correspondencedetails">
    <w:name w:val="Correspondence details"/>
    <w:basedOn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Displayedquotation">
    <w:name w:val="Displayed quotation"/>
    <w:basedOn w:val="Normal"/>
    <w:qFormat/>
    <w:rsid w:val="00A830A9"/>
    <w:pPr>
      <w:tabs>
        <w:tab w:val="left" w:pos="1077"/>
        <w:tab w:val="left" w:pos="1440"/>
        <w:tab w:val="left" w:pos="1797"/>
        <w:tab w:val="left" w:pos="2155"/>
        <w:tab w:val="left" w:pos="2512"/>
      </w:tabs>
      <w:spacing w:before="240" w:after="360" w:line="360" w:lineRule="auto"/>
      <w:ind w:left="709" w:right="425"/>
      <w:contextualSpacing/>
    </w:pPr>
    <w:rPr>
      <w:rFonts w:ascii="Times New Roman" w:eastAsia="Times New Roman" w:hAnsi="Times New Roman" w:cs="Times New Roman"/>
      <w:kern w:val="0"/>
      <w:szCs w:val="24"/>
      <w:lang w:val="en-GB" w:eastAsia="en-GB"/>
      <w14:ligatures w14:val="none"/>
    </w:rPr>
  </w:style>
  <w:style w:type="paragraph" w:customStyle="1" w:styleId="Numberedlist">
    <w:name w:val="Numbered list"/>
    <w:basedOn w:val="Paragraph"/>
    <w:next w:val="Paragraph"/>
    <w:qFormat/>
    <w:rsid w:val="00A830A9"/>
    <w:pPr>
      <w:widowControl/>
      <w:numPr>
        <w:numId w:val="13"/>
      </w:numPr>
      <w:spacing w:after="240"/>
      <w:contextualSpacing/>
    </w:pPr>
  </w:style>
  <w:style w:type="paragraph" w:customStyle="1" w:styleId="Displayedequation">
    <w:name w:val="Displayed equation"/>
    <w:basedOn w:val="Normal"/>
    <w:next w:val="Paragraph"/>
    <w:qFormat/>
    <w:rsid w:val="00A830A9"/>
    <w:pPr>
      <w:tabs>
        <w:tab w:val="center" w:pos="4253"/>
        <w:tab w:val="right" w:pos="8222"/>
      </w:tabs>
      <w:spacing w:before="240" w:after="240" w:line="480" w:lineRule="auto"/>
      <w:jc w:val="center"/>
    </w:pPr>
    <w:rPr>
      <w:rFonts w:ascii="Times New Roman" w:eastAsia="Times New Roman" w:hAnsi="Times New Roman" w:cs="Times New Roman"/>
      <w:kern w:val="0"/>
      <w:sz w:val="24"/>
      <w:szCs w:val="24"/>
      <w:lang w:val="en-GB" w:eastAsia="en-GB"/>
      <w14:ligatures w14:val="none"/>
    </w:rPr>
  </w:style>
  <w:style w:type="paragraph" w:customStyle="1" w:styleId="Acknowledgements">
    <w:name w:val="Acknowledgements"/>
    <w:basedOn w:val="Normal"/>
    <w:next w:val="Normal"/>
    <w:qFormat/>
    <w:rsid w:val="00A830A9"/>
    <w:pPr>
      <w:spacing w:before="120" w:after="0" w:line="360" w:lineRule="auto"/>
    </w:pPr>
    <w:rPr>
      <w:rFonts w:ascii="Times New Roman" w:eastAsia="Times New Roman" w:hAnsi="Times New Roman" w:cs="Times New Roman"/>
      <w:kern w:val="0"/>
      <w:szCs w:val="24"/>
      <w:lang w:val="en-GB" w:eastAsia="en-GB"/>
      <w14:ligatures w14:val="none"/>
    </w:rPr>
  </w:style>
  <w:style w:type="paragraph" w:customStyle="1" w:styleId="Tabletitle">
    <w:name w:val="Table title"/>
    <w:basedOn w:val="Normal"/>
    <w:next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Figurecaption">
    <w:name w:val="Figure caption"/>
    <w:basedOn w:val="Normal"/>
    <w:next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Footnotes">
    <w:name w:val="Footnotes"/>
    <w:basedOn w:val="Normal"/>
    <w:qFormat/>
    <w:rsid w:val="00A830A9"/>
    <w:pPr>
      <w:spacing w:before="120" w:after="0" w:line="360" w:lineRule="auto"/>
      <w:ind w:left="482" w:hanging="482"/>
      <w:contextualSpacing/>
    </w:pPr>
    <w:rPr>
      <w:rFonts w:ascii="Times New Roman" w:eastAsia="Times New Roman" w:hAnsi="Times New Roman" w:cs="Times New Roman"/>
      <w:kern w:val="0"/>
      <w:szCs w:val="24"/>
      <w:lang w:val="en-GB" w:eastAsia="en-GB"/>
      <w14:ligatures w14:val="none"/>
    </w:rPr>
  </w:style>
  <w:style w:type="paragraph" w:customStyle="1" w:styleId="Notesoncontributors">
    <w:name w:val="Notes on contributors"/>
    <w:basedOn w:val="Normal"/>
    <w:qFormat/>
    <w:rsid w:val="00A830A9"/>
    <w:pPr>
      <w:spacing w:before="240" w:after="0" w:line="360" w:lineRule="auto"/>
    </w:pPr>
    <w:rPr>
      <w:rFonts w:ascii="Times New Roman" w:eastAsia="Times New Roman" w:hAnsi="Times New Roman" w:cs="Times New Roman"/>
      <w:kern w:val="0"/>
      <w:szCs w:val="24"/>
      <w:lang w:val="en-GB" w:eastAsia="en-GB"/>
      <w14:ligatures w14:val="none"/>
    </w:rPr>
  </w:style>
  <w:style w:type="paragraph" w:customStyle="1" w:styleId="Normalparagraphstyle">
    <w:name w:val="Normal paragraph style"/>
    <w:basedOn w:val="Normal"/>
    <w:next w:val="Normal"/>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Paragraph">
    <w:name w:val="Paragraph"/>
    <w:basedOn w:val="Normal"/>
    <w:next w:val="Newparagraph"/>
    <w:qFormat/>
    <w:rsid w:val="00A830A9"/>
    <w:pPr>
      <w:widowControl w:val="0"/>
      <w:spacing w:before="240"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Newparagraph">
    <w:name w:val="New paragraph"/>
    <w:basedOn w:val="Normal"/>
    <w:qFormat/>
    <w:rsid w:val="00A830A9"/>
    <w:pPr>
      <w:spacing w:after="0" w:line="480" w:lineRule="auto"/>
      <w:ind w:firstLine="720"/>
    </w:pPr>
    <w:rPr>
      <w:rFonts w:ascii="Times New Roman" w:eastAsia="Times New Roman" w:hAnsi="Times New Roman" w:cs="Times New Roman"/>
      <w:kern w:val="0"/>
      <w:sz w:val="24"/>
      <w:szCs w:val="24"/>
      <w:lang w:val="en-GB" w:eastAsia="en-GB"/>
      <w14:ligatures w14:val="none"/>
    </w:rPr>
  </w:style>
  <w:style w:type="paragraph" w:styleId="NormalIndent">
    <w:name w:val="Normal Indent"/>
    <w:basedOn w:val="Normal"/>
    <w:rsid w:val="00A830A9"/>
    <w:pPr>
      <w:spacing w:after="0" w:line="480" w:lineRule="auto"/>
      <w:ind w:left="720"/>
    </w:pPr>
    <w:rPr>
      <w:rFonts w:ascii="Times New Roman" w:eastAsia="Times New Roman" w:hAnsi="Times New Roman" w:cs="Times New Roman"/>
      <w:kern w:val="0"/>
      <w:sz w:val="24"/>
      <w:szCs w:val="24"/>
      <w:lang w:val="en-GB" w:eastAsia="en-GB"/>
      <w14:ligatures w14:val="none"/>
    </w:rPr>
  </w:style>
  <w:style w:type="paragraph" w:customStyle="1" w:styleId="References">
    <w:name w:val="References"/>
    <w:basedOn w:val="Normal"/>
    <w:qFormat/>
    <w:rsid w:val="00A830A9"/>
    <w:pPr>
      <w:spacing w:before="120" w:after="0" w:line="360" w:lineRule="auto"/>
      <w:ind w:left="720" w:hanging="720"/>
      <w:contextualSpacing/>
    </w:pPr>
    <w:rPr>
      <w:rFonts w:ascii="Times New Roman" w:eastAsia="Times New Roman" w:hAnsi="Times New Roman" w:cs="Times New Roman"/>
      <w:kern w:val="0"/>
      <w:sz w:val="24"/>
      <w:szCs w:val="24"/>
      <w:lang w:val="en-GB" w:eastAsia="en-GB"/>
      <w14:ligatures w14:val="none"/>
    </w:rPr>
  </w:style>
  <w:style w:type="paragraph" w:customStyle="1" w:styleId="Subjectcodes">
    <w:name w:val="Subject codes"/>
    <w:basedOn w:val="Keywords"/>
    <w:next w:val="Paragraph"/>
    <w:qFormat/>
    <w:rsid w:val="00A830A9"/>
  </w:style>
  <w:style w:type="paragraph" w:customStyle="1" w:styleId="Bulletedlist">
    <w:name w:val="Bulleted list"/>
    <w:basedOn w:val="Paragraph"/>
    <w:next w:val="Paragraph"/>
    <w:qFormat/>
    <w:rsid w:val="00A830A9"/>
    <w:pPr>
      <w:widowControl/>
      <w:numPr>
        <w:numId w:val="14"/>
      </w:numPr>
      <w:spacing w:after="240"/>
      <w:contextualSpacing/>
    </w:pPr>
  </w:style>
  <w:style w:type="paragraph" w:styleId="FootnoteText">
    <w:name w:val="footnote text"/>
    <w:basedOn w:val="Normal"/>
    <w:link w:val="FootnoteTextChar"/>
    <w:autoRedefine/>
    <w:rsid w:val="00A830A9"/>
    <w:pPr>
      <w:spacing w:after="0" w:line="480" w:lineRule="auto"/>
      <w:ind w:left="284" w:hanging="284"/>
    </w:pPr>
    <w:rPr>
      <w:rFonts w:ascii="Times New Roman" w:eastAsia="Times New Roman" w:hAnsi="Times New Roman" w:cs="Times New Roman"/>
      <w:kern w:val="0"/>
      <w:szCs w:val="20"/>
      <w:lang w:val="en-GB" w:eastAsia="en-GB"/>
      <w14:ligatures w14:val="none"/>
    </w:rPr>
  </w:style>
  <w:style w:type="character" w:customStyle="1" w:styleId="FootnoteTextChar">
    <w:name w:val="Footnote Text Char"/>
    <w:basedOn w:val="DefaultParagraphFont"/>
    <w:link w:val="FootnoteText"/>
    <w:rsid w:val="00A830A9"/>
    <w:rPr>
      <w:rFonts w:ascii="Times New Roman" w:eastAsia="Times New Roman" w:hAnsi="Times New Roman" w:cs="Times New Roman"/>
      <w:kern w:val="0"/>
      <w:szCs w:val="20"/>
      <w:lang w:val="en-GB" w:eastAsia="en-GB"/>
      <w14:ligatures w14:val="none"/>
    </w:rPr>
  </w:style>
  <w:style w:type="character" w:styleId="FootnoteReference">
    <w:name w:val="footnote reference"/>
    <w:basedOn w:val="DefaultParagraphFont"/>
    <w:rsid w:val="00A830A9"/>
    <w:rPr>
      <w:vertAlign w:val="superscript"/>
    </w:rPr>
  </w:style>
  <w:style w:type="paragraph" w:styleId="EndnoteText">
    <w:name w:val="endnote text"/>
    <w:basedOn w:val="Normal"/>
    <w:link w:val="EndnoteTextChar"/>
    <w:autoRedefine/>
    <w:rsid w:val="00A830A9"/>
    <w:pPr>
      <w:spacing w:after="0" w:line="480" w:lineRule="auto"/>
      <w:ind w:left="284" w:hanging="284"/>
    </w:pPr>
    <w:rPr>
      <w:rFonts w:ascii="Times New Roman" w:eastAsia="Times New Roman" w:hAnsi="Times New Roman" w:cs="Times New Roman"/>
      <w:kern w:val="0"/>
      <w:szCs w:val="20"/>
      <w:lang w:val="en-GB" w:eastAsia="en-GB"/>
      <w14:ligatures w14:val="none"/>
    </w:rPr>
  </w:style>
  <w:style w:type="character" w:customStyle="1" w:styleId="EndnoteTextChar">
    <w:name w:val="Endnote Text Char"/>
    <w:basedOn w:val="DefaultParagraphFont"/>
    <w:link w:val="EndnoteText"/>
    <w:rsid w:val="00A830A9"/>
    <w:rPr>
      <w:rFonts w:ascii="Times New Roman" w:eastAsia="Times New Roman" w:hAnsi="Times New Roman" w:cs="Times New Roman"/>
      <w:kern w:val="0"/>
      <w:szCs w:val="20"/>
      <w:lang w:val="en-GB" w:eastAsia="en-GB"/>
      <w14:ligatures w14:val="none"/>
    </w:rPr>
  </w:style>
  <w:style w:type="character" w:styleId="EndnoteReference">
    <w:name w:val="endnote reference"/>
    <w:basedOn w:val="DefaultParagraphFont"/>
    <w:rsid w:val="00A830A9"/>
    <w:rPr>
      <w:vertAlign w:val="superscript"/>
    </w:rPr>
  </w:style>
  <w:style w:type="paragraph" w:styleId="Header">
    <w:name w:val="header"/>
    <w:basedOn w:val="Normal"/>
    <w:link w:val="HeaderChar"/>
    <w:rsid w:val="00A830A9"/>
    <w:pPr>
      <w:tabs>
        <w:tab w:val="center" w:pos="4320"/>
        <w:tab w:val="right" w:pos="8640"/>
      </w:tabs>
      <w:spacing w:after="120" w:line="240" w:lineRule="auto"/>
      <w:contextualSpacing/>
    </w:pPr>
    <w:rPr>
      <w:rFonts w:ascii="Times New Roman" w:eastAsia="Times New Roman" w:hAnsi="Times New Roman" w:cs="Times New Roman"/>
      <w:kern w:val="0"/>
      <w:sz w:val="24"/>
      <w:szCs w:val="24"/>
      <w:lang w:val="en-GB" w:eastAsia="en-GB"/>
      <w14:ligatures w14:val="none"/>
    </w:rPr>
  </w:style>
  <w:style w:type="character" w:customStyle="1" w:styleId="HeaderChar">
    <w:name w:val="Header Char"/>
    <w:basedOn w:val="DefaultParagraphFont"/>
    <w:link w:val="Header"/>
    <w:rsid w:val="00A830A9"/>
    <w:rPr>
      <w:rFonts w:ascii="Times New Roman" w:eastAsia="Times New Roman" w:hAnsi="Times New Roman" w:cs="Times New Roman"/>
      <w:kern w:val="0"/>
      <w:sz w:val="24"/>
      <w:szCs w:val="24"/>
      <w:lang w:val="en-GB" w:eastAsia="en-GB"/>
      <w14:ligatures w14:val="none"/>
    </w:rPr>
  </w:style>
  <w:style w:type="paragraph" w:styleId="Footer">
    <w:name w:val="footer"/>
    <w:basedOn w:val="Normal"/>
    <w:link w:val="FooterChar"/>
    <w:rsid w:val="00A830A9"/>
    <w:pPr>
      <w:tabs>
        <w:tab w:val="center" w:pos="4320"/>
        <w:tab w:val="right" w:pos="8640"/>
      </w:tabs>
      <w:spacing w:before="240" w:after="0" w:line="240" w:lineRule="auto"/>
      <w:contextualSpacing/>
    </w:pPr>
    <w:rPr>
      <w:rFonts w:ascii="Times New Roman" w:eastAsia="Times New Roman" w:hAnsi="Times New Roman" w:cs="Times New Roman"/>
      <w:kern w:val="0"/>
      <w:sz w:val="24"/>
      <w:szCs w:val="24"/>
      <w:lang w:val="en-GB" w:eastAsia="en-GB"/>
      <w14:ligatures w14:val="none"/>
    </w:rPr>
  </w:style>
  <w:style w:type="character" w:customStyle="1" w:styleId="FooterChar">
    <w:name w:val="Footer Char"/>
    <w:basedOn w:val="DefaultParagraphFont"/>
    <w:link w:val="Footer"/>
    <w:rsid w:val="00A830A9"/>
    <w:rPr>
      <w:rFonts w:ascii="Times New Roman" w:eastAsia="Times New Roman" w:hAnsi="Times New Roman" w:cs="Times New Roman"/>
      <w:kern w:val="0"/>
      <w:sz w:val="24"/>
      <w:szCs w:val="24"/>
      <w:lang w:val="en-GB" w:eastAsia="en-GB"/>
      <w14:ligatures w14:val="none"/>
    </w:rPr>
  </w:style>
  <w:style w:type="paragraph" w:customStyle="1" w:styleId="Heading4Paragraph">
    <w:name w:val="Heading 4 + Paragraph"/>
    <w:basedOn w:val="Paragraph"/>
    <w:next w:val="Newparagraph"/>
    <w:qFormat/>
    <w:rsid w:val="00A830A9"/>
    <w:pPr>
      <w:widowControl/>
      <w:spacing w:before="360"/>
    </w:pPr>
  </w:style>
  <w:style w:type="character" w:customStyle="1" w:styleId="Hyperlink1">
    <w:name w:val="Hyperlink1"/>
    <w:basedOn w:val="DefaultParagraphFont"/>
    <w:uiPriority w:val="99"/>
    <w:unhideWhenUsed/>
    <w:rsid w:val="00A830A9"/>
    <w:rPr>
      <w:color w:val="0000FF"/>
      <w:u w:val="single"/>
    </w:rPr>
  </w:style>
  <w:style w:type="table" w:styleId="TableGrid">
    <w:name w:val="Table Grid"/>
    <w:basedOn w:val="TableNormal"/>
    <w:rsid w:val="00A830A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830A9"/>
    <w:rPr>
      <w:color w:val="605E5C"/>
      <w:shd w:val="clear" w:color="auto" w:fill="E1DFDD"/>
    </w:rPr>
  </w:style>
  <w:style w:type="table" w:customStyle="1" w:styleId="TableGridLight1">
    <w:name w:val="Table Grid Light1"/>
    <w:basedOn w:val="TableNormal"/>
    <w:next w:val="TableGridLight"/>
    <w:uiPriority w:val="40"/>
    <w:rsid w:val="00A830A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ibliography">
    <w:name w:val="Bibliography"/>
    <w:basedOn w:val="Normal"/>
    <w:next w:val="Normal"/>
    <w:semiHidden/>
    <w:unhideWhenUsed/>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paragraph" w:styleId="NormalWeb">
    <w:name w:val="Normal (Web)"/>
    <w:basedOn w:val="Normal"/>
    <w:uiPriority w:val="99"/>
    <w:semiHidden/>
    <w:unhideWhenUsed/>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A830A9"/>
    <w:rPr>
      <w:b/>
      <w:bCs/>
    </w:rPr>
  </w:style>
  <w:style w:type="character" w:customStyle="1" w:styleId="whitespace-normal">
    <w:name w:val="whitespace-normal"/>
    <w:basedOn w:val="DefaultParagraphFont"/>
    <w:rsid w:val="00A830A9"/>
  </w:style>
  <w:style w:type="character" w:styleId="Hyperlink">
    <w:name w:val="Hyperlink"/>
    <w:basedOn w:val="DefaultParagraphFont"/>
    <w:uiPriority w:val="99"/>
    <w:unhideWhenUsed/>
    <w:rsid w:val="00A830A9"/>
    <w:rPr>
      <w:color w:val="467886" w:themeColor="hyperlink"/>
      <w:u w:val="single"/>
    </w:rPr>
  </w:style>
  <w:style w:type="table" w:styleId="TableGridLight">
    <w:name w:val="Grid Table Light"/>
    <w:basedOn w:val="TableNormal"/>
    <w:uiPriority w:val="40"/>
    <w:rsid w:val="00A830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898264324127627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8356/9789210019682"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6EC70-8B20-4765-BC58-F859AAC5E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30</Pages>
  <Words>7990</Words>
  <Characters>45547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Christie</dc:creator>
  <cp:keywords/>
  <dc:description/>
  <cp:lastModifiedBy>Nick Christie</cp:lastModifiedBy>
  <cp:revision>4</cp:revision>
  <dcterms:created xsi:type="dcterms:W3CDTF">2026-07-23T13:33:00Z</dcterms:created>
  <dcterms:modified xsi:type="dcterms:W3CDTF">2026-07-23T21:46:00Z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id="2ynu2FG3"/&gt;&lt;style id="http://www.zotero.org/styles/apa" locale="en-US" hasBibliography="1" bibliographyStyleHasBeenSet="0"/&gt;&lt;prefs&gt;&lt;pref name="fieldType" value="Field"/&gt;&lt;pref name="automaticJournalA</vt:lpwstr>
  </property>
  <property fmtid="{D5CDD505-2E9C-101B-9397-08002B2CF9AE}" pid="3" name="ZOTERO_PREF_2">
    <vt:lpwstr>bbreviations" value="true"/&gt;&lt;/prefs&gt;&lt;/data&gt;</vt:lpwstr>
  </property>
</Properties>
</file>