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1.** Baseline characteristics of the analysis sample stratified by relocation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0"/>
        <w:gridCol w:w="1793"/>
        <w:gridCol w:w="1816"/>
        <w:gridCol w:w="1609"/>
        <w:gridCol w:w="1181"/>
      </w:tblGrid>
      <w:tr>
        <w:trPr>
          <w:trHeight w:val="7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1958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Not relocated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1554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Relocated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68.7 (7.7)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69.0 (7.7)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67.6 (7.4)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714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1,084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840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Rental apartment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Condominium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731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612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Detached house/villa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685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Townhouse/semi-detached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Owns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1,587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1,291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Expected timeframe to move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2+ years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1,286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1,152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1–2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385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1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 suitability (1–5)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Home satisfaction (1–5)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Neighbourhood cohesion (1–3)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 perceived obstacle to moving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497 (26.0%)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 (26.0%)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(25.8%)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 for continuous variables; n (%) for categorical variables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t-test for continuous variables; chi-squared for categorical variables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2026-03-26T11:53:55Z</dcterms:modified>
  <cp:category/>
</cp:coreProperties>
</file>