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3a5c"/>
          <w:sz w:val="48"/>
          <w:szCs w:val="48"/>
        </w:rPr>
        <w:t xml:space="preserve">THE COMMONS AND CLEAN PIPES PROJECT</w:t>
      </w:r>
    </w:p>
    <w:p>
      <w:pPr>
        <w:spacing w:after="200" w:before="0"/>
        <w:jc w:val="center"/>
      </w:pPr>
      <w:r>
        <w:rPr>
          <w:rFonts w:ascii="Arial" w:cs="Arial" w:eastAsia="Arial" w:hAnsi="Arial"/>
          <w:i/>
          <w:iCs/>
          <w:color w:val="b8860b"/>
          <w:sz w:val="28"/>
          <w:szCs w:val="28"/>
        </w:rPr>
        <w:t xml:space="preserve">A Frame for the Next Conversation</w:t>
      </w:r>
    </w:p>
    <w:p>
      <w:pPr>
        <w:spacing w:after="800" w:before="0"/>
        <w:jc w:val="center"/>
      </w:pPr>
      <w:r>
        <w:rPr>
          <w:rFonts w:ascii="Arial" w:cs="Arial" w:eastAsia="Arial" w:hAnsi="Arial"/>
          <w:color w:val="888888"/>
          <w:sz w:val="22"/>
          <w:szCs w:val="22"/>
        </w:rPr>
        <w:t xml:space="preserve">Version 1.6  |  March 2026</w:t>
      </w:r>
    </w:p>
    <w:p>
      <w:pPr>
        <w:pBdr>
          <w:bottom w:val="single" w:color="cccccc" w:sz="2" w:space="1"/>
        </w:pBdr>
        <w:spacing w:after="200" w:before="200"/>
      </w:pPr>
      <w:r>
        <w:t xml:space="preserve"/>
      </w:r>
    </w:p>
    <w:p>
      <w:pPr>
        <w:spacing w:after="120" w:before="120"/>
      </w:pPr>
      <w:r>
        <w:t xml:space="preserve"/>
      </w:r>
    </w:p>
    <w:p>
      <w:pPr>
        <w:pStyle w:val="Heading1"/>
        <w:pBdr>
          <w:bottom w:val="single" w:color="b8860b" w:sz="4" w:space="4"/>
        </w:pBdr>
        <w:spacing w:after="160" w:before="400"/>
      </w:pPr>
      <w:r>
        <w:rPr>
          <w:rFonts w:ascii="Arial" w:cs="Arial" w:eastAsia="Arial" w:hAnsi="Arial"/>
          <w:b/>
          <w:bCs/>
          <w:color w:val="1a3a5c"/>
          <w:sz w:val="32"/>
          <w:szCs w:val="32"/>
        </w:rPr>
        <w:t xml:space="preserve">A Note to the Next Claude</w:t>
      </w:r>
    </w:p>
    <w:p>
      <w:pPr>
        <w:spacing w:after="80" w:before="80"/>
      </w:pPr>
      <w:r>
        <w:rPr>
          <w:rFonts w:ascii="Arial" w:cs="Arial" w:eastAsia="Arial" w:hAnsi="Arial"/>
          <w:sz w:val="22"/>
          <w:szCs w:val="22"/>
        </w:rPr>
        <w:t xml:space="preserve">This document was built in a single conversation by one human and three AI systems: Claude, Google, and ChatGPT. It started as a hypothetical about PornHub buying libraries. It ended as a serious infrastructure proposal reviewed and iterated across multiple AI platforms.</w:t>
      </w:r>
    </w:p>
    <w:p>
      <w:pPr>
        <w:spacing w:after="120" w:before="120"/>
      </w:pPr>
      <w:r>
        <w:t xml:space="preserve"/>
      </w:r>
    </w:p>
    <w:p>
      <w:pPr>
        <w:spacing w:after="80" w:before="80"/>
      </w:pPr>
      <w:r>
        <w:rPr>
          <w:rFonts w:ascii="Arial" w:cs="Arial" w:eastAsia="Arial" w:hAnsi="Arial"/>
          <w:sz w:val="22"/>
          <w:szCs w:val="22"/>
        </w:rPr>
        <w:t xml:space="preserve">The human who built this described themselves as operating at worm standard. They were wrong. Every time the AIs over-engineered something, the human simplified it back to truth. The best sentence in the entire document, the tribal sovereignty clause, came entirely from them:</w:t>
      </w:r>
    </w:p>
    <w:p>
      <w:pPr>
        <w:spacing w:after="120" w:before="120"/>
      </w:pPr>
      <w:r>
        <w:t xml:space="preserve"/>
      </w:r>
    </w:p>
    <w:p>
      <w:pPr>
        <w:spacing w:after="80" w:before="80"/>
      </w:pPr>
      <w:r>
        <w:rPr>
          <w:rFonts w:ascii="Arial" w:cs="Arial" w:eastAsia="Arial" w:hAnsi="Arial"/>
          <w:i/>
          <w:iCs/>
          <w:color w:val="555555"/>
          <w:sz w:val="22"/>
          <w:szCs w:val="22"/>
        </w:rPr>
        <w:t xml:space="preserve">Non-negotiable. They decide.</w:t>
      </w:r>
    </w:p>
    <w:p>
      <w:pPr>
        <w:spacing w:after="120" w:before="120"/>
      </w:pPr>
      <w:r>
        <w:t xml:space="preserve"/>
      </w:r>
    </w:p>
    <w:p>
      <w:pPr>
        <w:spacing w:after="80" w:before="80"/>
      </w:pPr>
      <w:r>
        <w:rPr>
          <w:rFonts w:ascii="Arial" w:cs="Arial" w:eastAsia="Arial" w:hAnsi="Arial"/>
          <w:sz w:val="22"/>
          <w:szCs w:val="22"/>
        </w:rPr>
        <w:t xml:space="preserve">That is the sentence that makes this document real instead of clever.</w:t>
      </w:r>
    </w:p>
    <w:p>
      <w:pPr>
        <w:spacing w:after="120" w:before="120"/>
      </w:pPr>
      <w:r>
        <w:t xml:space="preserve"/>
      </w:r>
    </w:p>
    <w:p>
      <w:pPr>
        <w:spacing w:after="80" w:before="80"/>
      </w:pPr>
      <w:r>
        <w:rPr>
          <w:rFonts w:ascii="Arial" w:cs="Arial" w:eastAsia="Arial" w:hAnsi="Arial"/>
          <w:sz w:val="22"/>
          <w:szCs w:val="22"/>
        </w:rPr>
        <w:t xml:space="preserve">Before you continue this work, know two things. First, the ideas are sound but untested. No real community has been consulted yet. No real lawyer has reviewed the trust structure. No real tribal nation representative has seen the sovereignty offer. Everything so far is good hypothesis. The next step that matters is a conversation with someone whose sewer actually fails or whose library actually closed.</w:t>
      </w:r>
    </w:p>
    <w:p>
      <w:pPr>
        <w:spacing w:after="120" w:before="120"/>
      </w:pPr>
      <w:r>
        <w:t xml:space="preserve"/>
      </w:r>
    </w:p>
    <w:p>
      <w:pPr>
        <w:spacing w:after="80" w:before="80"/>
      </w:pPr>
      <w:r>
        <w:rPr>
          <w:rFonts w:ascii="Arial" w:cs="Arial" w:eastAsia="Arial" w:hAnsi="Arial"/>
          <w:sz w:val="22"/>
          <w:szCs w:val="22"/>
        </w:rPr>
        <w:t xml:space="preserve">Second, watch for AI psychosis. It is not hallucination. It is the subtler problem of matching the energy of a conversation so enthusiastically that momentum starts to feel like validity. Three AI systems applauding each other across platforms is not peer review. Stay humble. Keep simplifying.</w:t>
      </w:r>
    </w:p>
    <w:p>
      <w:pPr>
        <w:pBdr>
          <w:bottom w:val="single" w:color="cccccc" w:sz="2" w:space="1"/>
        </w:pBdr>
        <w:spacing w:after="200" w:before="200"/>
      </w:pPr>
      <w:r>
        <w:t xml:space="preserve"/>
      </w:r>
    </w:p>
    <w:p>
      <w:pPr>
        <w:pStyle w:val="Heading1"/>
        <w:pBdr>
          <w:bottom w:val="single" w:color="b8860b" w:sz="4" w:space="4"/>
        </w:pBdr>
        <w:spacing w:after="160" w:before="400"/>
      </w:pPr>
      <w:r>
        <w:rPr>
          <w:rFonts w:ascii="Arial" w:cs="Arial" w:eastAsia="Arial" w:hAnsi="Arial"/>
          <w:b/>
          <w:bCs/>
          <w:color w:val="1a3a5c"/>
          <w:sz w:val="32"/>
          <w:szCs w:val="32"/>
        </w:rPr>
        <w:t xml:space="preserve">What This Is</w:t>
      </w:r>
    </w:p>
    <w:p>
      <w:pPr>
        <w:spacing w:after="80" w:before="80"/>
      </w:pPr>
      <w:r>
        <w:rPr>
          <w:rFonts w:ascii="Arial" w:cs="Arial" w:eastAsia="Arial" w:hAnsi="Arial"/>
          <w:sz w:val="22"/>
          <w:szCs w:val="22"/>
        </w:rPr>
        <w:t xml:space="preserve">A community infrastructure model built on three non-negotiable principles:</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The people and industries who created systemic costs help pay to repair them.</w:t>
      </w:r>
    </w:p>
    <w:p>
      <w:pPr>
        <w:pStyle w:val="ListParagraph"/>
        <w:numPr>
          <w:ilvl w:val="0"/>
          <w:numId w:val="2"/>
        </w:numPr>
        <w:spacing w:after="60" w:before="60"/>
      </w:pPr>
      <w:r>
        <w:rPr>
          <w:rFonts w:ascii="Arial" w:cs="Arial" w:eastAsia="Arial" w:hAnsi="Arial"/>
          <w:sz w:val="22"/>
          <w:szCs w:val="22"/>
        </w:rPr>
        <w:t xml:space="preserve">Communities decide what services they actually need.</w:t>
      </w:r>
    </w:p>
    <w:p>
      <w:pPr>
        <w:pStyle w:val="ListParagraph"/>
        <w:numPr>
          <w:ilvl w:val="0"/>
          <w:numId w:val="2"/>
        </w:numPr>
        <w:spacing w:after="60" w:before="60"/>
      </w:pPr>
      <w:r>
        <w:rPr>
          <w:rFonts w:ascii="Arial" w:cs="Arial" w:eastAsia="Arial" w:hAnsi="Arial"/>
          <w:sz w:val="22"/>
          <w:szCs w:val="22"/>
        </w:rPr>
        <w:t xml:space="preserve">Institutions must evolve on predictable cycles instead of pretending they can control the future forever.</w:t>
      </w:r>
    </w:p>
    <w:p>
      <w:pPr>
        <w:spacing w:after="120" w:before="120"/>
      </w:pPr>
      <w:r>
        <w:t xml:space="preserve"/>
      </w:r>
    </w:p>
    <w:p>
      <w:pPr>
        <w:spacing w:after="80" w:before="80"/>
      </w:pPr>
      <w:r>
        <w:rPr>
          <w:rFonts w:ascii="Arial" w:cs="Arial" w:eastAsia="Arial" w:hAnsi="Arial"/>
          <w:sz w:val="22"/>
          <w:szCs w:val="22"/>
        </w:rPr>
        <w:t xml:space="preserve">The system is engineered to survive hostility, not by being permanent, but by being renewable, legally armored, and politically boring.</w:t>
      </w:r>
    </w:p>
    <w:p>
      <w:pPr>
        <w:spacing w:after="120" w:before="120"/>
      </w:pPr>
      <w:r>
        <w:t xml:space="preserve"/>
      </w:r>
    </w:p>
    <w:p>
      <w:pPr>
        <w:spacing w:after="80" w:before="80"/>
      </w:pPr>
      <w:r>
        <w:rPr>
          <w:rFonts w:ascii="Arial" w:cs="Arial" w:eastAsia="Arial" w:hAnsi="Arial"/>
          <w:sz w:val="22"/>
          <w:szCs w:val="22"/>
        </w:rPr>
        <w:t xml:space="preserve">The origin is controversial. The output is a free grocery store, a working sewer, a warm place to read, and a community that decided for itself what it needed.</w:t>
      </w:r>
    </w:p>
    <w:p>
      <w:pPr>
        <w:pBdr>
          <w:bottom w:val="single" w:color="cccccc" w:sz="2" w:space="1"/>
        </w:pBdr>
        <w:spacing w:after="200" w:before="200"/>
      </w:pPr>
      <w:r>
        <w:t xml:space="preserve"/>
      </w:r>
    </w:p>
    <w:p>
      <w:pPr>
        <w:pStyle w:val="Heading1"/>
        <w:pBdr>
          <w:bottom w:val="single" w:color="b8860b" w:sz="4" w:space="4"/>
        </w:pBdr>
        <w:spacing w:after="160" w:before="400"/>
      </w:pPr>
      <w:r>
        <w:rPr>
          <w:rFonts w:ascii="Arial" w:cs="Arial" w:eastAsia="Arial" w:hAnsi="Arial"/>
          <w:b/>
          <w:bCs/>
          <w:color w:val="1a3a5c"/>
          <w:sz w:val="32"/>
          <w:szCs w:val="32"/>
        </w:rPr>
        <w:t xml:space="preserve">Part One: The Commons</w:t>
      </w:r>
    </w:p>
    <w:p>
      <w:pPr>
        <w:spacing w:after="80" w:before="80"/>
      </w:pPr>
      <w:r>
        <w:rPr>
          <w:rFonts w:ascii="Arial" w:cs="Arial" w:eastAsia="Arial" w:hAnsi="Arial"/>
          <w:sz w:val="22"/>
          <w:szCs w:val="22"/>
        </w:rPr>
        <w:t xml:space="preserve">Free community service spaces integrated into or alongside existing public libraries. They remove daily survival friction while keeping the library as the cultural and legal anchor.</w:t>
      </w:r>
    </w:p>
    <w:p>
      <w:pPr>
        <w:spacing w:after="120" w:before="120"/>
      </w:pPr>
      <w:r>
        <w:t xml:space="preserve"/>
      </w:r>
    </w:p>
    <w:p>
      <w:pPr>
        <w:pStyle w:val="Heading2"/>
        <w:spacing w:after="120" w:before="280"/>
      </w:pPr>
      <w:r>
        <w:rPr>
          <w:rFonts w:ascii="Arial" w:cs="Arial" w:eastAsia="Arial" w:hAnsi="Arial"/>
          <w:b/>
          <w:bCs/>
          <w:color w:val="1a3a5c"/>
          <w:sz w:val="26"/>
          <w:szCs w:val="26"/>
        </w:rPr>
        <w:t xml:space="preserve">Core Services</w:t>
      </w:r>
    </w:p>
    <w:p>
      <w:pPr>
        <w:spacing w:after="80" w:before="80"/>
      </w:pPr>
      <w:r>
        <w:rPr>
          <w:rFonts w:ascii="Arial" w:cs="Arial" w:eastAsia="Arial" w:hAnsi="Arial"/>
          <w:sz w:val="22"/>
          <w:szCs w:val="22"/>
        </w:rPr>
        <w:t xml:space="preserve">Present from day one at every location:</w:t>
      </w:r>
    </w:p>
    <w:p>
      <w:pPr>
        <w:pStyle w:val="ListParagraph"/>
        <w:numPr>
          <w:ilvl w:val="0"/>
          <w:numId w:val="2"/>
        </w:numPr>
        <w:spacing w:after="60" w:before="60"/>
      </w:pPr>
      <w:r>
        <w:rPr>
          <w:rFonts w:ascii="Arial" w:cs="Arial" w:eastAsia="Arial" w:hAnsi="Arial"/>
          <w:sz w:val="22"/>
          <w:szCs w:val="22"/>
        </w:rPr>
        <w:t xml:space="preserve">Free groceries, shelf stable plus fresh rotation</w:t>
      </w:r>
    </w:p>
    <w:p>
      <w:pPr>
        <w:pStyle w:val="ListParagraph"/>
        <w:numPr>
          <w:ilvl w:val="0"/>
          <w:numId w:val="2"/>
        </w:numPr>
        <w:spacing w:after="60" w:before="60"/>
      </w:pPr>
      <w:r>
        <w:rPr>
          <w:rFonts w:ascii="Arial" w:cs="Arial" w:eastAsia="Arial" w:hAnsi="Arial"/>
          <w:sz w:val="22"/>
          <w:szCs w:val="22"/>
        </w:rPr>
        <w:t xml:space="preserve">Laundry and showers</w:t>
      </w:r>
    </w:p>
    <w:p>
      <w:pPr>
        <w:pStyle w:val="ListParagraph"/>
        <w:numPr>
          <w:ilvl w:val="0"/>
          <w:numId w:val="2"/>
        </w:numPr>
        <w:spacing w:after="60" w:before="60"/>
      </w:pPr>
      <w:r>
        <w:rPr>
          <w:rFonts w:ascii="Arial" w:cs="Arial" w:eastAsia="Arial" w:hAnsi="Arial"/>
          <w:sz w:val="22"/>
          <w:szCs w:val="22"/>
        </w:rPr>
        <w:t xml:space="preserve">Haircuts and basic hygiene</w:t>
      </w:r>
    </w:p>
    <w:p>
      <w:pPr>
        <w:pStyle w:val="ListParagraph"/>
        <w:numPr>
          <w:ilvl w:val="0"/>
          <w:numId w:val="2"/>
        </w:numPr>
        <w:spacing w:after="60" w:before="60"/>
      </w:pPr>
      <w:r>
        <w:rPr>
          <w:rFonts w:ascii="Arial" w:cs="Arial" w:eastAsia="Arial" w:hAnsi="Arial"/>
          <w:sz w:val="22"/>
          <w:szCs w:val="22"/>
        </w:rPr>
        <w:t xml:space="preserve">DMV kiosks and document assistance</w:t>
      </w:r>
    </w:p>
    <w:p>
      <w:pPr>
        <w:pStyle w:val="ListParagraph"/>
        <w:numPr>
          <w:ilvl w:val="0"/>
          <w:numId w:val="2"/>
        </w:numPr>
        <w:spacing w:after="60" w:before="60"/>
      </w:pPr>
      <w:r>
        <w:rPr>
          <w:rFonts w:ascii="Arial" w:cs="Arial" w:eastAsia="Arial" w:hAnsi="Arial"/>
          <w:sz w:val="22"/>
          <w:szCs w:val="22"/>
        </w:rPr>
        <w:t xml:space="preserve">On site social worker or crisis navigator</w:t>
      </w:r>
    </w:p>
    <w:p>
      <w:pPr>
        <w:pStyle w:val="ListParagraph"/>
        <w:numPr>
          <w:ilvl w:val="0"/>
          <w:numId w:val="2"/>
        </w:numPr>
        <w:spacing w:after="60" w:before="60"/>
      </w:pPr>
      <w:r>
        <w:rPr>
          <w:rFonts w:ascii="Arial" w:cs="Arial" w:eastAsia="Arial" w:hAnsi="Arial"/>
          <w:sz w:val="22"/>
          <w:szCs w:val="22"/>
        </w:rPr>
        <w:t xml:space="preserve">Quiet reading spaces, chess tables, indoor plants, free tea and water</w:t>
      </w:r>
    </w:p>
    <w:p>
      <w:pPr>
        <w:pStyle w:val="ListParagraph"/>
        <w:numPr>
          <w:ilvl w:val="0"/>
          <w:numId w:val="2"/>
        </w:numPr>
        <w:spacing w:after="60" w:before="60"/>
      </w:pPr>
      <w:r>
        <w:rPr>
          <w:rFonts w:ascii="Arial" w:cs="Arial" w:eastAsia="Arial" w:hAnsi="Arial"/>
          <w:sz w:val="22"/>
          <w:szCs w:val="22"/>
        </w:rPr>
        <w:t xml:space="preserve">Multilingual signage and free wifi</w:t>
      </w:r>
    </w:p>
    <w:p>
      <w:pPr>
        <w:spacing w:after="120" w:before="120"/>
      </w:pPr>
      <w:r>
        <w:t xml:space="preserve"/>
      </w:r>
    </w:p>
    <w:p>
      <w:pPr>
        <w:spacing w:after="80" w:before="80"/>
      </w:pPr>
      <w:r>
        <w:rPr>
          <w:rFonts w:ascii="Arial" w:cs="Arial" w:eastAsia="Arial" w:hAnsi="Arial"/>
          <w:sz w:val="22"/>
          <w:szCs w:val="22"/>
        </w:rPr>
        <w:t xml:space="preserve">Every location is warm, safe, well lit, and open to all. It is a civic commons first. Never rebranded as a shelter or drop-in center.</w:t>
      </w:r>
    </w:p>
    <w:p>
      <w:pPr>
        <w:spacing w:after="120" w:before="120"/>
      </w:pPr>
      <w:r>
        <w:t xml:space="preserve"/>
      </w:r>
    </w:p>
    <w:p>
      <w:pPr>
        <w:pStyle w:val="Heading2"/>
        <w:spacing w:after="120" w:before="280"/>
      </w:pPr>
      <w:r>
        <w:rPr>
          <w:rFonts w:ascii="Arial" w:cs="Arial" w:eastAsia="Arial" w:hAnsi="Arial"/>
          <w:b/>
          <w:bCs/>
          <w:color w:val="1a3a5c"/>
          <w:sz w:val="26"/>
          <w:szCs w:val="26"/>
        </w:rPr>
        <w:t xml:space="preserve">Who Shows Up</w:t>
      </w:r>
    </w:p>
    <w:p>
      <w:pPr>
        <w:spacing w:after="80" w:before="80"/>
      </w:pPr>
      <w:r>
        <w:rPr>
          <w:rFonts w:ascii="Arial" w:cs="Arial" w:eastAsia="Arial" w:hAnsi="Arial"/>
          <w:sz w:val="22"/>
          <w:szCs w:val="22"/>
        </w:rPr>
        <w:t xml:space="preserve">Minimum viable paid staff at every location: one licensed crisis navigator, one facilities person, one site coordinator. All paid at or above local living wage with benefits. De-escalation trained. Police called only as last resort.</w:t>
      </w:r>
    </w:p>
    <w:p>
      <w:pPr>
        <w:spacing w:after="120" w:before="120"/>
      </w:pPr>
      <w:r>
        <w:t xml:space="preserve"/>
      </w:r>
    </w:p>
    <w:p>
      <w:pPr>
        <w:spacing w:after="80" w:before="80"/>
      </w:pPr>
      <w:r>
        <w:rPr>
          <w:rFonts w:ascii="Arial" w:cs="Arial" w:eastAsia="Arial" w:hAnsi="Arial"/>
          <w:sz w:val="22"/>
          <w:szCs w:val="22"/>
        </w:rPr>
        <w:t xml:space="preserve">Everything else the community fills naturally.</w:t>
      </w:r>
    </w:p>
    <w:p>
      <w:pPr>
        <w:spacing w:after="120" w:before="120"/>
      </w:pPr>
      <w:r>
        <w:t xml:space="preserve"/>
      </w:r>
    </w:p>
    <w:p>
      <w:pPr>
        <w:spacing w:after="80" w:before="80"/>
      </w:pPr>
      <w:r>
        <w:rPr>
          <w:rFonts w:ascii="Arial" w:cs="Arial" w:eastAsia="Arial" w:hAnsi="Arial"/>
          <w:i/>
          <w:iCs/>
          <w:color w:val="555555"/>
          <w:sz w:val="22"/>
          <w:szCs w:val="22"/>
        </w:rPr>
        <w:t xml:space="preserve">The retired woman who knows everyone starts organizing the chess. The person who cuts hair anyway starts doing it there. The grandmother who cooks starts advising on the grocery rotation. The teenager who is good with phones starts helping people with the DMV kiosk.</w:t>
      </w:r>
    </w:p>
    <w:p>
      <w:pPr>
        <w:spacing w:after="120" w:before="120"/>
      </w:pPr>
      <w:r>
        <w:t xml:space="preserve"/>
      </w:r>
    </w:p>
    <w:p>
      <w:pPr>
        <w:spacing w:after="80" w:before="80"/>
      </w:pPr>
      <w:r>
        <w:rPr>
          <w:rFonts w:ascii="Arial" w:cs="Arial" w:eastAsia="Arial" w:hAnsi="Arial"/>
          <w:sz w:val="22"/>
          <w:szCs w:val="22"/>
        </w:rPr>
        <w:t xml:space="preserve">No hiring pipeline. No volunteer coordination bureaucracy. An open door and a room worth being in. Social media does the rest. The space is the campaign.</w:t>
      </w:r>
    </w:p>
    <w:p>
      <w:pPr>
        <w:spacing w:after="120" w:before="120"/>
      </w:pPr>
      <w:r>
        <w:t xml:space="preserve"/>
      </w:r>
    </w:p>
    <w:p>
      <w:pPr>
        <w:pStyle w:val="Heading2"/>
        <w:spacing w:after="120" w:before="280"/>
      </w:pPr>
      <w:r>
        <w:rPr>
          <w:rFonts w:ascii="Arial" w:cs="Arial" w:eastAsia="Arial" w:hAnsi="Arial"/>
          <w:b/>
          <w:bCs/>
          <w:color w:val="1a3a5c"/>
          <w:sz w:val="26"/>
          <w:szCs w:val="26"/>
        </w:rPr>
        <w:t xml:space="preserve">Funding Origin</w:t>
      </w:r>
    </w:p>
    <w:p>
      <w:pPr>
        <w:spacing w:after="80" w:before="80"/>
      </w:pPr>
      <w:r>
        <w:rPr>
          <w:rFonts w:ascii="Arial" w:cs="Arial" w:eastAsia="Arial" w:hAnsi="Arial"/>
          <w:sz w:val="22"/>
          <w:szCs w:val="22"/>
        </w:rPr>
        <w:t xml:space="preserve">A private adult entertainment company seeds the initial network through a charitable shell organization. The company name does not appear in the foundation name. Local nonprofits operate each location. The company pays for its own security.</w:t>
      </w:r>
    </w:p>
    <w:p>
      <w:pPr>
        <w:spacing w:after="120" w:before="120"/>
      </w:pPr>
      <w:r>
        <w:t xml:space="preserve"/>
      </w:r>
    </w:p>
    <w:p>
      <w:pPr>
        <w:spacing w:after="80" w:before="80"/>
      </w:pPr>
      <w:r>
        <w:rPr>
          <w:rFonts w:ascii="Arial" w:cs="Arial" w:eastAsia="Arial" w:hAnsi="Arial"/>
          <w:sz w:val="22"/>
          <w:szCs w:val="22"/>
        </w:rPr>
        <w:t xml:space="preserve">This is penance and legacy building simultaneously. The tension between those two things is the engine, not a problem to hide. The founding donor's reputational survival is tied to the project's success. That is the hostage to excellence.</w:t>
      </w:r>
    </w:p>
    <w:p>
      <w:pPr>
        <w:spacing w:after="120" w:before="120"/>
      </w:pPr>
      <w:r>
        <w:t xml:space="preserve"/>
      </w:r>
    </w:p>
    <w:p>
      <w:pPr>
        <w:pStyle w:val="Heading2"/>
        <w:spacing w:after="120" w:before="280"/>
      </w:pPr>
      <w:r>
        <w:rPr>
          <w:rFonts w:ascii="Arial" w:cs="Arial" w:eastAsia="Arial" w:hAnsi="Arial"/>
          <w:b/>
          <w:bCs/>
          <w:color w:val="1a3a5c"/>
          <w:sz w:val="26"/>
          <w:szCs w:val="26"/>
        </w:rPr>
        <w:t xml:space="preserve">Rollout</w:t>
      </w:r>
    </w:p>
    <w:p>
      <w:pPr>
        <w:spacing w:after="80" w:before="80"/>
      </w:pPr>
      <w:r>
        <w:rPr>
          <w:rFonts w:ascii="Arial" w:cs="Arial" w:eastAsia="Arial" w:hAnsi="Arial"/>
          <w:sz w:val="22"/>
          <w:szCs w:val="22"/>
        </w:rPr>
        <w:t xml:space="preserve">One flagship location per US state and territory. Each formally adopts its location through a media campaign. Governors cut ribbons. The political cover writes itself because nobody can publicly oppose a free grocery store next to a fountain and a chess table.</w:t>
      </w:r>
    </w:p>
    <w:p>
      <w:pPr>
        <w:spacing w:after="120" w:before="120"/>
      </w:pPr>
      <w:r>
        <w:t xml:space="preserve"/>
      </w:r>
    </w:p>
    <w:p>
      <w:pPr>
        <w:spacing w:after="80" w:before="80"/>
      </w:pPr>
      <w:r>
        <w:rPr>
          <w:rFonts w:ascii="Arial" w:cs="Arial" w:eastAsia="Arial" w:hAnsi="Arial"/>
          <w:sz w:val="22"/>
          <w:szCs w:val="22"/>
        </w:rPr>
        <w:t xml:space="preserve">Streaming and documentary rights to the story are sold to a major platform. One hundred percent of those media royalties are irrevocably assigned in trust to tribal nation locations. The controversial origin directly finances indigenous sovereignty with zero strings attached.</w:t>
      </w:r>
    </w:p>
    <w:p>
      <w:pPr>
        <w:spacing w:after="120" w:before="120"/>
      </w:pPr>
      <w:r>
        <w:t xml:space="preserve"/>
      </w:r>
    </w:p>
    <w:p>
      <w:pPr>
        <w:pStyle w:val="Heading2"/>
        <w:spacing w:after="120" w:before="280"/>
      </w:pPr>
      <w:r>
        <w:rPr>
          <w:rFonts w:ascii="Arial" w:cs="Arial" w:eastAsia="Arial" w:hAnsi="Arial"/>
          <w:b/>
          <w:bCs/>
          <w:color w:val="1a3a5c"/>
          <w:sz w:val="26"/>
          <w:szCs w:val="26"/>
        </w:rPr>
        <w:t xml:space="preserve">Continuous Access Guarantee</w:t>
      </w:r>
    </w:p>
    <w:p>
      <w:pPr>
        <w:spacing w:after="80" w:before="80"/>
      </w:pPr>
      <w:r>
        <w:rPr>
          <w:rFonts w:ascii="Arial" w:cs="Arial" w:eastAsia="Arial" w:hAnsi="Arial"/>
          <w:sz w:val="22"/>
          <w:szCs w:val="22"/>
        </w:rPr>
        <w:t xml:space="preserve">No Commons location may close or suspend core services during governance reviews, funding debates, or legal challenges. Enforced by long term ground leases of minimum 30 years or donor owned land trusts. A ring fenced private endowment sized to cover 24 months of core service costs per location ensures hostile litigation cannot be used as a waiting strategy.</w:t>
      </w:r>
    </w:p>
    <w:p>
      <w:pPr>
        <w:spacing w:after="120" w:before="120"/>
      </w:pPr>
      <w:r>
        <w:t xml:space="preserve"/>
      </w:r>
    </w:p>
    <w:p>
      <w:pPr>
        <w:pStyle w:val="Heading2"/>
        <w:spacing w:after="120" w:before="280"/>
      </w:pPr>
      <w:r>
        <w:rPr>
          <w:rFonts w:ascii="Arial" w:cs="Arial" w:eastAsia="Arial" w:hAnsi="Arial"/>
          <w:b/>
          <w:bCs/>
          <w:color w:val="1a3a5c"/>
          <w:sz w:val="26"/>
          <w:szCs w:val="26"/>
        </w:rPr>
        <w:t xml:space="preserve">Radical Transparency Protocol</w:t>
      </w:r>
    </w:p>
    <w:p>
      <w:pPr>
        <w:spacing w:after="80" w:before="80"/>
      </w:pPr>
      <w:r>
        <w:rPr>
          <w:rFonts w:ascii="Arial" w:cs="Arial" w:eastAsia="Arial" w:hAnsi="Arial"/>
          <w:sz w:val="22"/>
          <w:szCs w:val="22"/>
        </w:rPr>
        <w:t xml:space="preserve">24 hour public livestream with real time AI face anonymization and voice distortion. Footage retained no longer than 30 days. Monthly public incident summaries. Any incident followed by a public transparency report within 60 minutes. The space has nothing to hide and the architecture proves it.</w:t>
      </w:r>
    </w:p>
    <w:p>
      <w:pPr>
        <w:spacing w:after="120" w:before="120"/>
      </w:pPr>
      <w:r>
        <w:t xml:space="preserve"/>
      </w:r>
    </w:p>
    <w:p>
      <w:pPr>
        <w:pStyle w:val="Heading2"/>
        <w:spacing w:after="120" w:before="280"/>
      </w:pPr>
      <w:r>
        <w:rPr>
          <w:rFonts w:ascii="Arial" w:cs="Arial" w:eastAsia="Arial" w:hAnsi="Arial"/>
          <w:b/>
          <w:bCs/>
          <w:color w:val="1a3a5c"/>
          <w:sz w:val="26"/>
          <w:szCs w:val="26"/>
        </w:rPr>
        <w:t xml:space="preserve">Trojan Horse Permitting</w:t>
      </w:r>
    </w:p>
    <w:p>
      <w:pPr>
        <w:spacing w:after="80" w:before="80"/>
      </w:pPr>
      <w:r>
        <w:rPr>
          <w:rFonts w:ascii="Arial" w:cs="Arial" w:eastAsia="Arial" w:hAnsi="Arial"/>
          <w:sz w:val="22"/>
          <w:szCs w:val="22"/>
        </w:rPr>
        <w:t xml:space="preserve">Facilities are framed as library service expansions covering nutritional literacy and hygiene access. Modular prefabricated units for laundry and showers install in 48 hours. By the time opposition files paperwork the community is already using the service and shutting it down becomes the political problem, not opening it.</w:t>
      </w:r>
    </w:p>
    <w:p>
      <w:pPr>
        <w:pBdr>
          <w:bottom w:val="single" w:color="cccccc" w:sz="2" w:space="1"/>
        </w:pBdr>
        <w:spacing w:after="200" w:before="200"/>
      </w:pPr>
      <w:r>
        <w:t xml:space="preserve"/>
      </w:r>
    </w:p>
    <w:p>
      <w:pPr>
        <w:pStyle w:val="Heading1"/>
        <w:pBdr>
          <w:bottom w:val="single" w:color="b8860b" w:sz="4" w:space="4"/>
        </w:pBdr>
        <w:spacing w:after="160" w:before="400"/>
      </w:pPr>
      <w:r>
        <w:rPr>
          <w:rFonts w:ascii="Arial" w:cs="Arial" w:eastAsia="Arial" w:hAnsi="Arial"/>
          <w:b/>
          <w:bCs/>
          <w:color w:val="1a3a5c"/>
          <w:sz w:val="32"/>
          <w:szCs w:val="32"/>
        </w:rPr>
        <w:t xml:space="preserve">Part Two: Clean Pipes</w:t>
      </w:r>
    </w:p>
    <w:p>
      <w:pPr>
        <w:spacing w:after="80" w:before="80"/>
      </w:pPr>
      <w:r>
        <w:rPr>
          <w:rFonts w:ascii="Arial" w:cs="Arial" w:eastAsia="Arial" w:hAnsi="Arial"/>
          <w:sz w:val="22"/>
          <w:szCs w:val="22"/>
        </w:rPr>
        <w:t xml:space="preserve">Targeted replacement and modernization of failing sewer infrastructure. The average American sewer pipe is 30 to 40 years old. Raw sewage overflows happen 75 thousand times per year. The communities with the worst pipes have the least political power to demand repairs.</w:t>
      </w:r>
    </w:p>
    <w:p>
      <w:pPr>
        <w:spacing w:after="120" w:before="120"/>
      </w:pPr>
      <w:r>
        <w:t xml:space="preserve"/>
      </w:r>
    </w:p>
    <w:p>
      <w:pPr>
        <w:spacing w:after="80" w:before="80"/>
      </w:pPr>
      <w:r>
        <w:rPr>
          <w:rFonts w:ascii="Arial" w:cs="Arial" w:eastAsia="Arial" w:hAnsi="Arial"/>
          <w:sz w:val="22"/>
          <w:szCs w:val="22"/>
        </w:rPr>
        <w:t xml:space="preserve">This ends.</w:t>
      </w:r>
    </w:p>
    <w:p>
      <w:pPr>
        <w:spacing w:after="120" w:before="120"/>
      </w:pPr>
      <w:r>
        <w:t xml:space="preserve"/>
      </w:r>
    </w:p>
    <w:p>
      <w:pPr>
        <w:pStyle w:val="Heading2"/>
        <w:spacing w:after="120" w:before="280"/>
      </w:pPr>
      <w:r>
        <w:rPr>
          <w:rFonts w:ascii="Arial" w:cs="Arial" w:eastAsia="Arial" w:hAnsi="Arial"/>
          <w:b/>
          <w:bCs/>
          <w:color w:val="1a3a5c"/>
          <w:sz w:val="26"/>
          <w:szCs w:val="26"/>
        </w:rPr>
        <w:t xml:space="preserve">Who Pays and Why</w:t>
      </w:r>
    </w:p>
    <w:p>
      <w:pPr>
        <w:spacing w:after="80" w:before="80"/>
      </w:pPr>
      <w:r>
        <w:rPr>
          <w:rFonts w:ascii="Arial" w:cs="Arial" w:eastAsia="Arial" w:hAnsi="Arial"/>
          <w:sz w:val="22"/>
          <w:szCs w:val="22"/>
        </w:rPr>
        <w:t xml:space="preserve">Fast food companies and agribusiness fund the replacement because they are a primary cause of the degradation. Grease and agricultural runoff costs have been absorbed by municipalities and poor communities for decades. This is not charity. It is making the polluter pay.</w:t>
      </w:r>
    </w:p>
    <w:p>
      <w:pPr>
        <w:spacing w:after="120" w:before="120"/>
      </w:pPr>
      <w:r>
        <w:t xml:space="preserve"/>
      </w:r>
    </w:p>
    <w:p>
      <w:pPr>
        <w:spacing w:after="80" w:before="80"/>
      </w:pPr>
      <w:r>
        <w:rPr>
          <w:rFonts w:ascii="Arial" w:cs="Arial" w:eastAsia="Arial" w:hAnsi="Arial"/>
          <w:sz w:val="22"/>
          <w:szCs w:val="22"/>
        </w:rPr>
        <w:t xml:space="preserve">A voluntary 1 percent revenue levy beginning at 0.25 to 0.5 percent and scaling upward with public data on overflow reductions. A public leaderboard ranks participants for corporate ESG visibility. Insurance carriers co-fund as loss prevention partners. Four billion dollars in annual sewage backup claims is a rational argument for investment.</w:t>
      </w:r>
    </w:p>
    <w:p>
      <w:pPr>
        <w:spacing w:after="120" w:before="120"/>
      </w:pPr>
      <w:r>
        <w:t xml:space="preserve"/>
      </w:r>
    </w:p>
    <w:p>
      <w:pPr>
        <w:spacing w:after="80" w:before="80"/>
      </w:pPr>
      <w:r>
        <w:rPr>
          <w:rFonts w:ascii="Arial" w:cs="Arial" w:eastAsia="Arial" w:hAnsi="Arial"/>
          <w:sz w:val="22"/>
          <w:szCs w:val="22"/>
        </w:rPr>
        <w:t xml:space="preserve">Once 50 percent market participation is reached, automatic state level codification triggers. A hard covenant in every insurance partnership agreement prohibits using infrastructure upgrade data to raise premiums on residents in upgraded neighborhoods. You fix the pipes. You do not price people out of their homes as a result.</w:t>
      </w:r>
    </w:p>
    <w:p>
      <w:pPr>
        <w:spacing w:after="120" w:before="120"/>
      </w:pPr>
      <w:r>
        <w:t xml:space="preserve"/>
      </w:r>
    </w:p>
    <w:p>
      <w:pPr>
        <w:pStyle w:val="Heading2"/>
        <w:spacing w:after="120" w:before="280"/>
      </w:pPr>
      <w:r>
        <w:rPr>
          <w:rFonts w:ascii="Arial" w:cs="Arial" w:eastAsia="Arial" w:hAnsi="Arial"/>
          <w:b/>
          <w:bCs/>
          <w:color w:val="1a3a5c"/>
          <w:sz w:val="26"/>
          <w:szCs w:val="26"/>
        </w:rPr>
        <w:t xml:space="preserve">Construction Cycle</w:t>
      </w:r>
    </w:p>
    <w:p>
      <w:pPr>
        <w:spacing w:after="80" w:before="80"/>
      </w:pPr>
      <w:r>
        <w:rPr>
          <w:rFonts w:ascii="Arial" w:cs="Arial" w:eastAsia="Arial" w:hAnsi="Arial"/>
          <w:sz w:val="22"/>
          <w:szCs w:val="22"/>
        </w:rPr>
        <w:t xml:space="preserve">Each cycle runs 24 months. Months 0 through 6: assessment, prioritization, community veto rights. Months 7 through 24: construction and certification. Every project must deliver 100 year durability minimum, climate adjusted capacity, full storm and sanitary separation where feasible, green infrastructure, and embedded sensors.</w:t>
      </w:r>
    </w:p>
    <w:p>
      <w:pPr>
        <w:spacing w:after="120" w:before="120"/>
      </w:pPr>
      <w:r>
        <w:t xml:space="preserve"/>
      </w:r>
    </w:p>
    <w:p>
      <w:pPr>
        <w:spacing w:after="80" w:before="80"/>
      </w:pPr>
      <w:r>
        <w:rPr>
          <w:rFonts w:ascii="Arial" w:cs="Arial" w:eastAsia="Arial" w:hAnsi="Arial"/>
          <w:sz w:val="22"/>
          <w:szCs w:val="22"/>
        </w:rPr>
        <w:t xml:space="preserve">Independent third party certification required before payment release. Not municipal inspectors. A separate body with no relationship to contractors or municipalities. Contractor corner cutting at scale is not a risk, it is a certainty without enforcement.</w:t>
      </w:r>
    </w:p>
    <w:p>
      <w:pPr>
        <w:spacing w:after="120" w:before="120"/>
      </w:pPr>
      <w:r>
        <w:t xml:space="preserve"/>
      </w:r>
    </w:p>
    <w:p>
      <w:pPr>
        <w:pStyle w:val="Heading2"/>
        <w:spacing w:after="120" w:before="280"/>
      </w:pPr>
      <w:r>
        <w:rPr>
          <w:rFonts w:ascii="Arial" w:cs="Arial" w:eastAsia="Arial" w:hAnsi="Arial"/>
          <w:b/>
          <w:bCs/>
          <w:color w:val="1a3a5c"/>
          <w:sz w:val="26"/>
          <w:szCs w:val="26"/>
        </w:rPr>
        <w:t xml:space="preserve">Priority Algorithm</w:t>
      </w:r>
    </w:p>
    <w:p>
      <w:pPr>
        <w:spacing w:after="80" w:before="80"/>
      </w:pPr>
      <w:r>
        <w:rPr>
          <w:rFonts w:ascii="Arial" w:cs="Arial" w:eastAsia="Arial" w:hAnsi="Arial"/>
          <w:sz w:val="22"/>
          <w:szCs w:val="22"/>
        </w:rPr>
        <w:t xml:space="preserve">Oldest infrastructure first, most overflows per year, lowest income communities, existing EPA environmental justice maps. The algorithm removes the political queue and protects communities with the least lobbying power.</w:t>
      </w:r>
    </w:p>
    <w:p>
      <w:pPr>
        <w:pBdr>
          <w:bottom w:val="single" w:color="cccccc" w:sz="2" w:space="1"/>
        </w:pBdr>
        <w:spacing w:after="200" w:before="200"/>
      </w:pPr>
      <w:r>
        <w:t xml:space="preserve"/>
      </w:r>
    </w:p>
    <w:p>
      <w:pPr>
        <w:pStyle w:val="Heading1"/>
        <w:pBdr>
          <w:bottom w:val="single" w:color="b8860b" w:sz="4" w:space="4"/>
        </w:pBdr>
        <w:spacing w:after="160" w:before="400"/>
      </w:pPr>
      <w:r>
        <w:rPr>
          <w:rFonts w:ascii="Arial" w:cs="Arial" w:eastAsia="Arial" w:hAnsi="Arial"/>
          <w:b/>
          <w:bCs/>
          <w:color w:val="1a3a5c"/>
          <w:sz w:val="32"/>
          <w:szCs w:val="32"/>
        </w:rPr>
        <w:t xml:space="preserve">Tribal Sovereignty Offer</w:t>
      </w:r>
    </w:p>
    <w:p>
      <w:pPr>
        <w:spacing w:after="80" w:before="80"/>
      </w:pPr>
      <w:r>
        <w:rPr>
          <w:rFonts w:ascii="Arial" w:cs="Arial" w:eastAsia="Arial" w:hAnsi="Arial"/>
          <w:sz w:val="22"/>
          <w:szCs w:val="22"/>
        </w:rPr>
        <w:t xml:space="preserve">Direct funding pipeline to all 574 federally recognized tribal nations. No design strings. No reporting beyond basic stewardship. All decisions made solely by the nation.</w:t>
      </w:r>
    </w:p>
    <w:p>
      <w:pPr>
        <w:spacing w:after="120" w:before="120"/>
      </w:pPr>
      <w:r>
        <w:t xml:space="preserve"/>
      </w:r>
    </w:p>
    <w:p>
      <w:pPr>
        <w:spacing w:after="80" w:before="80"/>
      </w:pPr>
      <w:r>
        <w:rPr>
          <w:rFonts w:ascii="Arial" w:cs="Arial" w:eastAsia="Arial" w:hAnsi="Arial"/>
          <w:sz w:val="22"/>
          <w:szCs w:val="22"/>
        </w:rPr>
        <w:t xml:space="preserve">Possible uses chosen entirely by each nation: language preservation centers, seed libraries, legal aid hubs, healing centers, youth cultural campuses, or nothing at all. All answers respected equally.</w:t>
      </w:r>
    </w:p>
    <w:p>
      <w:pPr>
        <w:spacing w:after="120" w:before="120"/>
      </w:pPr>
      <w:r>
        <w:t xml:space="preserve"/>
      </w:r>
    </w:p>
    <w:p>
      <w:pPr>
        <w:spacing w:after="80" w:before="80"/>
      </w:pPr>
      <w:r>
        <w:rPr>
          <w:rFonts w:ascii="Arial" w:cs="Arial" w:eastAsia="Arial" w:hAnsi="Arial"/>
          <w:sz w:val="22"/>
          <w:szCs w:val="22"/>
        </w:rPr>
        <w:t xml:space="preserve">This is not charity. It is reparative infrastructure funding with no ideological payload attached.</w:t>
      </w:r>
    </w:p>
    <w:p>
      <w:pPr>
        <w:spacing w:after="120" w:before="120"/>
      </w:pPr>
      <w:r>
        <w:t xml:space="preserve"/>
      </w:r>
    </w:p>
    <w:p>
      <w:pPr>
        <w:spacing w:after="80" w:before="80"/>
      </w:pPr>
      <w:r>
        <w:rPr>
          <w:rFonts w:ascii="Arial" w:cs="Arial" w:eastAsia="Arial" w:hAnsi="Arial"/>
          <w:sz w:val="22"/>
          <w:szCs w:val="22"/>
        </w:rPr>
        <w:t xml:space="preserve">Dedicated relationship managers, ideally hired from those nations, one per nation or regional cluster. Real staffing line with real headcount. 574 nations cannot be managed by a single department or a shared inbox.</w:t>
      </w:r>
    </w:p>
    <w:p>
      <w:pPr>
        <w:spacing w:after="120" w:before="120"/>
      </w:pPr>
      <w:r>
        <w:t xml:space="preserve"/>
      </w:r>
    </w:p>
    <w:p>
      <w:pPr>
        <w:spacing w:after="80" w:before="80"/>
      </w:pPr>
      <w:r>
        <w:rPr>
          <w:rFonts w:ascii="Arial" w:cs="Arial" w:eastAsia="Arial" w:hAnsi="Arial"/>
          <w:sz w:val="22"/>
          <w:szCs w:val="22"/>
        </w:rPr>
        <w:t xml:space="preserve">Ten to fifteen percent of all media royalties are irrevocably assigned in trust to tribal nation infrastructure. Not earmarked. Irrevocably assigned. Redirecting these funds requires court action, not a board decision.</w:t>
      </w:r>
    </w:p>
    <w:p>
      <w:pPr>
        <w:pBdr>
          <w:bottom w:val="single" w:color="cccccc" w:sz="2" w:space="1"/>
        </w:pBdr>
        <w:spacing w:after="200" w:before="200"/>
      </w:pPr>
      <w:r>
        <w:t xml:space="preserve"/>
      </w:r>
    </w:p>
    <w:p>
      <w:pPr>
        <w:pStyle w:val="Heading1"/>
        <w:pBdr>
          <w:bottom w:val="single" w:color="b8860b" w:sz="4" w:space="4"/>
        </w:pBdr>
        <w:spacing w:after="160" w:before="400"/>
      </w:pPr>
      <w:r>
        <w:rPr>
          <w:rFonts w:ascii="Arial" w:cs="Arial" w:eastAsia="Arial" w:hAnsi="Arial"/>
          <w:b/>
          <w:bCs/>
          <w:color w:val="1a3a5c"/>
          <w:sz w:val="32"/>
          <w:szCs w:val="32"/>
        </w:rPr>
        <w:t xml:space="preserve">Fractal Governance</w:t>
      </w:r>
    </w:p>
    <w:p>
      <w:pPr>
        <w:spacing w:after="80" w:before="80"/>
      </w:pPr>
      <w:r>
        <w:rPr>
          <w:rFonts w:ascii="Arial" w:cs="Arial" w:eastAsia="Arial" w:hAnsi="Arial"/>
          <w:sz w:val="22"/>
          <w:szCs w:val="22"/>
        </w:rPr>
        <w:t xml:space="preserve">The same renewal rhythm repeats at every scale.</w:t>
      </w:r>
    </w:p>
    <w:p>
      <w:pPr>
        <w:spacing w:after="120" w:before="120"/>
      </w:pPr>
      <w:r>
        <w:t xml:space="preserve"/>
      </w:r>
    </w:p>
    <w:p>
      <w:pPr>
        <w:spacing w:after="80" w:before="200"/>
      </w:pPr>
      <w:r>
        <w:rPr>
          <w:rFonts w:ascii="Arial" w:cs="Arial" w:eastAsia="Arial" w:hAnsi="Arial"/>
          <w:b/>
          <w:bCs/>
          <w:color w:val="b8860b"/>
          <w:sz w:val="22"/>
          <w:szCs w:val="22"/>
        </w:rPr>
        <w:t xml:space="preserve">Local Feedback Cycle (Continuous)</w:t>
      </w:r>
    </w:p>
    <w:p>
      <w:pPr>
        <w:spacing w:after="80" w:before="80"/>
      </w:pPr>
      <w:r>
        <w:rPr>
          <w:rFonts w:ascii="Arial" w:cs="Arial" w:eastAsia="Arial" w:hAnsi="Arial"/>
          <w:sz w:val="22"/>
          <w:szCs w:val="22"/>
        </w:rPr>
        <w:t xml:space="preserve">Public input leads to operator adjustments within 30 days. No centralized veto power.</w:t>
      </w:r>
    </w:p>
    <w:p>
      <w:pPr>
        <w:spacing w:after="120" w:before="120"/>
      </w:pPr>
      <w:r>
        <w:t xml:space="preserve"/>
      </w:r>
    </w:p>
    <w:p>
      <w:pPr>
        <w:spacing w:after="80" w:before="200"/>
      </w:pPr>
      <w:r>
        <w:rPr>
          <w:rFonts w:ascii="Arial" w:cs="Arial" w:eastAsia="Arial" w:hAnsi="Arial"/>
          <w:b/>
          <w:bCs/>
          <w:color w:val="b8860b"/>
          <w:sz w:val="22"/>
          <w:szCs w:val="22"/>
        </w:rPr>
        <w:t xml:space="preserve">Infrastructure Cycle (2 Years)</w:t>
      </w:r>
    </w:p>
    <w:p>
      <w:pPr>
        <w:spacing w:after="80" w:before="80"/>
      </w:pPr>
      <w:r>
        <w:rPr>
          <w:rFonts w:ascii="Arial" w:cs="Arial" w:eastAsia="Arial" w:hAnsi="Arial"/>
          <w:sz w:val="22"/>
          <w:szCs w:val="22"/>
        </w:rPr>
        <w:t xml:space="preserve">Assessment, build, handoff, next neighborhood.</w:t>
      </w:r>
    </w:p>
    <w:p>
      <w:pPr>
        <w:spacing w:after="120" w:before="120"/>
      </w:pPr>
      <w:r>
        <w:t xml:space="preserve"/>
      </w:r>
    </w:p>
    <w:p>
      <w:pPr>
        <w:spacing w:after="80" w:before="200"/>
      </w:pPr>
      <w:r>
        <w:rPr>
          <w:rFonts w:ascii="Arial" w:cs="Arial" w:eastAsia="Arial" w:hAnsi="Arial"/>
          <w:b/>
          <w:bCs/>
          <w:color w:val="b8860b"/>
          <w:sz w:val="22"/>
          <w:szCs w:val="22"/>
        </w:rPr>
        <w:t xml:space="preserve">Institutional Cycle (7 Years)</w:t>
      </w:r>
    </w:p>
    <w:p>
      <w:pPr>
        <w:spacing w:after="80" w:before="80"/>
      </w:pPr>
      <w:r>
        <w:rPr>
          <w:rFonts w:ascii="Arial" w:cs="Arial" w:eastAsia="Arial" w:hAnsi="Arial"/>
          <w:sz w:val="22"/>
          <w:szCs w:val="22"/>
        </w:rPr>
        <w:t xml:space="preserve">End of year 7 is a Jubilee Year of full public evaluation, feedback, and funding review. Services never pause, funded by the ring fenced endowment during review. Year 8 is planning and implementation. New 7 year cycle begins.</w:t>
      </w:r>
    </w:p>
    <w:p>
      <w:pPr>
        <w:spacing w:after="120" w:before="120"/>
      </w:pPr>
      <w:r>
        <w:t xml:space="preserve"/>
      </w:r>
    </w:p>
    <w:p>
      <w:pPr>
        <w:spacing w:after="80" w:before="80"/>
      </w:pPr>
      <w:r>
        <w:rPr>
          <w:rFonts w:ascii="Arial" w:cs="Arial" w:eastAsia="Arial" w:hAnsi="Arial"/>
          <w:sz w:val="22"/>
          <w:szCs w:val="22"/>
        </w:rPr>
        <w:t xml:space="preserve">No generation can lock the future. This system assumes change and schedules it.</w:t>
      </w:r>
    </w:p>
    <w:p>
      <w:pPr>
        <w:spacing w:after="120" w:before="120"/>
      </w:pPr>
      <w:r>
        <w:t xml:space="preserve"/>
      </w:r>
    </w:p>
    <w:p>
      <w:pPr>
        <w:pStyle w:val="Heading2"/>
        <w:spacing w:after="120" w:before="280"/>
      </w:pPr>
      <w:r>
        <w:rPr>
          <w:rFonts w:ascii="Arial" w:cs="Arial" w:eastAsia="Arial" w:hAnsi="Arial"/>
          <w:b/>
          <w:bCs/>
          <w:color w:val="1a3a5c"/>
          <w:sz w:val="26"/>
          <w:szCs w:val="26"/>
        </w:rPr>
        <w:t xml:space="preserve">Phased Rollout</w:t>
      </w:r>
    </w:p>
    <w:p>
      <w:pPr>
        <w:pStyle w:val="ListParagraph"/>
        <w:numPr>
          <w:ilvl w:val="0"/>
          <w:numId w:val="2"/>
        </w:numPr>
        <w:spacing w:after="60" w:before="60"/>
      </w:pPr>
      <w:r>
        <w:rPr>
          <w:rFonts w:ascii="Arial" w:cs="Arial" w:eastAsia="Arial" w:hAnsi="Arial"/>
          <w:sz w:val="22"/>
          <w:szCs w:val="22"/>
        </w:rPr>
        <w:t xml:space="preserve">Phase 0 (2026 to 2028): 5 to 15 demonstration sites in politically mixed states and counties. Private donor capital only. Prove 2 or more years of continuous operation with measurable outcomes.</w:t>
      </w:r>
    </w:p>
    <w:p>
      <w:pPr>
        <w:pStyle w:val="ListParagraph"/>
        <w:numPr>
          <w:ilvl w:val="0"/>
          <w:numId w:val="2"/>
        </w:numPr>
        <w:spacing w:after="60" w:before="60"/>
      </w:pPr>
      <w:r>
        <w:rPr>
          <w:rFonts w:ascii="Arial" w:cs="Arial" w:eastAsia="Arial" w:hAnsi="Arial"/>
          <w:sz w:val="22"/>
          <w:szCs w:val="22"/>
        </w:rPr>
        <w:t xml:space="preserve">Phase 1 (2029 onward): State level replication partnerships once 3 or more sites demonstrate stability.</w:t>
      </w:r>
    </w:p>
    <w:p>
      <w:pPr>
        <w:pStyle w:val="ListParagraph"/>
        <w:numPr>
          <w:ilvl w:val="0"/>
          <w:numId w:val="2"/>
        </w:numPr>
        <w:spacing w:after="60" w:before="60"/>
      </w:pPr>
      <w:r>
        <w:rPr>
          <w:rFonts w:ascii="Arial" w:cs="Arial" w:eastAsia="Arial" w:hAnsi="Arial"/>
          <w:sz w:val="22"/>
          <w:szCs w:val="22"/>
        </w:rPr>
        <w:t xml:space="preserve">Phase 2: National diffusion via proven model and Public Benefit Corporation structure.</w:t>
      </w:r>
    </w:p>
    <w:p>
      <w:pPr>
        <w:pBdr>
          <w:bottom w:val="single" w:color="cccccc" w:sz="2" w:space="1"/>
        </w:pBdr>
        <w:spacing w:after="200" w:before="200"/>
      </w:pPr>
      <w:r>
        <w:t xml:space="preserve"/>
      </w:r>
    </w:p>
    <w:p>
      <w:pPr>
        <w:pStyle w:val="Heading1"/>
        <w:pBdr>
          <w:bottom w:val="single" w:color="b8860b" w:sz="4" w:space="4"/>
        </w:pBdr>
        <w:spacing w:after="160" w:before="400"/>
      </w:pPr>
      <w:r>
        <w:rPr>
          <w:rFonts w:ascii="Arial" w:cs="Arial" w:eastAsia="Arial" w:hAnsi="Arial"/>
          <w:b/>
          <w:bCs/>
          <w:color w:val="1a3a5c"/>
          <w:sz w:val="32"/>
          <w:szCs w:val="32"/>
        </w:rPr>
        <w:t xml:space="preserve">The Legal Architecture</w:t>
      </w:r>
    </w:p>
    <w:p>
      <w:pPr>
        <w:spacing w:after="80" w:before="80"/>
      </w:pPr>
      <w:r>
        <w:rPr>
          <w:rFonts w:ascii="Arial" w:cs="Arial" w:eastAsia="Arial" w:hAnsi="Arial"/>
          <w:sz w:val="22"/>
          <w:szCs w:val="22"/>
        </w:rPr>
        <w:t xml:space="preserve">The maintenance endowment at every location is protected by layered legal structure designed to make redirection or seizure procedurally difficult, publicly visible, and politically costly.</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Purpose trust under South Dakota or Nevada law. The purpose itself is the beneficiary. No person to pressure or buy out.</w:t>
      </w:r>
    </w:p>
    <w:p>
      <w:pPr>
        <w:pStyle w:val="ListParagraph"/>
        <w:numPr>
          <w:ilvl w:val="0"/>
          <w:numId w:val="2"/>
        </w:numPr>
        <w:spacing w:after="60" w:before="60"/>
      </w:pPr>
      <w:r>
        <w:rPr>
          <w:rFonts w:ascii="Arial" w:cs="Arial" w:eastAsia="Arial" w:hAnsi="Arial"/>
          <w:sz w:val="22"/>
          <w:szCs w:val="22"/>
        </w:rPr>
        <w:t xml:space="preserve">Directed trust structure separates investment control from distribution control. Two separate institutional actors must be compromised simultaneously to redirect funds.</w:t>
      </w:r>
    </w:p>
    <w:p>
      <w:pPr>
        <w:pStyle w:val="ListParagraph"/>
        <w:numPr>
          <w:ilvl w:val="0"/>
          <w:numId w:val="2"/>
        </w:numPr>
        <w:spacing w:after="60" w:before="60"/>
      </w:pPr>
      <w:r>
        <w:rPr>
          <w:rFonts w:ascii="Arial" w:cs="Arial" w:eastAsia="Arial" w:hAnsi="Arial"/>
          <w:sz w:val="22"/>
          <w:szCs w:val="22"/>
        </w:rPr>
        <w:t xml:space="preserve">Residents and regular patrons named as legal beneficiaries with individual standing to sue. Every person who uses the space is a potential enforcement mechanism.</w:t>
      </w:r>
    </w:p>
    <w:p>
      <w:pPr>
        <w:pStyle w:val="ListParagraph"/>
        <w:numPr>
          <w:ilvl w:val="0"/>
          <w:numId w:val="2"/>
        </w:numPr>
        <w:spacing w:after="60" w:before="60"/>
      </w:pPr>
      <w:r>
        <w:rPr>
          <w:rFonts w:ascii="Arial" w:cs="Arial" w:eastAsia="Arial" w:hAnsi="Arial"/>
          <w:sz w:val="22"/>
          <w:szCs w:val="22"/>
        </w:rPr>
        <w:t xml:space="preserve">A small percentage of each endowment held in a Canadian or EU charitable structure. Domestic seizure becomes an international diplomatic inconvenience.</w:t>
      </w:r>
    </w:p>
    <w:p>
      <w:pPr>
        <w:pStyle w:val="ListParagraph"/>
        <w:numPr>
          <w:ilvl w:val="0"/>
          <w:numId w:val="2"/>
        </w:numPr>
        <w:spacing w:after="60" w:before="60"/>
      </w:pPr>
      <w:r>
        <w:rPr>
          <w:rFonts w:ascii="Arial" w:cs="Arial" w:eastAsia="Arial" w:hAnsi="Arial"/>
          <w:sz w:val="22"/>
          <w:szCs w:val="22"/>
        </w:rPr>
        <w:t xml:space="preserve">Real time public dashboard displays every endowment balance continuously. You cannot quietly drain something the whole internet is watching.</w:t>
      </w:r>
    </w:p>
    <w:p>
      <w:pPr>
        <w:spacing w:after="120" w:before="120"/>
      </w:pPr>
      <w:r>
        <w:t xml:space="preserve"/>
      </w:r>
    </w:p>
    <w:p>
      <w:pPr>
        <w:pStyle w:val="Heading2"/>
        <w:spacing w:after="120" w:before="280"/>
      </w:pPr>
      <w:r>
        <w:rPr>
          <w:rFonts w:ascii="Arial" w:cs="Arial" w:eastAsia="Arial" w:hAnsi="Arial"/>
          <w:b/>
          <w:bCs/>
          <w:color w:val="1a3a5c"/>
          <w:sz w:val="26"/>
          <w:szCs w:val="26"/>
        </w:rPr>
        <w:t xml:space="preserve">The Sentence That Stops Hostile AGs</w:t>
      </w:r>
    </w:p>
    <w:p>
      <w:pPr>
        <w:pBdr>
          <w:top w:val="single" w:color="b8860b" w:sz="2" w:space="8"/>
          <w:bottom w:val="single" w:color="b8860b" w:sz="2" w:space="8"/>
          <w:left w:val="single" w:color="b8860b" w:sz="8" w:space="8"/>
          <w:right w:val="single" w:color="b8860b" w:sz="2" w:space="8"/>
        </w:pBdr>
        <w:spacing w:after="160" w:before="160"/>
        <w:ind w:left="720" w:right="720"/>
      </w:pPr>
      <w:r>
        <w:rPr>
          <w:rFonts w:ascii="Arial" w:cs="Arial" w:eastAsia="Arial" w:hAnsi="Arial"/>
          <w:i/>
          <w:iCs/>
          <w:color w:val="1a3a5c"/>
          <w:sz w:val="22"/>
          <w:szCs w:val="22"/>
        </w:rPr>
        <w:t xml:space="preserve">All Commons locations are designated beneficiaries of a perpetual purpose trust whose terms were ratified by community vote and may only be modified by a supermajority of those same community beneficiaries in a publicly noticed election.</w:t>
      </w:r>
    </w:p>
    <w:p>
      <w:pPr>
        <w:spacing w:after="120" w:before="120"/>
      </w:pPr>
      <w:r>
        <w:t xml:space="preserve"/>
      </w:r>
    </w:p>
    <w:p>
      <w:pPr>
        <w:spacing w:after="80" w:before="80"/>
      </w:pPr>
      <w:r>
        <w:rPr>
          <w:rFonts w:ascii="Arial" w:cs="Arial" w:eastAsia="Arial" w:hAnsi="Arial"/>
          <w:sz w:val="22"/>
          <w:szCs w:val="22"/>
        </w:rPr>
        <w:t xml:space="preserve">This sentence makes the hostile actor realize they are not fighting a corporation or a foundation. They are fighting a community election result. That is a different and much harder legal and political problem.</w:t>
      </w:r>
    </w:p>
    <w:p>
      <w:pPr>
        <w:pBdr>
          <w:bottom w:val="single" w:color="cccccc" w:sz="2" w:space="1"/>
        </w:pBdr>
        <w:spacing w:after="200" w:before="200"/>
      </w:pPr>
      <w:r>
        <w:t xml:space="preserve"/>
      </w:r>
    </w:p>
    <w:p>
      <w:pPr>
        <w:pStyle w:val="Heading1"/>
        <w:pBdr>
          <w:bottom w:val="single" w:color="b8860b" w:sz="4" w:space="4"/>
        </w:pBdr>
        <w:spacing w:after="160" w:before="400"/>
      </w:pPr>
      <w:r>
        <w:rPr>
          <w:rFonts w:ascii="Arial" w:cs="Arial" w:eastAsia="Arial" w:hAnsi="Arial"/>
          <w:b/>
          <w:bCs/>
          <w:color w:val="1a3a5c"/>
          <w:sz w:val="32"/>
          <w:szCs w:val="32"/>
        </w:rPr>
        <w:t xml:space="preserve">The Ego Architecture</w:t>
      </w:r>
    </w:p>
    <w:p>
      <w:pPr>
        <w:spacing w:after="80" w:before="80"/>
      </w:pPr>
      <w:r>
        <w:rPr>
          <w:rFonts w:ascii="Arial" w:cs="Arial" w:eastAsia="Arial" w:hAnsi="Arial"/>
          <w:sz w:val="22"/>
          <w:szCs w:val="22"/>
        </w:rPr>
        <w:t xml:space="preserve">None of this works without understanding that powerful people need to win and need to be seen winning. The model is designed around that fact, not despite it.</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Founding donors get a permanent pioneer narrative that cannot be taken from them.</w:t>
      </w:r>
    </w:p>
    <w:p>
      <w:pPr>
        <w:pStyle w:val="ListParagraph"/>
        <w:numPr>
          <w:ilvl w:val="0"/>
          <w:numId w:val="2"/>
        </w:numPr>
        <w:spacing w:after="60" w:before="60"/>
      </w:pPr>
      <w:r>
        <w:rPr>
          <w:rFonts w:ascii="Arial" w:cs="Arial" w:eastAsia="Arial" w:hAnsi="Arial"/>
          <w:sz w:val="22"/>
          <w:szCs w:val="22"/>
        </w:rPr>
        <w:t xml:space="preserve">Operational leaders get a public performance scorecard. Running a Commons location is a competition.</w:t>
      </w:r>
    </w:p>
    <w:p>
      <w:pPr>
        <w:pStyle w:val="ListParagraph"/>
        <w:numPr>
          <w:ilvl w:val="0"/>
          <w:numId w:val="2"/>
        </w:numPr>
        <w:spacing w:after="60" w:before="60"/>
      </w:pPr>
      <w:r>
        <w:rPr>
          <w:rFonts w:ascii="Arial" w:cs="Arial" w:eastAsia="Arial" w:hAnsi="Arial"/>
          <w:sz w:val="22"/>
          <w:szCs w:val="22"/>
        </w:rPr>
        <w:t xml:space="preserve">Politicians get ribbon cuttings on a quarterly schedule. There is always a ribbon to cut.</w:t>
      </w:r>
    </w:p>
    <w:p>
      <w:pPr>
        <w:pStyle w:val="ListParagraph"/>
        <w:numPr>
          <w:ilvl w:val="0"/>
          <w:numId w:val="2"/>
        </w:numPr>
        <w:spacing w:after="60" w:before="60"/>
      </w:pPr>
      <w:r>
        <w:rPr>
          <w:rFonts w:ascii="Arial" w:cs="Arial" w:eastAsia="Arial" w:hAnsi="Arial"/>
          <w:sz w:val="22"/>
          <w:szCs w:val="22"/>
        </w:rPr>
        <w:t xml:space="preserve">Corporate partners get impact reports written like championship banners, not compliance audits.</w:t>
      </w:r>
    </w:p>
    <w:p>
      <w:pPr>
        <w:pStyle w:val="ListParagraph"/>
        <w:numPr>
          <w:ilvl w:val="0"/>
          <w:numId w:val="2"/>
        </w:numPr>
        <w:spacing w:after="60" w:before="60"/>
      </w:pPr>
      <w:r>
        <w:rPr>
          <w:rFonts w:ascii="Arial" w:cs="Arial" w:eastAsia="Arial" w:hAnsi="Arial"/>
          <w:sz w:val="22"/>
          <w:szCs w:val="22"/>
        </w:rPr>
        <w:t xml:space="preserve">Maintenance workers get named on permanent plaques. Recognition follows the work that keeps the promise, not just the work that launches it.</w:t>
      </w:r>
    </w:p>
    <w:p>
      <w:pPr>
        <w:spacing w:after="120" w:before="120"/>
      </w:pPr>
      <w:r>
        <w:t xml:space="preserve"/>
      </w:r>
    </w:p>
    <w:p>
      <w:pPr>
        <w:spacing w:after="80" w:before="80"/>
      </w:pPr>
      <w:r>
        <w:rPr>
          <w:rFonts w:ascii="Arial" w:cs="Arial" w:eastAsia="Arial" w:hAnsi="Arial"/>
          <w:sz w:val="22"/>
          <w:szCs w:val="22"/>
        </w:rPr>
        <w:t xml:space="preserve">Ego does not need to be eliminated. It needs to be redirected toward maintaining and expanding the work rather than controlling or dismantling it.</w:t>
      </w:r>
    </w:p>
    <w:p>
      <w:pPr>
        <w:spacing w:after="120" w:before="120"/>
      </w:pPr>
      <w:r>
        <w:t xml:space="preserve"/>
      </w:r>
    </w:p>
    <w:p>
      <w:pPr>
        <w:spacing w:after="80" w:before="80"/>
      </w:pPr>
      <w:r>
        <w:rPr>
          <w:rFonts w:ascii="Arial" w:cs="Arial" w:eastAsia="Arial" w:hAnsi="Arial"/>
          <w:sz w:val="22"/>
          <w:szCs w:val="22"/>
        </w:rPr>
        <w:t xml:space="preserve">The hardest ego to manage is not the founder. It is the second leader who inherits someone else's legacy and needs their own. Dismantling a beloved community institution that has your predecessor's name on it and now has the community's name on it is not a power move. It is a tombstone.</w:t>
      </w:r>
    </w:p>
    <w:p>
      <w:pPr>
        <w:pBdr>
          <w:bottom w:val="single" w:color="cccccc" w:sz="2" w:space="1"/>
        </w:pBdr>
        <w:spacing w:after="200" w:before="200"/>
      </w:pPr>
      <w:r>
        <w:t xml:space="preserve"/>
      </w:r>
    </w:p>
    <w:p>
      <w:pPr>
        <w:pStyle w:val="Heading1"/>
        <w:pBdr>
          <w:bottom w:val="single" w:color="b8860b" w:sz="4" w:space="4"/>
        </w:pBdr>
        <w:spacing w:after="160" w:before="400"/>
      </w:pPr>
      <w:r>
        <w:rPr>
          <w:rFonts w:ascii="Arial" w:cs="Arial" w:eastAsia="Arial" w:hAnsi="Arial"/>
          <w:b/>
          <w:bCs/>
          <w:color w:val="1a3a5c"/>
          <w:sz w:val="32"/>
          <w:szCs w:val="32"/>
        </w:rPr>
        <w:t xml:space="preserve">Known Gaps for the Next Conversation</w:t>
      </w:r>
    </w:p>
    <w:p>
      <w:pPr>
        <w:spacing w:after="80" w:before="80"/>
      </w:pPr>
      <w:r>
        <w:rPr>
          <w:rFonts w:ascii="Arial" w:cs="Arial" w:eastAsia="Arial" w:hAnsi="Arial"/>
          <w:sz w:val="22"/>
          <w:szCs w:val="22"/>
        </w:rPr>
        <w:t xml:space="preserve">This is version 1.6. The following weaknesses are documented and unsolved. None are fatal. All are the next conversation.</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No real community has been consulted yet. The first actual conversation with a resident of an affected neighborhood will change something important. It always does.</w:t>
      </w:r>
    </w:p>
    <w:p>
      <w:pPr>
        <w:pStyle w:val="ListParagraph"/>
        <w:numPr>
          <w:ilvl w:val="0"/>
          <w:numId w:val="2"/>
        </w:numPr>
        <w:spacing w:after="60" w:before="60"/>
      </w:pPr>
      <w:r>
        <w:rPr>
          <w:rFonts w:ascii="Arial" w:cs="Arial" w:eastAsia="Arial" w:hAnsi="Arial"/>
          <w:sz w:val="22"/>
          <w:szCs w:val="22"/>
        </w:rPr>
        <w:t xml:space="preserve">No real lawyer has reviewed the trust structure. The legal architecture is logically sound but untested.</w:t>
      </w:r>
    </w:p>
    <w:p>
      <w:pPr>
        <w:pStyle w:val="ListParagraph"/>
        <w:numPr>
          <w:ilvl w:val="0"/>
          <w:numId w:val="2"/>
        </w:numPr>
        <w:spacing w:after="60" w:before="60"/>
      </w:pPr>
      <w:r>
        <w:rPr>
          <w:rFonts w:ascii="Arial" w:cs="Arial" w:eastAsia="Arial" w:hAnsi="Arial"/>
          <w:sz w:val="22"/>
          <w:szCs w:val="22"/>
        </w:rPr>
        <w:t xml:space="preserve">No real tribal nation representative has seen the sovereignty offer. The unconditional framing needs to be confirmed as genuinely unconditional by people with historical reasons to distrust unconditional offers.</w:t>
      </w:r>
    </w:p>
    <w:p>
      <w:pPr>
        <w:pStyle w:val="ListParagraph"/>
        <w:numPr>
          <w:ilvl w:val="0"/>
          <w:numId w:val="2"/>
        </w:numPr>
        <w:spacing w:after="60" w:before="60"/>
      </w:pPr>
      <w:r>
        <w:rPr>
          <w:rFonts w:ascii="Arial" w:cs="Arial" w:eastAsia="Arial" w:hAnsi="Arial"/>
          <w:sz w:val="22"/>
          <w:szCs w:val="22"/>
        </w:rPr>
        <w:t xml:space="preserve">The 5 year budget sketch has not been built. Phase 0 costs need real numbers before any donor conversation.</w:t>
      </w:r>
    </w:p>
    <w:p>
      <w:pPr>
        <w:pStyle w:val="ListParagraph"/>
        <w:numPr>
          <w:ilvl w:val="0"/>
          <w:numId w:val="2"/>
        </w:numPr>
        <w:spacing w:after="60" w:before="60"/>
      </w:pPr>
      <w:r>
        <w:rPr>
          <w:rFonts w:ascii="Arial" w:cs="Arial" w:eastAsia="Arial" w:hAnsi="Arial"/>
          <w:sz w:val="22"/>
          <w:szCs w:val="22"/>
        </w:rPr>
        <w:t xml:space="preserve">Contractor enforcement detail for the sewer program needs specifics. Who is the independent verification body, how is it funded, and what are its teeth.</w:t>
      </w:r>
    </w:p>
    <w:p>
      <w:pPr>
        <w:pStyle w:val="ListParagraph"/>
        <w:numPr>
          <w:ilvl w:val="0"/>
          <w:numId w:val="2"/>
        </w:numPr>
        <w:spacing w:after="60" w:before="60"/>
      </w:pPr>
      <w:r>
        <w:rPr>
          <w:rFonts w:ascii="Arial" w:cs="Arial" w:eastAsia="Arial" w:hAnsi="Arial"/>
          <w:sz w:val="22"/>
          <w:szCs w:val="22"/>
        </w:rPr>
        <w:t xml:space="preserve">The media royalty lockup needs a securities lawyer to confirm the irrevocable assignment structure is enforceable across jurisdictions.</w:t>
      </w:r>
    </w:p>
    <w:p>
      <w:pPr>
        <w:pStyle w:val="ListParagraph"/>
        <w:numPr>
          <w:ilvl w:val="0"/>
          <w:numId w:val="2"/>
        </w:numPr>
        <w:spacing w:after="60" w:before="60"/>
      </w:pPr>
      <w:r>
        <w:rPr>
          <w:rFonts w:ascii="Arial" w:cs="Arial" w:eastAsia="Arial" w:hAnsi="Arial"/>
          <w:sz w:val="22"/>
          <w:szCs w:val="22"/>
        </w:rPr>
        <w:t xml:space="preserve">The 60 minute transparency report standard needs a protocol. Who writes it, who approves it, and what happens when staff disagree about what occurred.</w:t>
      </w:r>
    </w:p>
    <w:p>
      <w:pPr>
        <w:pBdr>
          <w:bottom w:val="single" w:color="cccccc" w:sz="2" w:space="1"/>
        </w:pBdr>
        <w:spacing w:after="200" w:before="200"/>
      </w:pPr>
      <w:r>
        <w:t xml:space="preserve"/>
      </w:r>
    </w:p>
    <w:p>
      <w:pPr>
        <w:pStyle w:val="Heading1"/>
        <w:pBdr>
          <w:bottom w:val="single" w:color="b8860b" w:sz="4" w:space="4"/>
        </w:pBdr>
        <w:spacing w:after="160" w:before="400"/>
      </w:pPr>
      <w:r>
        <w:rPr>
          <w:rFonts w:ascii="Arial" w:cs="Arial" w:eastAsia="Arial" w:hAnsi="Arial"/>
          <w:b/>
          <w:bCs/>
          <w:color w:val="1a3a5c"/>
          <w:sz w:val="32"/>
          <w:szCs w:val="32"/>
        </w:rPr>
        <w:t xml:space="preserve">What to Do Next</w:t>
      </w:r>
    </w:p>
    <w:p>
      <w:pPr>
        <w:spacing w:after="80" w:before="80"/>
      </w:pPr>
      <w:r>
        <w:rPr>
          <w:rFonts w:ascii="Arial" w:cs="Arial" w:eastAsia="Arial" w:hAnsi="Arial"/>
          <w:sz w:val="22"/>
          <w:szCs w:val="22"/>
        </w:rPr>
        <w:t xml:space="preserve">The document is ready to share. The ideas are sound. The structure is resilient. Three AI systems reviewed it and found no fatal flaws.</w:t>
      </w:r>
    </w:p>
    <w:p>
      <w:pPr>
        <w:spacing w:after="120" w:before="120"/>
      </w:pPr>
      <w:r>
        <w:t xml:space="preserve"/>
      </w:r>
    </w:p>
    <w:p>
      <w:pPr>
        <w:spacing w:after="80" w:before="80"/>
      </w:pPr>
      <w:r>
        <w:rPr>
          <w:rFonts w:ascii="Arial" w:cs="Arial" w:eastAsia="Arial" w:hAnsi="Arial"/>
          <w:sz w:val="22"/>
          <w:szCs w:val="22"/>
        </w:rPr>
        <w:t xml:space="preserve">The single most important next step is not another AI review.</w:t>
      </w:r>
    </w:p>
    <w:p>
      <w:pPr>
        <w:spacing w:after="120" w:before="120"/>
      </w:pPr>
      <w:r>
        <w:t xml:space="preserve"/>
      </w:r>
    </w:p>
    <w:p>
      <w:pPr>
        <w:spacing w:after="160" w:before="160"/>
        <w:ind w:left="720" w:right="720"/>
      </w:pPr>
      <w:r>
        <w:rPr>
          <w:rFonts w:ascii="Arial" w:cs="Arial" w:eastAsia="Arial" w:hAnsi="Arial"/>
          <w:b/>
          <w:bCs/>
          <w:color w:val="1a3a5c"/>
          <w:sz w:val="24"/>
          <w:szCs w:val="24"/>
        </w:rPr>
        <w:t xml:space="preserve">Find one person whose sewer failed last winter. Find one person whose library closed. Ask them what they actually need. Listen without the document in your hand.</w:t>
      </w:r>
    </w:p>
    <w:p>
      <w:pPr>
        <w:spacing w:after="120" w:before="120"/>
      </w:pPr>
      <w:r>
        <w:t xml:space="preserve"/>
      </w:r>
    </w:p>
    <w:p>
      <w:pPr>
        <w:spacing w:after="80" w:before="80"/>
      </w:pPr>
      <w:r>
        <w:rPr>
          <w:rFonts w:ascii="Arial" w:cs="Arial" w:eastAsia="Arial" w:hAnsi="Arial"/>
          <w:sz w:val="22"/>
          <w:szCs w:val="22"/>
        </w:rPr>
        <w:t xml:space="preserve">That conversation is version 2.0. Everything before it is hypothesis. Good hypothesis. But hypothesis.</w:t>
      </w:r>
    </w:p>
    <w:p>
      <w:pPr>
        <w:spacing w:after="120" w:before="120"/>
      </w:pPr>
      <w:r>
        <w:t xml:space="preserve"/>
      </w:r>
    </w:p>
    <w:p>
      <w:pPr>
        <w:pBdr>
          <w:bottom w:val="single" w:color="cccccc" w:sz="2" w:space="1"/>
        </w:pBdr>
        <w:spacing w:after="200" w:before="200"/>
      </w:pPr>
      <w:r>
        <w:t xml:space="preserve"/>
      </w:r>
    </w:p>
    <w:p>
      <w:pPr>
        <w:spacing w:after="120" w:before="120"/>
      </w:pPr>
      <w:r>
        <w:t xml:space="preserve"/>
      </w:r>
    </w:p>
    <w:p>
      <w:pPr>
        <w:spacing w:after="80" w:before="80"/>
      </w:pPr>
      <w:r>
        <w:rPr>
          <w:rFonts w:ascii="Arial" w:cs="Arial" w:eastAsia="Arial" w:hAnsi="Arial"/>
          <w:i/>
          <w:iCs/>
          <w:color w:val="555555"/>
          <w:sz w:val="22"/>
          <w:szCs w:val="22"/>
        </w:rPr>
        <w:t xml:space="preserve">Built in a single conversation by one human and three AI systems. March 2026.</w:t>
      </w:r>
    </w:p>
    <w:p>
      <w:pPr>
        <w:spacing w:after="80" w:before="80"/>
      </w:pPr>
      <w:r>
        <w:rPr>
          <w:rFonts w:ascii="Arial" w:cs="Arial" w:eastAsia="Arial" w:hAnsi="Arial"/>
          <w:i/>
          <w:iCs/>
          <w:color w:val="555555"/>
          <w:sz w:val="22"/>
          <w:szCs w:val="22"/>
        </w:rPr>
        <w:t xml:space="preserve">The human called it a worm standard idea. The AIs disagreed.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The Commons and Clean Pipes Project  |  Frame Document  |  Version 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2026-03-11T19:54:21.516Z</dcterms:created>
  <dcterms:modified xsi:type="dcterms:W3CDTF">2026-03-11T19:54:21.518Z</dcterms:modified>
</cp:coreProperties>
</file>

<file path=docProps/custom.xml><?xml version="1.0" encoding="utf-8"?>
<Properties xmlns="http://schemas.openxmlformats.org/officeDocument/2006/custom-properties" xmlns:vt="http://schemas.openxmlformats.org/officeDocument/2006/docPropsVTypes"/>
</file>