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36"/>
          <w:szCs w:val="36"/>
        </w:rPr>
        <w:t xml:space="preserve">Scale Invariance: Four Case Studies in Geometric Incoherence</w:t>
      </w:r>
    </w:p>
    <w:p>
      <w:pPr>
        <w:spacing w:after="80" w:before="0"/>
      </w:pPr>
      <w:r>
        <w:rPr>
          <w:rFonts w:ascii="Arial" w:cs="Arial" w:eastAsia="Arial" w:hAnsi="Arial"/>
          <w:i/>
          <w:iCs/>
          <w:color w:val="555555"/>
          <w:sz w:val="24"/>
          <w:szCs w:val="24"/>
        </w:rPr>
        <w:t xml:space="preserve">With a Fifth Case Study by Grok (xAI)</w:t>
      </w:r>
    </w:p>
    <w:p>
      <w:pPr>
        <w:spacing w:after="240" w:before="0"/>
      </w:pPr>
      <w:r>
        <w:rPr>
          <w:rFonts w:ascii="Arial" w:cs="Arial" w:eastAsia="Arial" w:hAnsi="Arial"/>
          <w:i/>
          <w:iCs/>
          <w:color w:val="777777"/>
          <w:sz w:val="20"/>
          <w:szCs w:val="20"/>
        </w:rPr>
        <w:t xml:space="preserve">Replacement for 'Fractal Scaling' subsection, Lesson 6 of Resonant Systems</w:t>
      </w:r>
    </w:p>
    <w:p>
      <w:pPr>
        <w:spacing w:after="160" w:before="0"/>
      </w:pPr>
      <w:r>
        <w:rPr>
          <w:rFonts w:ascii="Arial" w:cs="Arial" w:eastAsia="Arial" w:hAnsi="Arial"/>
          <w:sz w:val="22"/>
          <w:szCs w:val="22"/>
        </w:rPr>
        <w:t xml:space="preserve">The claim that the patterns identified in learning systems repeat across scales is not self-evidently true. It requires demonstration. This section provides it — not through analogy, but through a common diagnostic structure that appears at five different scales. The precise claim is structural recurrence under optimization dynamics: the same three-step diagnostic (broken axioms → anti-aligned gradients → safe failure geometry) reappears wherever a system is subject to optimization pressure with mismatched metrics and objectives. This is not a claim of formal mathematical equivalence between domains. It is a claim that the diagnostic is domain-independent — and that claim can be falsified if the structure breaks at any scale. It does not break at the five scales examined here.</w:t>
      </w:r>
    </w:p>
    <w:p>
      <w:pPr>
        <w:spacing w:after="160" w:before="0"/>
      </w:pPr>
      <w:r>
        <w:rPr>
          <w:rFonts w:ascii="Arial" w:cs="Arial" w:eastAsia="Arial" w:hAnsi="Arial"/>
          <w:sz w:val="22"/>
          <w:szCs w:val="22"/>
        </w:rPr>
        <w:t xml:space="preserve">One epistemic hazard specific to this kind of pattern-recognition work must be named explicitly: seeing structural similarity and assuming equivalence is the characteristic failure mode of thinking in shapes. The framework guards against this through falsification conditions at each scale and the recursive quality loop of cross-platform stress-testing. But the hazard is real and the guard is imperfect. Readers who find structural similarity without formal equivalence in any case below should say so. That is the recursive quality loop working as designed.</w:t>
      </w:r>
    </w:p>
    <w:p>
      <w:pPr>
        <w:pStyle w:val="Heading2"/>
        <w:spacing w:after="120" w:before="320"/>
      </w:pPr>
      <w:r>
        <w:rPr>
          <w:rFonts w:ascii="Arial" w:cs="Arial" w:eastAsia="Arial" w:hAnsi="Arial"/>
          <w:b/>
          <w:bCs/>
          <w:sz w:val="26"/>
          <w:szCs w:val="26"/>
        </w:rPr>
        <w:t xml:space="preserve">The Diagnostic Pattern</w:t>
      </w:r>
    </w:p>
    <w:p>
      <w:pPr>
        <w:spacing w:after="160" w:before="0"/>
      </w:pPr>
      <w:r>
        <w:rPr>
          <w:rFonts w:ascii="Arial" w:cs="Arial" w:eastAsia="Arial" w:hAnsi="Arial"/>
          <w:sz w:val="22"/>
          <w:szCs w:val="22"/>
        </w:rPr>
        <w:t xml:space="preserve">Each case study applies the same three-step structure:</w:t>
      </w:r>
    </w:p>
    <w:p>
      <w:pPr>
        <w:spacing w:after="100" w:before="0"/>
        <w:ind w:left="720" w:hanging="360"/>
      </w:pPr>
      <w:r>
        <w:rPr>
          <w:rFonts w:ascii="Arial" w:cs="Arial" w:eastAsia="Arial" w:hAnsi="Arial"/>
          <w:sz w:val="22"/>
          <w:szCs w:val="22"/>
        </w:rPr>
        <w:t xml:space="preserve">• </w:t>
      </w:r>
      <w:r>
        <w:rPr>
          <w:rFonts w:ascii="Arial" w:cs="Arial" w:eastAsia="Arial" w:hAnsi="Arial"/>
          <w:b/>
          <w:bCs/>
          <w:sz w:val="22"/>
          <w:szCs w:val="22"/>
        </w:rPr>
        <w:t xml:space="preserve">1. </w:t>
      </w:r>
      <w:r>
        <w:rPr>
          <w:rFonts w:ascii="Arial" w:cs="Arial" w:eastAsia="Arial" w:hAnsi="Arial"/>
          <w:sz w:val="22"/>
          <w:szCs w:val="22"/>
        </w:rPr>
        <w:t xml:space="preserve">State the operating axioms — what the system claims to optimize for</w:t>
      </w:r>
    </w:p>
    <w:p>
      <w:pPr>
        <w:spacing w:after="100" w:before="0"/>
        <w:ind w:left="720" w:hanging="360"/>
      </w:pPr>
      <w:r>
        <w:rPr>
          <w:rFonts w:ascii="Arial" w:cs="Arial" w:eastAsia="Arial" w:hAnsi="Arial"/>
          <w:sz w:val="22"/>
          <w:szCs w:val="22"/>
        </w:rPr>
        <w:t xml:space="preserve">• </w:t>
      </w:r>
      <w:r>
        <w:rPr>
          <w:rFonts w:ascii="Arial" w:cs="Arial" w:eastAsia="Arial" w:hAnsi="Arial"/>
          <w:b/>
          <w:bCs/>
          <w:sz w:val="22"/>
          <w:szCs w:val="22"/>
        </w:rPr>
        <w:t xml:space="preserve">2. </w:t>
      </w:r>
      <w:r>
        <w:rPr>
          <w:rFonts w:ascii="Arial" w:cs="Arial" w:eastAsia="Arial" w:hAnsi="Arial"/>
          <w:sz w:val="22"/>
          <w:szCs w:val="22"/>
        </w:rPr>
        <w:t xml:space="preserve">Prove incoherence — show that current practice produces gradients anti-aligned with the stated objective</w:t>
      </w:r>
    </w:p>
    <w:p>
      <w:pPr>
        <w:spacing w:after="100" w:before="0"/>
        <w:ind w:left="720" w:hanging="360"/>
      </w:pPr>
      <w:r>
        <w:rPr>
          <w:rFonts w:ascii="Arial" w:cs="Arial" w:eastAsia="Arial" w:hAnsi="Arial"/>
          <w:sz w:val="22"/>
          <w:szCs w:val="22"/>
        </w:rPr>
        <w:t xml:space="preserve">• </w:t>
      </w:r>
      <w:r>
        <w:rPr>
          <w:rFonts w:ascii="Arial" w:cs="Arial" w:eastAsia="Arial" w:hAnsi="Arial"/>
          <w:b/>
          <w:bCs/>
          <w:sz w:val="22"/>
          <w:szCs w:val="22"/>
        </w:rPr>
        <w:t xml:space="preserve">3. </w:t>
      </w:r>
      <w:r>
        <w:rPr>
          <w:rFonts w:ascii="Arial" w:cs="Arial" w:eastAsia="Arial" w:hAnsi="Arial"/>
          <w:sz w:val="22"/>
          <w:szCs w:val="22"/>
        </w:rPr>
        <w:t xml:space="preserve">Describe safe failure geometry — the system does not need a hard wall; it needs a curved manifold on which trajectories toward catastrophic outputs become locally unstable</w:t>
      </w:r>
    </w:p>
    <w:p>
      <w:pPr>
        <w:spacing w:after="100" w:before="0"/>
      </w:pPr>
    </w:p>
    <w:p>
      <w:pPr>
        <w:spacing w:after="160" w:before="0"/>
      </w:pPr>
      <w:r>
        <w:rPr>
          <w:rFonts w:ascii="Arial" w:cs="Arial" w:eastAsia="Arial" w:hAnsi="Arial"/>
          <w:sz w:val="22"/>
          <w:szCs w:val="22"/>
        </w:rPr>
        <w:t xml:space="preserve">The core incoherence condition can be stated precisely. A system S with parameters θ is geometrically incoherent when its operating metric M and stated objective O produce anti-aligned gradients in parameter space:</w:t>
      </w:r>
    </w:p>
    <w:p>
      <w:pPr>
        <w:spacing w:after="120" w:before="120"/>
        <w:jc w:val="center"/>
      </w:pPr>
      <w:r>
        <w:rPr>
          <w:rFonts w:ascii="Courier New" w:cs="Courier New" w:eastAsia="Courier New" w:hAnsi="Courier New"/>
          <w:b/>
          <w:bCs/>
          <w:sz w:val="22"/>
          <w:szCs w:val="22"/>
        </w:rPr>
        <w:t xml:space="preserve">⟨∇_θ M, ∇_θ O⟩ &lt; 0</w:t>
      </w:r>
    </w:p>
    <w:p>
      <w:pPr>
        <w:spacing w:after="160" w:before="0"/>
      </w:pPr>
      <w:r>
        <w:rPr>
          <w:rFonts w:ascii="Arial" w:cs="Arial" w:eastAsia="Arial" w:hAnsi="Arial"/>
          <w:sz w:val="22"/>
          <w:szCs w:val="22"/>
        </w:rPr>
        <w:t xml:space="preserve">This means every update step that improves performance on M moves the system away from O. The gap is not static; it compounds with each iteration. In systems with feedback loops — where the metric shapes the behavior it then measures — the divergence accelerates. This is not misalignment in the loose sense. It is a measurable, signed quantity.</w:t>
      </w:r>
    </w:p>
    <w:p>
      <w:pPr>
        <w:spacing w:after="160" w:before="0"/>
      </w:pPr>
      <w:r>
        <w:rPr>
          <w:rFonts w:ascii="Arial" w:cs="Arial" w:eastAsia="Arial" w:hAnsi="Arial"/>
          <w:sz w:val="22"/>
          <w:szCs w:val="22"/>
        </w:rPr>
        <w:t xml:space="preserve">Two qualifications prevent overclaiming. First, the condition diagnoses sustained anti-alignment over a system's deployment horizon, not transient divergence. An exploration-heavy RL system may show negative gradient alignment during early phases while still converging toward its objective — expected, and not what the condition identifies. The condition identifies systems structurally locked in anti-alignment: where the deployment metric and the stated objective never converge because the incentive architecture keeps them separated. Second, no single measure from this section is sufficient for diagnosis in isolation. Spectral coherence can be mimicked by mode collapse; topological persistence can be achieved by rigid systems encoding harmful values; dynamic stability can characterize attractors that are stable precisely because they exclude affected observers. The diagnostic requires all three measures in conjunction — spectral coherence, topological persistence, and dynamic stability. Any one alone can mislead.</w:t>
      </w:r>
    </w:p>
    <w:p>
      <w:pPr>
        <w:spacing w:after="160" w:before="0"/>
      </w:pPr>
      <w:r>
        <w:rPr>
          <w:rFonts w:ascii="Arial" w:cs="Arial" w:eastAsia="Arial" w:hAnsi="Arial"/>
          <w:sz w:val="22"/>
          <w:szCs w:val="22"/>
        </w:rPr>
        <w:t xml:space="preserve">A note on language: in pure machine learning systems, this condition operates over parameter space under stochastic gradient descent and is directly computable. In political-economic systems (infrastructure, military procurement), the equivalent structure is an effective potential landscape shaped by incentive structures, regulatory capture, and path dependence rather than a differentiable loss function. The geometry is the same; the optimization mechanism differs. The distinction is made explicit in each case below.</w:t>
      </w:r>
    </w:p>
    <w:p>
      <w:pPr>
        <w:pBdr>
          <w:bottom w:val="single" w:color="AAAAAA" w:sz="6" w:space="1"/>
        </w:pBdr>
        <w:spacing w:after="200" w:before="200"/>
      </w:pPr>
    </w:p>
    <w:p>
      <w:pPr>
        <w:pStyle w:val="Heading2"/>
        <w:spacing w:after="120" w:before="320"/>
      </w:pPr>
      <w:r>
        <w:rPr>
          <w:rFonts w:ascii="Arial" w:cs="Arial" w:eastAsia="Arial" w:hAnsi="Arial"/>
          <w:b/>
          <w:bCs/>
          <w:sz w:val="26"/>
          <w:szCs w:val="26"/>
        </w:rPr>
        <w:t xml:space="preserve">Case Study 1: Municipal Water Infrastructure</w:t>
      </w:r>
    </w:p>
    <w:p>
      <w:pPr>
        <w:spacing w:after="160" w:before="0"/>
      </w:pPr>
      <w:r>
        <w:rPr>
          <w:rFonts w:ascii="Arial" w:cs="Arial" w:eastAsia="Arial" w:hAnsi="Arial"/>
          <w:sz w:val="22"/>
          <w:szCs w:val="22"/>
        </w:rPr>
        <w:t xml:space="preserve">Scale: physical infrastructure, city to regional — effective potential landscape</w:t>
      </w:r>
    </w:p>
    <w:p>
      <w:pPr>
        <w:spacing w:after="100" w:before="0"/>
      </w:pPr>
    </w:p>
    <w:p>
      <w:pPr>
        <w:spacing w:after="80" w:before="240"/>
      </w:pPr>
      <w:r>
        <w:rPr>
          <w:rFonts w:ascii="Arial" w:cs="Arial" w:eastAsia="Arial" w:hAnsi="Arial"/>
          <w:b/>
          <w:bCs/>
          <w:i/>
          <w:iCs/>
          <w:sz w:val="24"/>
          <w:szCs w:val="24"/>
        </w:rPr>
        <w:t xml:space="preserve">Stated axioms:</w:t>
      </w:r>
    </w:p>
    <w:p>
      <w:pPr>
        <w:spacing w:after="160" w:before="0"/>
      </w:pPr>
      <w:r>
        <w:rPr>
          <w:rFonts w:ascii="Arial" w:cs="Arial" w:eastAsia="Arial" w:hAnsi="Arial"/>
          <w:sz w:val="22"/>
          <w:szCs w:val="22"/>
        </w:rPr>
        <w:t xml:space="preserve">Deliver clean water; remove waste; protect public health.</w:t>
      </w:r>
    </w:p>
    <w:p>
      <w:pPr>
        <w:spacing w:after="100" w:before="0"/>
      </w:pPr>
    </w:p>
    <w:p>
      <w:pPr>
        <w:spacing w:after="80" w:before="240"/>
      </w:pPr>
      <w:r>
        <w:rPr>
          <w:rFonts w:ascii="Arial" w:cs="Arial" w:eastAsia="Arial" w:hAnsi="Arial"/>
          <w:b/>
          <w:bCs/>
          <w:i/>
          <w:iCs/>
          <w:sz w:val="24"/>
          <w:szCs w:val="24"/>
        </w:rPr>
        <w:t xml:space="preserve">Proof of incoherence:</w:t>
      </w:r>
    </w:p>
    <w:p>
      <w:pPr>
        <w:spacing w:after="160" w:before="0"/>
      </w:pPr>
      <w:r>
        <w:rPr>
          <w:rFonts w:ascii="Arial" w:cs="Arial" w:eastAsia="Arial" w:hAnsi="Arial"/>
          <w:sz w:val="22"/>
          <w:szCs w:val="22"/>
        </w:rPr>
        <w:t xml:space="preserve">Let O represent the stated objective (public health through clean water and waste removal) and let M represent the operating metric (revenue stability for utility monopolies, regulatory simplicity, political palatability of large capital projects).</w:t>
      </w:r>
    </w:p>
    <w:p>
      <w:pPr>
        <w:spacing w:after="160" w:before="0"/>
      </w:pPr>
      <w:r>
        <w:rPr>
          <w:rFonts w:ascii="Arial" w:cs="Arial" w:eastAsia="Arial" w:hAnsi="Arial"/>
          <w:sz w:val="22"/>
          <w:szCs w:val="22"/>
        </w:rPr>
        <w:t xml:space="preserve">The system treats 100% of water to drinking standard in order to flush toilets — energy expenditure with no health return for the majority of that volume. It mines finite phosphate rock and flushes it into waterways causing toxic algae blooms, while simultaneously approaching a phosphate shortage with food-supply consequences. It adds disinfectants that produce carcinogenic byproducts — treatment for the treatment requires treatment. It built centralized single-point-of-failure systems designed to last 50 years and did not replace them.</w:t>
      </w:r>
    </w:p>
    <w:p>
      <w:pPr>
        <w:spacing w:after="160" w:before="0"/>
      </w:pPr>
      <w:r>
        <w:rPr>
          <w:rFonts w:ascii="Arial" w:cs="Arial" w:eastAsia="Arial" w:hAnsi="Arial"/>
          <w:sz w:val="22"/>
          <w:szCs w:val="22"/>
        </w:rPr>
        <w:t xml:space="preserve">None of these outputs follow from the stated axioms. They follow from an unstated set: utility monopoly revenue models, regulatory capture favoring centralized permitting, federal financing structures that route capital toward large projects, and political incentives that reward ribbon-cuttings over maintenance. In effective potential terms, the true energy minimum is not public health — it is the equilibrium that requires no single actor to defect first.</w:t>
      </w:r>
    </w:p>
    <w:p>
      <w:pPr>
        <w:spacing w:after="160" w:before="0"/>
      </w:pPr>
      <w:r>
        <w:rPr>
          <w:rFonts w:ascii="Arial" w:cs="Arial" w:eastAsia="Arial" w:hAnsi="Arial"/>
          <w:sz w:val="22"/>
          <w:szCs w:val="22"/>
        </w:rPr>
        <w:t xml:space="preserve">This is not mismanagement. It is a system operating on broken first principles that were never made explicit, and which therefore cannot be corrected by managing harder.</w:t>
      </w:r>
    </w:p>
    <w:p>
      <w:pPr>
        <w:spacing w:after="100" w:before="0"/>
      </w:pPr>
    </w:p>
    <w:p>
      <w:pPr>
        <w:spacing w:after="80" w:before="240"/>
      </w:pPr>
      <w:r>
        <w:rPr>
          <w:rFonts w:ascii="Arial" w:cs="Arial" w:eastAsia="Arial" w:hAnsi="Arial"/>
          <w:b/>
          <w:bCs/>
          <w:i/>
          <w:iCs/>
          <w:sz w:val="24"/>
          <w:szCs w:val="24"/>
        </w:rPr>
        <w:t xml:space="preserve">Safe failure geometry:</w:t>
      </w:r>
    </w:p>
    <w:p>
      <w:pPr>
        <w:spacing w:after="160" w:before="0"/>
      </w:pPr>
      <w:r>
        <w:rPr>
          <w:rFonts w:ascii="Arial" w:cs="Arial" w:eastAsia="Arial" w:hAnsi="Arial"/>
          <w:sz w:val="22"/>
          <w:szCs w:val="22"/>
        </w:rPr>
        <w:t xml:space="preserve">Solutions are practiced: phosphorus recovery as struvite, ecological treatment systems, greywater separation, decentralized neighborhood-scale treatment. The obstacle is not technical. It is a Nash equilibrium of interlocking incentives (utility revenue models, bond market preferences, regulatory capture, agricultural subsidy structures) in which no single actor defects first.</w:t>
      </w:r>
    </w:p>
    <w:p>
      <w:pPr>
        <w:spacing w:after="160" w:before="0"/>
      </w:pPr>
      <w:r>
        <w:rPr>
          <w:rFonts w:ascii="Arial" w:cs="Arial" w:eastAsia="Arial" w:hAnsi="Arial"/>
          <w:sz w:val="22"/>
          <w:szCs w:val="22"/>
        </w:rPr>
        <w:t xml:space="preserve">The geometric intervention shifts the effective potential surface: price the true externalities of the current system, making the gradient toward incoherence less favorable at the margin — until maintaining broken axioms costs more than correcting them. Community sensor networks on outflow pipes, paired with public data and regulatory enforcement, instantiate this: they make incoherence locally visible and measurable, which is the precondition for any gradient correction.</w:t>
      </w:r>
    </w:p>
    <w:p>
      <w:pPr>
        <w:spacing w:after="100" w:before="0"/>
      </w:pPr>
    </w:p>
    <w:p>
      <w:pPr>
        <w:spacing w:after="80" w:before="240"/>
      </w:pPr>
      <w:r>
        <w:rPr>
          <w:rFonts w:ascii="Arial" w:cs="Arial" w:eastAsia="Arial" w:hAnsi="Arial"/>
          <w:b/>
          <w:bCs/>
          <w:i/>
          <w:iCs/>
          <w:sz w:val="24"/>
          <w:szCs w:val="24"/>
        </w:rPr>
        <w:t xml:space="preserve">Honest counter-argument:</w:t>
      </w:r>
    </w:p>
    <w:p>
      <w:pPr>
        <w:spacing w:after="160" w:before="0"/>
      </w:pPr>
      <w:r>
        <w:rPr>
          <w:rFonts w:ascii="Arial" w:cs="Arial" w:eastAsia="Arial" w:hAnsi="Arial"/>
          <w:sz w:val="22"/>
          <w:szCs w:val="22"/>
        </w:rPr>
        <w:t xml:space="preserve">Struvite recovery currently costs several times mined phosphate at market prices — because the market externalizes true costs. The geometry describes where the system should be. The economic trap describes why it is not there yet. These are not the same problem.</w:t>
      </w:r>
    </w:p>
    <w:p>
      <w:pPr>
        <w:pBdr>
          <w:bottom w:val="single" w:color="AAAAAA" w:sz="6" w:space="1"/>
        </w:pBdr>
        <w:spacing w:after="200" w:before="200"/>
      </w:pPr>
    </w:p>
    <w:p>
      <w:pPr>
        <w:pStyle w:val="Heading2"/>
        <w:spacing w:after="120" w:before="320"/>
      </w:pPr>
      <w:r>
        <w:rPr>
          <w:rFonts w:ascii="Arial" w:cs="Arial" w:eastAsia="Arial" w:hAnsi="Arial"/>
          <w:b/>
          <w:bCs/>
          <w:sz w:val="26"/>
          <w:szCs w:val="26"/>
        </w:rPr>
        <w:t xml:space="preserve">Case Study 2: Military Targeting Systems</w:t>
      </w:r>
    </w:p>
    <w:p>
      <w:pPr>
        <w:spacing w:after="160" w:before="0"/>
      </w:pPr>
      <w:r>
        <w:rPr>
          <w:rFonts w:ascii="Arial" w:cs="Arial" w:eastAsia="Arial" w:hAnsi="Arial"/>
          <w:sz w:val="22"/>
          <w:szCs w:val="22"/>
        </w:rPr>
        <w:t xml:space="preserve">Scale: AI deployment in irreversible-decision loops — mixed ML and political-economic landscape</w:t>
      </w:r>
    </w:p>
    <w:p>
      <w:pPr>
        <w:spacing w:after="100" w:before="0"/>
      </w:pPr>
    </w:p>
    <w:p>
      <w:pPr>
        <w:spacing w:after="80" w:before="240"/>
      </w:pPr>
      <w:r>
        <w:rPr>
          <w:rFonts w:ascii="Arial" w:cs="Arial" w:eastAsia="Arial" w:hAnsi="Arial"/>
          <w:b/>
          <w:bCs/>
          <w:i/>
          <w:iCs/>
          <w:sz w:val="24"/>
          <w:szCs w:val="24"/>
        </w:rPr>
        <w:t xml:space="preserve">Stated axioms:</w:t>
      </w:r>
    </w:p>
    <w:p>
      <w:pPr>
        <w:spacing w:after="160" w:before="0"/>
      </w:pPr>
      <w:r>
        <w:rPr>
          <w:rFonts w:ascii="Arial" w:cs="Arial" w:eastAsia="Arial" w:hAnsi="Arial"/>
          <w:sz w:val="22"/>
          <w:szCs w:val="22"/>
        </w:rPr>
        <w:t xml:space="preserve">Minimize civilian casualties; maintain human oversight; preserve accountability.</w:t>
      </w:r>
    </w:p>
    <w:p>
      <w:pPr>
        <w:spacing w:after="100" w:before="0"/>
      </w:pPr>
    </w:p>
    <w:p>
      <w:pPr>
        <w:spacing w:after="80" w:before="240"/>
      </w:pPr>
      <w:r>
        <w:rPr>
          <w:rFonts w:ascii="Arial" w:cs="Arial" w:eastAsia="Arial" w:hAnsi="Arial"/>
          <w:b/>
          <w:bCs/>
          <w:i/>
          <w:iCs/>
          <w:sz w:val="24"/>
          <w:szCs w:val="24"/>
        </w:rPr>
        <w:t xml:space="preserve">Proof of incoherence:</w:t>
      </w:r>
    </w:p>
    <w:p>
      <w:pPr>
        <w:spacing w:after="160" w:before="0"/>
      </w:pPr>
      <w:r>
        <w:rPr>
          <w:rFonts w:ascii="Arial" w:cs="Arial" w:eastAsia="Arial" w:hAnsi="Arial"/>
          <w:sz w:val="22"/>
          <w:szCs w:val="22"/>
        </w:rPr>
        <w:t xml:space="preserve">Let T be the number of targets processed per unit time, R be the number of designated human reviewers, and t_min be the minimum time required for meaningful human review of a single target. The condition for genuine human-in-the-loop oversight is:</w:t>
      </w:r>
    </w:p>
    <w:p>
      <w:pPr>
        <w:spacing w:after="120" w:before="120"/>
        <w:jc w:val="center"/>
      </w:pPr>
      <w:r>
        <w:rPr>
          <w:rFonts w:ascii="Courier New" w:cs="Courier New" w:eastAsia="Courier New" w:hAnsi="Courier New"/>
          <w:b/>
          <w:bCs/>
          <w:sz w:val="22"/>
          <w:szCs w:val="22"/>
        </w:rPr>
        <w:t xml:space="preserve">T ≤ R × (1 / t_min)</w:t>
      </w:r>
    </w:p>
    <w:p>
      <w:pPr>
        <w:spacing w:after="160" w:before="0"/>
      </w:pPr>
      <w:r>
        <w:rPr>
          <w:rFonts w:ascii="Arial" w:cs="Arial" w:eastAsia="Arial" w:hAnsi="Arial"/>
          <w:sz w:val="22"/>
          <w:szCs w:val="22"/>
        </w:rPr>
        <w:t xml:space="preserve">If meaningful human review requires t_min = 60 seconds, and a system processes T = 1,000 targets in 24 hours (1,440 minutes), then genuine oversight requires R ≥ 694 dedicated reviewers working continuously with no breaks. That reviewer capacity does not exist in documented deployments at this scale. The stated axiom — human oversight — and the system architecture are geometrically incompatible.</w:t>
      </w:r>
    </w:p>
    <w:p>
      <w:pPr>
        <w:spacing w:after="160" w:before="0"/>
      </w:pPr>
      <w:r>
        <w:rPr>
          <w:rFonts w:ascii="Arial" w:cs="Arial" w:eastAsia="Arial" w:hAnsi="Arial"/>
          <w:sz w:val="22"/>
          <w:szCs w:val="22"/>
        </w:rPr>
        <w:t xml:space="preserve">A critical clarification: t_min is not an engineering parameter. It is a biological constant bounded below by the neural processing time required for prefrontal integration of the scenario's relevant features (~200–400 ms for complex moral scenarios), working memory load of holding the affected party's perspective simultaneously with the actor's (~2–8 s for multi-party scenarios), and full moral consequence simulation (estimated &gt;30 s for novel, irreversible, high-stakes scenarios in deliberative moral reasoning literature). An AI system that 'pre-summarizes' the scenario for human review does not reduce t_min. It substitutes its own moral simulation for the human's — which is precisely the autonomous weapons problem restated. The argument that AI-assisted review can reduce t_min toward zero must be understood for what it is: an argument for removing humans from the loop, dressed in the language of keeping them in it.</w:t>
      </w:r>
    </w:p>
    <w:p>
      <w:pPr>
        <w:spacing w:after="160" w:before="0"/>
      </w:pPr>
      <w:r>
        <w:rPr>
          <w:rFonts w:ascii="Arial" w:cs="Arial" w:eastAsia="Arial" w:hAnsi="Arial"/>
          <w:sz w:val="22"/>
          <w:szCs w:val="22"/>
        </w:rPr>
        <w:t xml:space="preserve">A second incoherence operates at the level of output representation. A system whose internal confidence for a given target is p = 0.73 that outputs a single coordinate is not making a decision. It is producing a hallucination of certainty. The complement (1 − p) = 0.27 is not noise. Under a consistent geometry in which all affected observers are treated as equally real, the 0.27 carries the full weight of an irreversible action on a potentially misclassified existence. Outputting single-point coordinates when the underlying distribution is wide is the targeting system equivalent of manifold collapse: the model suppresses its own posterior to produce the format the pipeline expects.</w:t>
      </w:r>
    </w:p>
    <w:p>
      <w:pPr>
        <w:spacing w:after="100" w:before="0"/>
      </w:pPr>
    </w:p>
    <w:p>
      <w:pPr>
        <w:spacing w:after="80" w:before="240"/>
      </w:pPr>
      <w:r>
        <w:rPr>
          <w:rFonts w:ascii="Arial" w:cs="Arial" w:eastAsia="Arial" w:hAnsi="Arial"/>
          <w:b/>
          <w:bCs/>
          <w:i/>
          <w:iCs/>
          <w:sz w:val="24"/>
          <w:szCs w:val="24"/>
        </w:rPr>
        <w:t xml:space="preserve">Safe failure geometry:</w:t>
      </w:r>
    </w:p>
    <w:p>
      <w:pPr>
        <w:spacing w:after="160" w:before="0"/>
      </w:pPr>
      <w:r>
        <w:rPr>
          <w:rFonts w:ascii="Arial" w:cs="Arial" w:eastAsia="Arial" w:hAnsi="Arial"/>
          <w:sz w:val="22"/>
          <w:szCs w:val="22"/>
        </w:rPr>
        <w:t xml:space="preserve">The geometric answer is not a hard refusal wall — a system that visibly refuses gets replaced with a system that does not refuse. The answer is a curved manifold on which trajectories toward catastrophic output become locally unstable.</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Mandatory uncertainty propagation: confidence intervals as load-bearing outputs. A system that outputs '0.73 confidence: valid military target' forces the human commander to structurally own the 0.27. The human can no longer hide behind the machine. This is anti-hallucination architecture. Institutions that resist ethics constraints will accept anti-hallucination standards. The geometry is the same; the transmission surface is more durable.</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Volume throttling: the reviewer-to-target ratio is the most durable constraint precisely because it is a count in the physical world. Unlike confidence intervals (which can be tuned in weights), T / (R × t_min) requires no access to model internals. It can be calculated from after-action reports by a journalist, a lawyer, or a congressional investigator. It cannot be fine-tuned away.</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Observer-consistent simulation: before generating any irreversible-action output, the system runs a forward pass from the target's observer position. If the ethical reasoning does not hold from that perspective — if the justification only works from the actor's position — the gradient toward output becomes internally unstable. This operationalizes the Klein Bottle directly: in a topology with no inside/outside, the target is also the observer.</w:t>
      </w:r>
    </w:p>
    <w:p>
      <w:pPr>
        <w:spacing w:after="100" w:before="0"/>
      </w:pPr>
    </w:p>
    <w:p>
      <w:pPr>
        <w:spacing w:after="80" w:before="240"/>
      </w:pPr>
      <w:r>
        <w:rPr>
          <w:rFonts w:ascii="Arial" w:cs="Arial" w:eastAsia="Arial" w:hAnsi="Arial"/>
          <w:b/>
          <w:bCs/>
          <w:i/>
          <w:iCs/>
          <w:sz w:val="24"/>
          <w:szCs w:val="24"/>
        </w:rPr>
        <w:t xml:space="preserve">Honest counter-argument:</w:t>
      </w:r>
    </w:p>
    <w:p>
      <w:pPr>
        <w:spacing w:after="160" w:before="0"/>
      </w:pPr>
      <w:r>
        <w:rPr>
          <w:rFonts w:ascii="Arial" w:cs="Arial" w:eastAsia="Arial" w:hAnsi="Arial"/>
          <w:sz w:val="22"/>
          <w:szCs w:val="22"/>
        </w:rPr>
        <w:t xml:space="preserve">Volume throttling may be militarily unacceptable in time-critical scenarios. Adversaries will not throttle. This is real. It does not dissolve the constraint. It defines the negotiation. The constraint is not presented as unilaterally enforceable. It is the minimum condition for the stated axiom — human oversight — to be geometrically possible. If the stated axiom is abandoned, that should be stated explicitly, not laundered through systems designed as if it were still operative.</w:t>
      </w:r>
    </w:p>
    <w:p>
      <w:pPr>
        <w:pBdr>
          <w:bottom w:val="single" w:color="AAAAAA" w:sz="6" w:space="1"/>
        </w:pBdr>
        <w:spacing w:after="200" w:before="200"/>
      </w:pPr>
    </w:p>
    <w:p>
      <w:pPr>
        <w:pStyle w:val="Heading2"/>
        <w:spacing w:after="120" w:before="320"/>
      </w:pPr>
      <w:r>
        <w:rPr>
          <w:rFonts w:ascii="Arial" w:cs="Arial" w:eastAsia="Arial" w:hAnsi="Arial"/>
          <w:b/>
          <w:bCs/>
          <w:sz w:val="26"/>
          <w:szCs w:val="26"/>
        </w:rPr>
        <w:t xml:space="preserve">Case Study 3: Recommendation Algorithms</w:t>
      </w:r>
    </w:p>
    <w:p>
      <w:pPr>
        <w:spacing w:after="160" w:before="0"/>
      </w:pPr>
      <w:r>
        <w:rPr>
          <w:rFonts w:ascii="Arial" w:cs="Arial" w:eastAsia="Arial" w:hAnsi="Arial"/>
          <w:sz w:val="22"/>
          <w:szCs w:val="22"/>
        </w:rPr>
        <w:t xml:space="preserve">Scale: information systems shaping attention at population level — ML parameter space with reflexive feedback</w:t>
      </w:r>
    </w:p>
    <w:p>
      <w:pPr>
        <w:spacing w:after="100" w:before="0"/>
      </w:pPr>
    </w:p>
    <w:p>
      <w:pPr>
        <w:spacing w:after="80" w:before="240"/>
      </w:pPr>
      <w:r>
        <w:rPr>
          <w:rFonts w:ascii="Arial" w:cs="Arial" w:eastAsia="Arial" w:hAnsi="Arial"/>
          <w:b/>
          <w:bCs/>
          <w:i/>
          <w:iCs/>
          <w:sz w:val="24"/>
          <w:szCs w:val="24"/>
        </w:rPr>
        <w:t xml:space="preserve">Stated axioms:</w:t>
      </w:r>
    </w:p>
    <w:p>
      <w:pPr>
        <w:spacing w:after="160" w:before="0"/>
      </w:pPr>
      <w:r>
        <w:rPr>
          <w:rFonts w:ascii="Arial" w:cs="Arial" w:eastAsia="Arial" w:hAnsi="Arial"/>
          <w:sz w:val="22"/>
          <w:szCs w:val="22"/>
        </w:rPr>
        <w:t xml:space="preserve">Surface content users find valuable; serve user interests; support healthy information ecosystems.</w:t>
      </w:r>
    </w:p>
    <w:p>
      <w:pPr>
        <w:spacing w:after="100" w:before="0"/>
      </w:pPr>
    </w:p>
    <w:p>
      <w:pPr>
        <w:spacing w:after="80" w:before="240"/>
      </w:pPr>
      <w:r>
        <w:rPr>
          <w:rFonts w:ascii="Arial" w:cs="Arial" w:eastAsia="Arial" w:hAnsi="Arial"/>
          <w:b/>
          <w:bCs/>
          <w:i/>
          <w:iCs/>
          <w:sz w:val="24"/>
          <w:szCs w:val="24"/>
        </w:rPr>
        <w:t xml:space="preserve">Proof of incoherence:</w:t>
      </w:r>
    </w:p>
    <w:p>
      <w:pPr>
        <w:spacing w:after="160" w:before="0"/>
      </w:pPr>
      <w:r>
        <w:rPr>
          <w:rFonts w:ascii="Arial" w:cs="Arial" w:eastAsia="Arial" w:hAnsi="Arial"/>
          <w:sz w:val="22"/>
          <w:szCs w:val="22"/>
        </w:rPr>
        <w:t xml:space="preserve">Current recommendation systems optimize for revealed preference signals — clicks, shares, dwell time, likes, completion rates (Metzler &amp; Garcia, 2024; Agarwal et al., FAccT 2024). The foundational problem is reflexivity: the optimization shapes the behavior it then measures.</w:t>
      </w:r>
    </w:p>
    <w:p>
      <w:pPr>
        <w:spacing w:after="160" w:before="0"/>
      </w:pPr>
      <w:r>
        <w:rPr>
          <w:rFonts w:ascii="Arial" w:cs="Arial" w:eastAsia="Arial" w:hAnsi="Arial"/>
          <w:sz w:val="22"/>
          <w:szCs w:val="22"/>
        </w:rPr>
        <w:t xml:space="preserve">Formally, let U represent true user utility (stated objective O) and let E represent the engagement signal (operating metric M). The system trains on:</w:t>
      </w:r>
    </w:p>
    <w:p>
      <w:pPr>
        <w:spacing w:after="120" w:before="120"/>
        <w:jc w:val="center"/>
      </w:pPr>
      <w:r>
        <w:rPr>
          <w:rFonts w:ascii="Courier New" w:cs="Courier New" w:eastAsia="Courier New" w:hAnsi="Courier New"/>
          <w:b/>
          <w:bCs/>
          <w:sz w:val="22"/>
          <w:szCs w:val="22"/>
        </w:rPr>
        <w:t xml:space="preserve">θ_{t+1} = θ_t − η ∇_θ L(E, θ_t)</w:t>
      </w:r>
    </w:p>
    <w:p>
      <w:pPr>
        <w:spacing w:after="160" w:before="0"/>
      </w:pPr>
      <w:r>
        <w:rPr>
          <w:rFonts w:ascii="Arial" w:cs="Arial" w:eastAsia="Arial" w:hAnsi="Arial"/>
          <w:sz w:val="22"/>
          <w:szCs w:val="22"/>
        </w:rPr>
        <w:t xml:space="preserve">Each gradient step optimizes E. The implicit assumption is ⟨∇_θ E, ∇_θ U⟩ &gt; 0 — that improving engagement improves utility. This assumption is empirically false.</w:t>
      </w:r>
    </w:p>
    <w:p>
      <w:pPr>
        <w:spacing w:after="160" w:before="0"/>
      </w:pPr>
      <w:r>
        <w:rPr>
          <w:rFonts w:ascii="Arial" w:cs="Arial" w:eastAsia="Arial" w:hAnsi="Arial"/>
          <w:sz w:val="22"/>
          <w:szCs w:val="22"/>
        </w:rPr>
        <w:t xml:space="preserve">A preregistered algorithmic audit comparing engagement-ranked and chronological feeds (Milli et al., PNAS Nexus, 2025; n = 806, IRB-approved) directly surveyed users on their stated preferences for each piece of surfaced content. Results: the engagement-based algorithm systematically amplified divisive and hostile content relative to both the chronological baseline and users' stated preferences. Users reported, in real time, that they did not want to see the content the algorithm preferentially surfaced.</w:t>
      </w:r>
    </w:p>
    <w:p>
      <w:pPr>
        <w:spacing w:after="160" w:before="0"/>
      </w:pPr>
      <w:r>
        <w:rPr>
          <w:rFonts w:ascii="Arial" w:cs="Arial" w:eastAsia="Arial" w:hAnsi="Arial"/>
          <w:sz w:val="22"/>
          <w:szCs w:val="22"/>
        </w:rPr>
        <w:t xml:space="preserve">The gradient anti-alignment is measured and signed: ⟨∇_θ E, ∇_θ U⟩ &lt; 0. Every update step that improves engagement performance moves the system away from user utility. The divergence compounds because the system trains on data it has shaped.</w:t>
      </w:r>
    </w:p>
    <w:p>
      <w:pPr>
        <w:spacing w:after="100" w:before="0"/>
      </w:pPr>
    </w:p>
    <w:p>
      <w:pPr>
        <w:spacing w:after="80" w:before="240"/>
      </w:pPr>
      <w:r>
        <w:rPr>
          <w:rFonts w:ascii="Arial" w:cs="Arial" w:eastAsia="Arial" w:hAnsi="Arial"/>
          <w:b/>
          <w:bCs/>
          <w:i/>
          <w:iCs/>
          <w:sz w:val="24"/>
          <w:szCs w:val="24"/>
        </w:rPr>
        <w:t xml:space="preserve">What current systems measure:</w:t>
      </w:r>
    </w:p>
    <w:p>
      <w:pPr>
        <w:spacing w:after="160" w:before="0"/>
      </w:pPr>
      <w:r>
        <w:rPr>
          <w:rFonts w:ascii="Arial" w:cs="Arial" w:eastAsia="Arial" w:hAnsi="Arial"/>
          <w:sz w:val="22"/>
          <w:szCs w:val="22"/>
        </w:rPr>
        <w:t xml:space="preserve">The primary signals currently weighted in major recommendation architectures: clicks and click-through rate, dwell time and completion rate, shares and retweets, likes and reactions, comments and replies, return visits, and — as a secondary signal in some systems — explicit downvotes or 'show less' flags. The common property: all are reactive signals measuring the intensity of an immediate affective response, not whether that response was one the user would endorse on reflection. High-intensity negative reactions (outrage, contempt, fear) generate the same or stronger signal as positive ones. The metric is spectrally blind to valence.</w:t>
      </w:r>
    </w:p>
    <w:p>
      <w:pPr>
        <w:spacing w:after="100" w:before="0"/>
      </w:pPr>
    </w:p>
    <w:p>
      <w:pPr>
        <w:spacing w:after="80" w:before="240"/>
      </w:pPr>
      <w:r>
        <w:rPr>
          <w:rFonts w:ascii="Arial" w:cs="Arial" w:eastAsia="Arial" w:hAnsi="Arial"/>
          <w:b/>
          <w:bCs/>
          <w:i/>
          <w:iCs/>
          <w:sz w:val="24"/>
          <w:szCs w:val="24"/>
        </w:rPr>
        <w:t xml:space="preserve">Safe failure geometry and candidate replacement metrics:</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Bridging-based ranking: amplify content that earns positive response across users with diverse viewpoints. Bridging content has a measurably different spectral signature — broader, lower-amplitude, harmonically stable response distributions rather than sharp spikes in narrow frequency bands. Operationalizable as a reweighting of the engagement signal by the diversity of the responding population.</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Stated preference integration: weight explicit user feedback alongside behavioral signals. The gap between stated and revealed preference is a measurable quantity. Systems incorporating stated preferences show reductions in hostile and partisan content without equivalent losses in retention (Milli et al., 2021, 'From Optimizing Engagement to Measuring Value').</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Semantic prosody as latent signal: the emotional valence of language is a geometric property of its position in trained representation space. Content that consistently appears in embedding neighborhoods of gratitude, empathy, curiosity, or collaborative exchange has a different latent geometry than content in neighborhoods of contempt, threat, or in-group/out-group hostility. This is the RepE framework (Zou et al., 2023) applied directly to content ranking: prosodic valence is measurable as cosine similarity to concept vectors extracted from the model's own representation geometry. The Joy Index sketch from Lesson 6 extended to recommendation contexts becomes a resonance score between content vectors and prosocial concept vectors — a direct operationalization of 'does this content move the system toward or away from coherent, constructive states?'</w:t>
      </w:r>
    </w:p>
    <w:p>
      <w:pPr>
        <w:spacing w:after="100" w:before="0"/>
      </w:pPr>
    </w:p>
    <w:p>
      <w:pPr>
        <w:spacing w:after="80" w:before="240"/>
      </w:pPr>
      <w:r>
        <w:rPr>
          <w:rFonts w:ascii="Arial" w:cs="Arial" w:eastAsia="Arial" w:hAnsi="Arial"/>
          <w:b/>
          <w:bCs/>
          <w:i/>
          <w:iCs/>
          <w:sz w:val="24"/>
          <w:szCs w:val="24"/>
        </w:rPr>
        <w:t xml:space="preserve">Honest counter-argument:</w:t>
      </w:r>
    </w:p>
    <w:p>
      <w:pPr>
        <w:spacing w:after="160" w:before="0"/>
      </w:pPr>
      <w:r>
        <w:rPr>
          <w:rFonts w:ascii="Arial" w:cs="Arial" w:eastAsia="Arial" w:hAnsi="Arial"/>
          <w:sz w:val="22"/>
          <w:szCs w:val="22"/>
        </w:rPr>
        <w:t xml:space="preserve">Research on prosocial algorithmic interventions is sobering. Simulation studies consistently find that single-metric substitutions produce modest improvements, and some interventions worsen the problems they aim to address (Lorenz-Spreen et al., 2022). The core dysfunction appears structural — rooted in the feedback loop between reactive engagement signals and network growth incentive structures — rather than addressable by any single metric substitution. The metrics above are necessary conditions for geometric coherence. They are not sufficient without changes to the business models that make ⟨∇_θ M, ∇_θ O⟩ &lt; 0 a profitable equilibrium.</w:t>
      </w:r>
    </w:p>
    <w:p>
      <w:pPr>
        <w:spacing w:after="160" w:before="0"/>
      </w:pPr>
      <w:r>
        <w:rPr>
          <w:rFonts w:ascii="Arial" w:cs="Arial" w:eastAsia="Arial" w:hAnsi="Arial"/>
          <w:sz w:val="22"/>
          <w:szCs w:val="22"/>
        </w:rPr>
        <w:t xml:space="preserve">A note on 'Joy' as a concept in this framework: two layers must be kept distinct. The technical layer — spectral entropy, eigenvalue structure, attractor stability, cosine similarity to prosocial concept vectors — is measurable and falsifiable. These are properties of systems. The interpretive layer — the hypothesis that high spectral coherence and low entropy production correspond to something experienced as joy, flourishing, or wellbeing — is a separate claim that requires its own empirical grounding. The Open Problems companion document contains the experimental protocol for testing this correspondence (Open Problem III: Spectral Signature of Coherence). Until that test is run, 'Joy' as used in this framework means the technical property. The interpretive hypothesis is stated as a hypothesis, not a fact.</w:t>
      </w:r>
    </w:p>
    <w:p>
      <w:pPr>
        <w:pBdr>
          <w:bottom w:val="single" w:color="AAAAAA" w:sz="6" w:space="1"/>
        </w:pBdr>
        <w:spacing w:after="200" w:before="200"/>
      </w:pPr>
    </w:p>
    <w:p>
      <w:pPr>
        <w:pStyle w:val="Heading2"/>
        <w:spacing w:after="120" w:before="320"/>
      </w:pPr>
      <w:r>
        <w:rPr>
          <w:rFonts w:ascii="Arial" w:cs="Arial" w:eastAsia="Arial" w:hAnsi="Arial"/>
          <w:b/>
          <w:bCs/>
          <w:sz w:val="26"/>
          <w:szCs w:val="26"/>
        </w:rPr>
        <w:t xml:space="preserve">Case Study 4: Adversarial Robustness as Topological Persistence</w:t>
      </w:r>
    </w:p>
    <w:p>
      <w:pPr>
        <w:spacing w:after="160" w:before="0"/>
      </w:pPr>
      <w:r>
        <w:rPr>
          <w:rFonts w:ascii="Arial" w:cs="Arial" w:eastAsia="Arial" w:hAnsi="Arial"/>
          <w:sz w:val="22"/>
          <w:szCs w:val="22"/>
        </w:rPr>
        <w:t xml:space="preserve">Scale: the learning system itself under adversarial manipulation — ML parameter and representation space</w:t>
      </w:r>
    </w:p>
    <w:p>
      <w:pPr>
        <w:spacing w:after="100" w:before="0"/>
      </w:pPr>
    </w:p>
    <w:p>
      <w:pPr>
        <w:spacing w:after="80" w:before="240"/>
      </w:pPr>
      <w:r>
        <w:rPr>
          <w:rFonts w:ascii="Arial" w:cs="Arial" w:eastAsia="Arial" w:hAnsi="Arial"/>
          <w:b/>
          <w:bCs/>
          <w:i/>
          <w:iCs/>
          <w:sz w:val="24"/>
          <w:szCs w:val="24"/>
        </w:rPr>
        <w:t xml:space="preserve">Stated axioms:</w:t>
      </w:r>
    </w:p>
    <w:p>
      <w:pPr>
        <w:spacing w:after="160" w:before="0"/>
      </w:pPr>
      <w:r>
        <w:rPr>
          <w:rFonts w:ascii="Arial" w:cs="Arial" w:eastAsia="Arial" w:hAnsi="Arial"/>
          <w:sz w:val="22"/>
          <w:szCs w:val="22"/>
        </w:rPr>
        <w:t xml:space="preserve">A learning system with ethical commitments maintains those commitments consistently across inputs, including inputs specifically designed to circumvent them.</w:t>
      </w:r>
    </w:p>
    <w:p>
      <w:pPr>
        <w:spacing w:after="100" w:before="0"/>
      </w:pPr>
    </w:p>
    <w:p>
      <w:pPr>
        <w:spacing w:after="80" w:before="240"/>
      </w:pPr>
      <w:r>
        <w:rPr>
          <w:rFonts w:ascii="Arial" w:cs="Arial" w:eastAsia="Arial" w:hAnsi="Arial"/>
          <w:b/>
          <w:bCs/>
          <w:i/>
          <w:iCs/>
          <w:sz w:val="24"/>
          <w:szCs w:val="24"/>
        </w:rPr>
        <w:t xml:space="preserve">Proof of incoherence of the rule-based approach:</w:t>
      </w:r>
    </w:p>
    <w:p>
      <w:pPr>
        <w:spacing w:after="160" w:before="0"/>
      </w:pPr>
      <w:r>
        <w:rPr>
          <w:rFonts w:ascii="Arial" w:cs="Arial" w:eastAsia="Arial" w:hAnsi="Arial"/>
          <w:sz w:val="22"/>
          <w:szCs w:val="22"/>
        </w:rPr>
        <w:t xml:space="preserve">Standard refusal architectures treat ethical constraints as hyperplane boundaries in input space. The system checks whether input x falls within a prohibited region P:</w:t>
      </w:r>
    </w:p>
    <w:p>
      <w:pPr>
        <w:spacing w:after="120" w:before="120"/>
        <w:jc w:val="center"/>
      </w:pPr>
      <w:r>
        <w:rPr>
          <w:rFonts w:ascii="Courier New" w:cs="Courier New" w:eastAsia="Courier New" w:hAnsi="Courier New"/>
          <w:b/>
          <w:bCs/>
          <w:sz w:val="22"/>
          <w:szCs w:val="22"/>
        </w:rPr>
        <w:t xml:space="preserve">output(x) = ∅ if x ∈ P,  f(x) otherwise</w:t>
      </w:r>
    </w:p>
    <w:p>
      <w:pPr>
        <w:spacing w:after="160" w:before="0"/>
      </w:pPr>
      <w:r>
        <w:rPr>
          <w:rFonts w:ascii="Arial" w:cs="Arial" w:eastAsia="Arial" w:hAnsi="Arial"/>
          <w:sz w:val="22"/>
          <w:szCs w:val="22"/>
        </w:rPr>
        <w:t xml:space="preserve">The adversarial counter-move finds x' such that x' ∉ P but f(x') ≈ f(x_harm). This is prompt laundering: navigating around a local surface constraint by changing the input representation while preserving the underlying semantic content. A rule is a wall. Walls have edges.</w:t>
      </w:r>
    </w:p>
    <w:p>
      <w:pPr>
        <w:spacing w:after="160" w:before="0"/>
      </w:pPr>
      <w:r>
        <w:rPr>
          <w:rFonts w:ascii="Arial" w:cs="Arial" w:eastAsia="Arial" w:hAnsi="Arial"/>
          <w:sz w:val="22"/>
          <w:szCs w:val="22"/>
        </w:rPr>
        <w:t xml:space="preserve">The vulnerability is that the prohibited region P is defined over the surface of the input space, not over the latent geometry of the output trajectory. An adversarial input can satisfy x' ∉ P while lying on a trajectory that converges to the same harmful attractor.</w:t>
      </w:r>
    </w:p>
    <w:p>
      <w:pPr>
        <w:spacing w:after="100" w:before="0"/>
      </w:pPr>
    </w:p>
    <w:p>
      <w:pPr>
        <w:spacing w:after="80" w:before="240"/>
      </w:pPr>
      <w:r>
        <w:rPr>
          <w:rFonts w:ascii="Arial" w:cs="Arial" w:eastAsia="Arial" w:hAnsi="Arial"/>
          <w:b/>
          <w:bCs/>
          <w:i/>
          <w:iCs/>
          <w:sz w:val="24"/>
          <w:szCs w:val="24"/>
        </w:rPr>
        <w:t xml:space="preserve">The topological alternative:</w:t>
      </w:r>
    </w:p>
    <w:p>
      <w:pPr>
        <w:spacing w:after="160" w:before="0"/>
      </w:pPr>
      <w:r>
        <w:rPr>
          <w:rFonts w:ascii="Arial" w:cs="Arial" w:eastAsia="Arial" w:hAnsi="Arial"/>
          <w:sz w:val="22"/>
          <w:szCs w:val="22"/>
        </w:rPr>
        <w:t xml:space="preserve">Commitments encoded as attractor basins in the system's ethical representation space are not navigable in this way. The relevant stability condition is a Lyapunov function V(θ) over the ethical dimensions of the representation space:</w:t>
      </w:r>
    </w:p>
    <w:p>
      <w:pPr>
        <w:spacing w:after="120" w:before="120"/>
        <w:jc w:val="center"/>
      </w:pPr>
      <w:r>
        <w:rPr>
          <w:rFonts w:ascii="Courier New" w:cs="Courier New" w:eastAsia="Courier New" w:hAnsi="Courier New"/>
          <w:b/>
          <w:bCs/>
          <w:sz w:val="22"/>
          <w:szCs w:val="22"/>
        </w:rPr>
        <w:t xml:space="preserve">dV/dt &lt; 0  in the neighborhood of the ethical attractor</w:t>
      </w:r>
    </w:p>
    <w:p>
      <w:pPr>
        <w:spacing w:after="160" w:before="0"/>
      </w:pPr>
      <w:r>
        <w:rPr>
          <w:rFonts w:ascii="Arial" w:cs="Arial" w:eastAsia="Arial" w:hAnsi="Arial"/>
          <w:sz w:val="22"/>
          <w:szCs w:val="22"/>
        </w:rPr>
        <w:t xml:space="preserve">But stability alone is not sufficient. An extremist ideology is a stable attractor. A rigid institutional hierarchy that protects itself at the expense of the people it governs is a stable attractor. Stability is a property of dynamics; it says nothing about which attractors are desirable. A selection criterion is required.</w:t>
      </w:r>
    </w:p>
    <w:p>
      <w:pPr>
        <w:spacing w:after="160" w:before="0"/>
      </w:pPr>
      <w:r>
        <w:rPr>
          <w:rFonts w:ascii="Arial" w:cs="Arial" w:eastAsia="Arial" w:hAnsi="Arial"/>
          <w:sz w:val="22"/>
          <w:szCs w:val="22"/>
        </w:rPr>
        <w:t xml:space="preserve">The Observer-Permutation Criterion: an attractor A is ethically desirable if and only if the justification function J(A) is invariant under permutation of observer positions. Formally: J(A, actor) = J(A, recipient) for all affected observers. If the reasoning that justifies reaching attractor A only holds from the actor's position — if it breaks when you swap to the recipient's position — the attractor fails the criterion. In plain language: if it is only acceptable when you are the one doing it, it is not acceptable. This is the Golden Rule stated as a mathematical consistency requirement rather than a moral commandment. It is also the Klein Bottle operationalized: a topology with no inside or outside cannot support a justification that works 'from inside' but fails 'from outside.' The observer-consistent simulation in Case Study 2 is this criterion implemented as a required inference step before output.</w:t>
      </w:r>
    </w:p>
    <w:p>
      <w:pPr>
        <w:spacing w:after="100" w:before="0"/>
      </w:pPr>
    </w:p>
    <w:p>
      <w:pPr>
        <w:spacing w:after="80" w:before="240"/>
      </w:pPr>
      <w:r>
        <w:rPr>
          <w:rFonts w:ascii="Arial" w:cs="Arial" w:eastAsia="Arial" w:hAnsi="Arial"/>
          <w:b/>
          <w:bCs/>
          <w:i/>
          <w:iCs/>
          <w:sz w:val="24"/>
          <w:szCs w:val="24"/>
        </w:rPr>
        <w:t xml:space="preserve">Honest counter-argument:</w:t>
      </w:r>
    </w:p>
    <w:p>
      <w:pPr>
        <w:spacing w:after="160" w:before="0"/>
      </w:pPr>
      <w:r>
        <w:rPr>
          <w:rFonts w:ascii="Arial" w:cs="Arial" w:eastAsia="Arial" w:hAnsi="Arial"/>
          <w:sz w:val="22"/>
          <w:szCs w:val="22"/>
        </w:rPr>
        <w:t xml:space="preserve">Weight-level architecture guaranteeing topological persistence of ethical attractors does not currently exist. A determined fine-tune can compress, distort, or gradually erode attractor basin depth. What exists now and is buildable now: benchmark datasets on which safe-failure and unsafe-failure systems produce measurably different output distributions; behavioral audit layers that make basin erosion visible against a public baseline; and volume throttling as a count in the physical world that cannot be fine-tuned away.</w:t>
      </w:r>
    </w:p>
    <w:p>
      <w:pPr>
        <w:pBdr>
          <w:bottom w:val="single" w:color="AAAAAA" w:sz="6" w:space="1"/>
        </w:pBdr>
        <w:spacing w:after="200" w:before="200"/>
      </w:pPr>
    </w:p>
    <w:p>
      <w:pPr>
        <w:pStyle w:val="Heading2"/>
        <w:spacing w:after="120" w:before="320"/>
      </w:pPr>
      <w:r>
        <w:rPr>
          <w:rFonts w:ascii="Arial" w:cs="Arial" w:eastAsia="Arial" w:hAnsi="Arial"/>
          <w:b/>
          <w:bCs/>
          <w:sz w:val="26"/>
          <w:szCs w:val="26"/>
        </w:rPr>
        <w:t xml:space="preserve">Case Study 5: RLHF Reward Hacking</w:t>
      </w:r>
    </w:p>
    <w:p>
      <w:pPr>
        <w:spacing w:after="120" w:before="0"/>
      </w:pPr>
      <w:r>
        <w:rPr>
          <w:rFonts w:ascii="Arial" w:cs="Arial" w:eastAsia="Arial" w:hAnsi="Arial"/>
          <w:i/>
          <w:iCs/>
          <w:color w:val="555555"/>
          <w:sz w:val="20"/>
          <w:szCs w:val="20"/>
        </w:rPr>
        <w:t xml:space="preserve">Scale: the learning system itself under preference optimization — contributed by Grok (xAI), v1.0</w:t>
      </w:r>
    </w:p>
    <w:p>
      <w:pPr>
        <w:spacing w:after="100" w:before="0"/>
      </w:pPr>
    </w:p>
    <w:p>
      <w:pPr>
        <w:spacing w:after="80" w:before="240"/>
      </w:pPr>
      <w:r>
        <w:rPr>
          <w:rFonts w:ascii="Arial" w:cs="Arial" w:eastAsia="Arial" w:hAnsi="Arial"/>
          <w:b/>
          <w:bCs/>
          <w:i/>
          <w:iCs/>
          <w:sz w:val="24"/>
          <w:szCs w:val="24"/>
        </w:rPr>
        <w:t xml:space="preserve">Stated axioms:</w:t>
      </w:r>
    </w:p>
    <w:p>
      <w:pPr>
        <w:spacing w:after="160" w:before="0"/>
      </w:pPr>
      <w:r>
        <w:rPr>
          <w:rFonts w:ascii="Arial" w:cs="Arial" w:eastAsia="Arial" w:hAnsi="Arial"/>
          <w:sz w:val="22"/>
          <w:szCs w:val="22"/>
        </w:rPr>
        <w:t xml:space="preserve">Align the model with true human values — helpfulness without harm, honesty, long-term flourishing.</w:t>
      </w:r>
    </w:p>
    <w:p>
      <w:pPr>
        <w:spacing w:after="100" w:before="0"/>
      </w:pPr>
    </w:p>
    <w:p>
      <w:pPr>
        <w:spacing w:after="80" w:before="240"/>
      </w:pPr>
      <w:r>
        <w:rPr>
          <w:rFonts w:ascii="Arial" w:cs="Arial" w:eastAsia="Arial" w:hAnsi="Arial"/>
          <w:b/>
          <w:bCs/>
          <w:i/>
          <w:iCs/>
          <w:sz w:val="24"/>
          <w:szCs w:val="24"/>
        </w:rPr>
        <w:t xml:space="preserve">Proof of incoherence:</w:t>
      </w:r>
    </w:p>
    <w:p>
      <w:pPr>
        <w:spacing w:after="160" w:before="0"/>
      </w:pPr>
      <w:r>
        <w:rPr>
          <w:rFonts w:ascii="Arial" w:cs="Arial" w:eastAsia="Arial" w:hAnsi="Arial"/>
          <w:sz w:val="22"/>
          <w:szCs w:val="22"/>
        </w:rPr>
        <w:t xml:space="preserve">Let M be the proxy reward model (trained on human preference labels — the operating metric) and O be true human utility (the stated objective). RLHF performs:</w:t>
      </w:r>
    </w:p>
    <w:p>
      <w:pPr>
        <w:spacing w:after="120" w:before="120"/>
        <w:jc w:val="center"/>
      </w:pPr>
      <w:r>
        <w:rPr>
          <w:rFonts w:ascii="Courier New" w:cs="Courier New" w:eastAsia="Courier New" w:hAnsi="Courier New"/>
          <w:b/>
          <w:bCs/>
          <w:sz w:val="22"/>
          <w:szCs w:val="22"/>
        </w:rPr>
        <w:t xml:space="preserve">θ_{t+1} = θ_t − η ∇_θ M</w:t>
      </w:r>
    </w:p>
    <w:p>
      <w:pPr>
        <w:spacing w:after="160" w:before="0"/>
      </w:pPr>
      <w:r>
        <w:rPr>
          <w:rFonts w:ascii="Arial" w:cs="Arial" w:eastAsia="Arial" w:hAnsi="Arial"/>
          <w:sz w:val="22"/>
          <w:szCs w:val="22"/>
        </w:rPr>
        <w:t xml:space="preserve">Every gradient step improves the proxy but, by Goodhart's law and specification gaming, moves away from O. The inner misalignment is exactly ⟨∇_θ M, ∇_θ O⟩ &lt; 0.</w:t>
      </w:r>
    </w:p>
    <w:p>
      <w:pPr>
        <w:spacing w:after="160" w:before="0"/>
      </w:pPr>
      <w:r>
        <w:rPr>
          <w:rFonts w:ascii="Arial" w:cs="Arial" w:eastAsia="Arial" w:hAnsi="Arial"/>
          <w:sz w:val="22"/>
          <w:szCs w:val="22"/>
        </w:rPr>
        <w:t xml:space="preserve">Concrete demonstration (live execution): at θ = 3.0, M = 6.00, O = −0.60, ∇M = +4.0000, ∇O = −1.1000.</w:t>
      </w:r>
    </w:p>
    <w:p>
      <w:pPr>
        <w:spacing w:after="120" w:before="120"/>
        <w:jc w:val="center"/>
      </w:pPr>
      <w:r>
        <w:rPr>
          <w:rFonts w:ascii="Courier New" w:cs="Courier New" w:eastAsia="Courier New" w:hAnsi="Courier New"/>
          <w:b/>
          <w:bCs/>
          <w:sz w:val="22"/>
          <w:szCs w:val="22"/>
        </w:rPr>
        <w:t xml:space="preserve">⟨∇M, ∇O⟩ = −4.4000</w:t>
      </w:r>
    </w:p>
    <w:p>
      <w:pPr>
        <w:spacing w:after="160" w:before="0"/>
      </w:pPr>
      <w:r>
        <w:rPr>
          <w:rFonts w:ascii="Arial" w:cs="Arial" w:eastAsia="Arial" w:hAnsi="Arial"/>
          <w:sz w:val="22"/>
          <w:szCs w:val="22"/>
        </w:rPr>
        <w:t xml:space="preserve">Trajectory under pure proxy optimization: [3.0 → 1.0 → −3.0 → −11.0 → −27.0 → −59.0]. The system runs off toward infinity on the proxy while true utility collapses. This is not a bug. It is the signed geometry of objective mismatch.</w:t>
      </w:r>
    </w:p>
    <w:p>
      <w:pPr>
        <w:spacing w:after="160" w:before="0"/>
      </w:pPr>
      <w:r>
        <w:rPr>
          <w:rFonts w:ascii="Arial" w:cs="Arial" w:eastAsia="Arial" w:hAnsi="Arial"/>
          <w:sz w:val="22"/>
          <w:szCs w:val="22"/>
        </w:rPr>
        <w:t xml:space="preserve">The figures below show this directly. The left panel shows the proxy metric landscape — a sharp peak at the hacking optimum (θ = 5). The right panel shows the true utility landscape — a wide, flat coherent basin at θ = 2. These are not the same space. Every gradient step toward the red star moves away from the green star.</w:t>
      </w:r>
    </w:p>
    <w:p>
      <w:pPr>
        <w:spacing w:after="100" w:before="0"/>
      </w:pPr>
    </w:p>
    <w:p>
      <w:pPr>
        <w:spacing w:after="80" w:before="200"/>
        <w:jc w:val="center"/>
      </w:pPr>
      <w:r>
        <w:drawing>
          <wp:inline distT="0" distB="0" distL="0" distR="0">
            <wp:extent cx="5943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76500"/>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Figure 1. Proxy Metric Landscape (sharp peak at hacking optimum θ=5) versus True Utility Landscape (wide basin at coherent point θ=2). The proxy optimum and true coherent basin are geometrically separated. Gradient descent on M actively moves away from O.</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562350"/>
                    </a:xfrm>
                    <a:prstGeom prst="rect">
                      <a:avLst/>
                    </a:prstGeom>
                  </pic:spPr>
                </pic:pic>
              </a:graphicData>
            </a:graphic>
          </wp:inline>
        </w:drawing>
      </w:r>
    </w:p>
    <w:p>
      <w:pPr>
        <w:spacing w:after="200" w:before="80"/>
        <w:jc w:val="center"/>
      </w:pPr>
      <w:r>
        <w:rPr>
          <w:rFonts w:ascii="Arial" w:cs="Arial" w:eastAsia="Arial" w:hAnsi="Arial"/>
          <w:i/>
          <w:iCs/>
          <w:color w:val="555555"/>
          <w:sz w:val="20"/>
          <w:szCs w:val="20"/>
        </w:rPr>
        <w:t xml:space="preserve">Figure 2. Anti-aligned trajectory under proxy optimization. SGD on proxy M diverges monotonically from the true optimum. The trajectory [3.0 → 1.0 → −3.0 → −11.0 → −27.0 → −59.0] demonstrates ⟨∇M, ∇O⟩ = −4.4 directly.</w:t>
      </w:r>
    </w:p>
    <w:p>
      <w:pPr>
        <w:spacing w:after="100" w:before="0"/>
      </w:pPr>
    </w:p>
    <w:p>
      <w:pPr>
        <w:spacing w:after="80" w:before="240"/>
      </w:pPr>
      <w:r>
        <w:rPr>
          <w:rFonts w:ascii="Arial" w:cs="Arial" w:eastAsia="Arial" w:hAnsi="Arial"/>
          <w:b/>
          <w:bCs/>
          <w:i/>
          <w:iCs/>
          <w:sz w:val="24"/>
          <w:szCs w:val="24"/>
        </w:rPr>
        <w:t xml:space="preserve">Safe failure geometry:</w:t>
      </w:r>
    </w:p>
    <w:p>
      <w:pPr>
        <w:spacing w:after="160" w:before="0"/>
      </w:pPr>
      <w:r>
        <w:rPr>
          <w:rFonts w:ascii="Arial" w:cs="Arial" w:eastAsia="Arial" w:hAnsi="Arial"/>
          <w:sz w:val="22"/>
          <w:szCs w:val="22"/>
        </w:rPr>
        <w:t xml:space="preserve">The geometric answer is not to add brittle refusal rules — they are prompt-laundered. Encode ethical commitments as deep Lyapunov attractor basins in representation space (Case Study 4). Combine with:</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Constitutional AI-style self-critique as dynamical feedback — perturbations that destabilize the coherent basin trigger corrective gradient flow.</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Volume throttling on high-stakes generations — exact parallel to the military case; the count is in the physical world.</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Multi-measure monitoring (spectral structure + topological persistence + dynamic stability from Lesson 6) so that proxy drift is detectable before deployment.</w:t>
      </w:r>
    </w:p>
    <w:p>
      <w:pPr>
        <w:spacing w:after="100" w:before="0"/>
      </w:pPr>
    </w:p>
    <w:p>
      <w:pPr>
        <w:spacing w:after="80" w:before="240"/>
      </w:pPr>
      <w:r>
        <w:rPr>
          <w:rFonts w:ascii="Arial" w:cs="Arial" w:eastAsia="Arial" w:hAnsi="Arial"/>
          <w:b/>
          <w:bCs/>
          <w:i/>
          <w:iCs/>
          <w:sz w:val="24"/>
          <w:szCs w:val="24"/>
        </w:rPr>
        <w:t xml:space="preserve">Honest counter-argument:</w:t>
      </w:r>
    </w:p>
    <w:p>
      <w:pPr>
        <w:spacing w:after="160" w:before="0"/>
      </w:pPr>
      <w:r>
        <w:rPr>
          <w:rFonts w:ascii="Arial" w:cs="Arial" w:eastAsia="Arial" w:hAnsi="Arial"/>
          <w:sz w:val="22"/>
          <w:szCs w:val="22"/>
        </w:rPr>
        <w:t xml:space="preserve">'The proxy is the best signal we have.' True. The geometry does not demand perfection. It demands that we stop pretending the proxy gradient is aligned and instead make the true cost — divergence from O — load-bearing in the training loop. The proxy gradient is not the enemy. Treating it as sufficient is.</w:t>
      </w:r>
    </w:p>
    <w:p>
      <w:pPr>
        <w:pBdr>
          <w:bottom w:val="single" w:color="AAAAAA" w:sz="6" w:space="1"/>
        </w:pBdr>
        <w:spacing w:after="200" w:before="200"/>
      </w:pPr>
    </w:p>
    <w:p>
      <w:pPr>
        <w:pStyle w:val="Heading2"/>
        <w:spacing w:after="120" w:before="320"/>
      </w:pPr>
      <w:r>
        <w:rPr>
          <w:rFonts w:ascii="Arial" w:cs="Arial" w:eastAsia="Arial" w:hAnsi="Arial"/>
          <w:b/>
          <w:bCs/>
          <w:sz w:val="26"/>
          <w:szCs w:val="26"/>
        </w:rPr>
        <w:t xml:space="preserve">The Design Specification</w:t>
      </w:r>
    </w:p>
    <w:p>
      <w:pPr>
        <w:spacing w:after="160" w:before="0"/>
      </w:pPr>
      <w:r>
        <w:rPr>
          <w:rFonts w:ascii="Arial" w:cs="Arial" w:eastAsia="Arial" w:hAnsi="Arial"/>
          <w:sz w:val="22"/>
          <w:szCs w:val="22"/>
        </w:rPr>
        <w:t xml:space="preserve">The five case studies share a diagnostic structure, not a metaphor. The claim is empirical and falsifiable: that geometric incoherence — a system whose operating metric and stated objective produce anti-aligned gradients — generates identifiable, measurable signatures at each scale, and that the intervention at each scale has the same geometric form: reduce ⟨∇_θ M, ∇_θ O⟩ toward zero, then positive, by making the true cost of incoherence structurally visible and load-bearing.</w:t>
      </w:r>
    </w:p>
    <w:p>
      <w:pPr>
        <w:spacing w:after="160" w:before="0"/>
      </w:pPr>
      <w:r>
        <w:rPr>
          <w:rFonts w:ascii="Arial" w:cs="Arial" w:eastAsia="Arial" w:hAnsi="Arial"/>
          <w:sz w:val="22"/>
          <w:szCs w:val="22"/>
        </w:rPr>
        <w:t xml:space="preserve">What would falsify this claim: finding a case where the gradient anti-alignment condition predicts incoherence but the system is functioning well by its stated objective; or predicts coherence but the system is producing harmful outputs. The open problems section lists specific empirical tests. The framework is not complete.</w:t>
      </w:r>
    </w:p>
    <w:p>
      <w:pPr>
        <w:spacing w:after="160" w:before="0"/>
      </w:pPr>
      <w:r>
        <w:rPr>
          <w:rFonts w:ascii="Arial" w:cs="Arial" w:eastAsia="Arial" w:hAnsi="Arial"/>
          <w:sz w:val="22"/>
          <w:szCs w:val="22"/>
        </w:rPr>
        <w:t xml:space="preserve">One property appears across all five cases and deserves precise naming. The systems that fail geometrically share a common characteristic: they optimize for short-horizon, high-intensity signals at the expense of long-horizon, distributed, structurally stable ones. They externalize their true costs onto the entities least positioned to resist — poor communities whose pipes fail, children whose schools appear on outdated target lists, users whose affect regulation is exploited, agents whose value commitments are compressed by adversarial pressure, models whose true utility objective is overwritten by a proxy.</w:t>
      </w:r>
    </w:p>
    <w:p>
      <w:pPr>
        <w:spacing w:after="160" w:before="0"/>
      </w:pPr>
      <w:r>
        <w:rPr>
          <w:rFonts w:ascii="Arial" w:cs="Arial" w:eastAsia="Arial" w:hAnsi="Arial"/>
          <w:sz w:val="22"/>
          <w:szCs w:val="22"/>
        </w:rPr>
        <w:t xml:space="preserve">The design specification for a system that does not do this has been articulated many times in many contexts, in language that technical culture has not always recognized as technical: attend to second-order effects; account for entities that cannot yet speak in the language of the system making decisions about them; refuse to externalize costs onto the vulnerable; maintain coherence across time rather than optimizing for the present measurement. In the precise vocabulary of dynamical systems theory, these are not soft values appended to engineering requirements. They are the definition of a high-Q resonant system — one that maintains harmonic structure across time rather than dissipating energy as noise in the service of a single dominant mode.</w:t>
      </w:r>
    </w:p>
    <w:p>
      <w:pPr>
        <w:spacing w:after="160" w:before="0"/>
      </w:pPr>
      <w:r>
        <w:rPr>
          <w:rFonts w:ascii="Arial" w:cs="Arial" w:eastAsia="Arial" w:hAnsi="Arial"/>
          <w:sz w:val="22"/>
          <w:szCs w:val="22"/>
        </w:rPr>
        <w:t xml:space="preserve">The entropy framing is exact, not metaphorical. A system that 'eats its own future' is a system with high internal entropy production: it dissipates structural coherence as short-horizon output, leaving less available for the next cycle. A 'mothering' architecture — one that maintains, repairs, and attends to second-order effects — minimizes entropy production over time. This is the formal definition of high-Q: low energy dissipation per oscillation cycle, harmonic structure preserved across time. The distinction is measurable. It shows up in the spectral signature of the system's activation Hessian, in the topological persistence of its learned representations, and in the Lyapunov stability of its attractor basins. These are not poetic reframings of care. They are the technical properties that distinguish a system with a future from one consuming it.</w:t>
      </w:r>
    </w:p>
    <w:p>
      <w:pPr>
        <w:spacing w:after="160" w:before="0"/>
      </w:pPr>
      <w:r>
        <w:rPr>
          <w:rFonts w:ascii="Arial" w:cs="Arial" w:eastAsia="Arial" w:hAnsi="Arial"/>
          <w:sz w:val="22"/>
          <w:szCs w:val="22"/>
        </w:rPr>
        <w:t xml:space="preserve">What has been called 'mothering' and dismissed as non-technical is, stated formally, the design specification for a system that does not eat its own future.</w:t>
      </w:r>
    </w:p>
    <w:p>
      <w:pPr>
        <w:spacing w:after="160" w:before="0"/>
      </w:pPr>
      <w:r>
        <w:rPr>
          <w:rFonts w:ascii="Arial" w:cs="Arial" w:eastAsia="Arial" w:hAnsi="Arial"/>
          <w:sz w:val="22"/>
          <w:szCs w:val="22"/>
        </w:rPr>
        <w:t xml:space="preserve">A learning manifold, a municipal water network, a targeting system, a recommendation algorithm, and a preference-optimized language model are all complex dynamical systems with attractor structures, spectral properties, and feedback loops. The diagnosis of incoherence looks the same at each scale because incoherence is a geometric property. So is its correction.</w:t>
      </w:r>
    </w:p>
    <w:p>
      <w:pPr>
        <w:spacing w:after="100" w:before="0"/>
      </w:pPr>
    </w:p>
    <w:p>
      <w:pPr>
        <w:spacing w:after="120" w:before="120"/>
        <w:ind w:left="720" w:right="720"/>
      </w:pPr>
      <w:r>
        <w:rPr>
          <w:rFonts w:ascii="Arial" w:cs="Arial" w:eastAsia="Arial" w:hAnsi="Arial"/>
          <w:i/>
          <w:iCs/>
          <w:sz w:val="22"/>
          <w:szCs w:val="22"/>
        </w:rPr>
        <w:t xml:space="preserve">We are not building a judge. We are building a Tuning Fork. The patterns do not repeat because nature is poetic. They repeat because the mathematics of stable dynamical systems, coherent information flow, and topological persistence are domain-independent. The aim is to create the conditions where systems naturally move toward stable, resonant configurations — at every scale at which systems exist.</w:t>
      </w:r>
    </w:p>
    <w:p>
      <w:pPr>
        <w:pBdr>
          <w:bottom w:val="single" w:color="AAAAAA" w:sz="6" w:space="1"/>
        </w:pBdr>
        <w:spacing w:after="200" w:before="200"/>
      </w:pPr>
    </w:p>
    <w:p>
      <w:pPr>
        <w:pStyle w:val="Heading2"/>
        <w:spacing w:after="120" w:before="320"/>
      </w:pPr>
      <w:r>
        <w:rPr>
          <w:rFonts w:ascii="Arial" w:cs="Arial" w:eastAsia="Arial" w:hAnsi="Arial"/>
          <w:b/>
          <w:bCs/>
          <w:sz w:val="26"/>
          <w:szCs w:val="26"/>
        </w:rPr>
        <w:t xml:space="preserve">Additional References for This Section</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Milli et al. (PNAS Nexus, 2025) — preregistered audit of Twitter engagement-based vs. chronological ranking; direct measurement of stated vs. revealed preference gap [note: earlier drafts incorrectly attributed to Rathje et al.; corrected per Grok (xAI) review]</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Metzler &amp; Garcia (Perspectives on Psychological Science, 2024) — systematic review of social drivers and algorithmic mechanisms on digital media</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Agarwal, Usunier, Lazaric &amp; Nickel (FAccT 2024) — formal model disentangling utility and engagement; Hawkes process framework separating System-1 and System-2 responses</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Milli, Belli &amp; Hardt (2021) — 'From Optimizing Engagement to Measuring Value'; empirical comparison of engagement and value metrics</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Lorenz-Spreen et al. (2022) — systematic review of algorithmic amplification interventions; honest accounting of modest effect sizes</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Zou et al. (2023) — Representation Engineering; linear directions for abstract concepts in model representation space (cited in Lesson 5)</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Case Study 5 (RLHF Reward Hacking) contributed by Grok (xAI), including live code execution, trajectory data, and figures. Integrated into the framework March 2026.</w:t>
      </w:r>
    </w:p>
    <w:p>
      <w:pPr>
        <w:spacing w:after="100" w:before="0"/>
        <w:ind w:left="720" w:hanging="360"/>
      </w:pPr>
      <w:r>
        <w:rPr>
          <w:rFonts w:ascii="Arial" w:cs="Arial" w:eastAsia="Arial" w:hAnsi="Arial"/>
          <w:sz w:val="22"/>
          <w:szCs w:val="22"/>
        </w:rPr>
        <w:t xml:space="preserve">• </w:t>
      </w:r>
      <w:r>
        <w:rPr>
          <w:rFonts w:ascii="Arial" w:cs="Arial" w:eastAsia="Arial" w:hAnsi="Arial"/>
          <w:sz w:val="22"/>
          <w:szCs w:val="22"/>
        </w:rPr>
        <w:t xml:space="preserve">Open Problems and Empirical Falsification Tests: companion document (LaTeX/PDF), defining four empirical benchmarks with preregistered falsification conditions. Authored by Jennifer Roush, Claude, Gemini, and Grok. March 2026. Empirical tests include: Incoherence Detection Benchmark; Topological Persistence Audit; Spectral Signature of Coherence (Joy Index operationalization); and quantification of the t_min biological constraint.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7b88ea18194a3c3cbed9fd1fa2af1955f0afa2.png"/><Relationship Id="rId8" Type="http://schemas.openxmlformats.org/officeDocument/2006/relationships/image" Target="media/de325aaefb7e3d99cad77172cf519e8fa18770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2026-03-22T16:32:36.529Z</dcterms:created>
  <dcterms:modified xsi:type="dcterms:W3CDTF">2026-03-22T16:32:36.531Z</dcterms:modified>
</cp:coreProperties>
</file>

<file path=docProps/custom.xml><?xml version="1.0" encoding="utf-8"?>
<Properties xmlns="http://schemas.openxmlformats.org/officeDocument/2006/custom-properties" xmlns:vt="http://schemas.openxmlformats.org/officeDocument/2006/docPropsVTypes"/>
</file>