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CERTHERO TRAINING &amp; ASSESSMENT SYSTEMS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EAA240"/>
          <w:sz w:val="20"/>
          <w:szCs w:val="20"/>
        </w:rPr>
        <w:t xml:space="preserve">OFFICIAL LEARNER ENROLLMENT CONFIRMATION &amp; TRAINING PROTOCOL</w:t>
      </w:r>
    </w:p>
    <w:p>
      <w:pPr>
        <w:spacing w:after="240" w:before="0"/>
        <w:jc w:val="center"/>
      </w:pPr>
      <w:r>
        <w:rPr>
          <w:color w:val="64748B"/>
          <w:sz w:val="18"/>
          <w:szCs w:val="18"/>
        </w:rPr>
        <w:t xml:space="preserve">RTO Partner: CertHero Pty Ltd | ABN 89 612 431 902 | Perth, Western Australia</w:t>
      </w:r>
    </w:p>
    <w:p>
      <w:r>
        <w:rPr>
          <w:b/>
          <w:bCs/>
        </w:rPr>
        <w:t xml:space="preserve">Date: 25/10/2026</w:t>
      </w:r>
    </w:p>
    <w:p>
      <w:r>
        <w:rPr>
          <w:b/>
          <w:bCs/>
        </w:rPr>
        <w:t xml:space="preserve">Learner: Nnamdi Iroagba</w:t>
      </w:r>
    </w:p>
    <w:p>
      <w:r>
        <w:rPr>
          <w:b/>
          <w:bCs/>
        </w:rPr>
        <w:t xml:space="preserve">Target Role: SITE ENGINEER  – FIFO (PERTH, WA)</w:t>
      </w:r>
    </w:p>
    <w:p>
      <w:pPr>
        <w:spacing w:after="16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c>
          <w:tcPr>
            <w:shd w:fill="0F172A" w:val="clea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shd w:fill="0F172A" w:val="clear"/>
          </w:tcPr>
          <w:p>
            <w:r>
              <w:rPr>
                <w:b/>
                <w:bCs/>
                <w:color w:val="FFFFFF"/>
              </w:rPr>
              <w:t xml:space="preserve">Competency Unit / Ticket Name</w:t>
            </w:r>
          </w:p>
        </w:tc>
        <w:tc>
          <w:tcPr>
            <w:shd w:fill="0F172A" w:val="clear"/>
          </w:tcPr>
          <w:p>
            <w:r>
              <w:rPr>
                <w:b/>
                <w:bCs/>
                <w:color w:val="FFFFFF"/>
              </w:rPr>
              <w:t xml:space="preserve">Mode of Instruction</w:t>
            </w:r>
          </w:p>
        </w:tc>
        <w:tc>
          <w:tcPr>
            <w:shd w:fill="0F172A" w:val="clear"/>
          </w:tcPr>
          <w:p>
            <w:r>
              <w:rPr>
                <w:b/>
                <w:bCs/>
                <w:color w:val="FFFFFF"/>
              </w:rPr>
              <w:t xml:space="preserve">Verification Status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1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First Aid &amp; CPR (HLTAID011)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Online Theory + Practical Assessment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5803D"/>
              </w:rPr>
              <w:t xml:space="preserve">Enrolled &amp; Sponsored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2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CPCWHS1001 White Card WA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Online Theory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5803D"/>
              </w:rPr>
              <w:t xml:space="preserve">Enrolled &amp; Sponsored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3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DL-C Australian Drivers Licence (Class C)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Online Theory + Practical Assessment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5803D"/>
              </w:rPr>
              <w:t xml:space="preserve">Enrolled &amp; Sponsored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4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STD11 Standard 11 Surface Mining Safety Induction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Online Theory + Practical Assessment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5803D"/>
              </w:rPr>
              <w:t xml:space="preserve">Enrolled &amp; Sponsored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5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RIIWHS204E Work safely at heights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Online Theory + Practical Assessment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5803D"/>
              </w:rPr>
              <w:t xml:space="preserve">Enrolled &amp; Sponsored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6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RIIWHS202E Enter and work in confined spaces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Online Theory + Practical Assessment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5803D"/>
              </w:rPr>
              <w:t xml:space="preserve">Enrolled &amp; Sponsored</w:t>
            </w:r>
          </w:p>
        </w:tc>
      </w:tr>
    </w:tbl>
    <w:p>
      <w:pPr>
        <w:spacing w:after="180"/>
      </w:pPr>
    </w:p>
    <w:p>
      <w:pPr>
        <w:pStyle w:val="Heading2"/>
        <w:spacing w:after="80" w:before="140"/>
      </w:pPr>
      <w:r>
        <w:rPr>
          <w:b/>
          <w:bCs/>
          <w:color w:val="0F172A"/>
          <w:sz w:val="22"/>
          <w:szCs w:val="22"/>
        </w:rPr>
        <w:t xml:space="preserve">EXAMINATION DEADLINE &amp; PROCEDURES</w:t>
      </w:r>
    </w:p>
    <w:p>
      <w:r>
        <w:rPr>
          <w:sz w:val="20"/>
          <w:szCs w:val="20"/>
        </w:rPr>
        <w:t xml:space="preserve">• Online Theory Procedure: Access all courseware through the CertHero LMS portal. Each competency module requires an 80% passing grade across 35 assessment questions.</w:t>
      </w:r>
    </w:p>
    <w:p>
      <w:r>
        <w:rPr>
          <w:sz w:val="20"/>
          <w:szCs w:val="20"/>
        </w:rPr>
        <w:t xml:space="preserve">• Practical Procedure: Practical high-risk work verification takes place during your initial 3-day on-site corporate induction following arrival in Western Australia.</w:t>
      </w:r>
    </w:p>
    <w:p>
      <w:r>
        <w:rPr>
          <w:b/>
          <w:bCs/>
          <w:color w:val="B45309"/>
          <w:sz w:val="20"/>
          <w:szCs w:val="20"/>
        </w:rPr>
        <w:t xml:space="preserve">• Mandatory Completion Deadline: All online examinations must be completed within 16 days from the dispatch of this enrollment package to maintain your employer sponsorship status.</w:t>
      </w:r>
    </w:p>
    <w:p>
      <w:r>
        <w:rPr>
          <w:sz w:val="20"/>
          <w:szCs w:val="20"/>
        </w:rPr>
        <w:t xml:space="preserve">• Official Communication Channel: support@certhero.com.au | Response window: within 4 business hours.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2026-10-25T13:39:25.566Z</dcterms:created>
  <dcterms:modified xsi:type="dcterms:W3CDTF">2026-10-25T13:39:25.566Z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