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0F172A"/>
          <w:sz w:val="28"/>
          <w:szCs w:val="28"/>
        </w:rPr>
        <w:t xml:space="preserve">CERT HERO RTO — TAX INVOICE</w:t>
      </w:r>
    </w:p>
    <w:p>
      <w:pPr>
        <w:spacing w:after="200" w:before="0"/>
        <w:jc w:val="center"/>
      </w:pPr>
      <w:r>
        <w:rPr>
          <w:b/>
          <w:bCs/>
          <w:color w:val="EAA240"/>
          <w:sz w:val="20"/>
          <w:szCs w:val="20"/>
        </w:rPr>
        <w:t xml:space="preserve">INVOICE REF: #INV-53</w:t>
      </w:r>
    </w:p>
    <w:p>
      <w:r>
        <w:rPr>
          <w:b/>
          <w:bCs/>
        </w:rPr>
        <w:t xml:space="preserve">ISSUED TO: Nnamdi Iroagba</w:t>
      </w:r>
    </w:p>
    <w:p>
      <w:r>
        <w:t xml:space="preserve">EMAIL: niroagba022@uniport.edu.ng</w:t>
      </w:r>
    </w:p>
    <w:p>
      <w:r>
        <w:t xml:space="preserve">DATE: 25/10/2026</w:t>
      </w:r>
    </w:p>
    <w:p>
      <w:pPr>
        <w:spacing w:after="14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Standard Price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Subsidy (70%)</w:t>
            </w:r>
          </w:p>
        </w:tc>
        <w:tc>
          <w:tcPr>
            <w:shd w:fill="0F172A" w:val="clear"/>
          </w:tcPr>
          <w:p>
            <w:r>
              <w:rPr>
                <w:b/>
                <w:bCs/>
                <w:color w:val="FFFFFF"/>
              </w:rPr>
              <w:t xml:space="preserve">Total Due (AUD)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CertHero Full Mining Competency Verification &amp; LMS Access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$2,400.00 AUD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color w:val="15803D"/>
              </w:rPr>
              <w:t xml:space="preserve">-$1,680.00 AUD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$720.00 AUD</w:t>
            </w:r>
          </w:p>
        </w:tc>
      </w:tr>
    </w:tbl>
    <w:p>
      <w:pPr>
        <w:spacing w:after="160"/>
      </w:pPr>
    </w:p>
    <w:p>
      <w:pPr>
        <w:pStyle w:val="Heading2"/>
        <w:spacing w:after="80" w:before="140"/>
      </w:pPr>
      <w:r>
        <w:rPr>
          <w:b/>
          <w:bCs/>
          <w:color w:val="0F172A"/>
          <w:sz w:val="22"/>
          <w:szCs w:val="22"/>
        </w:rPr>
        <w:t xml:space="preserve">APPROVED PAYMENT METHODS (100% REFUNDABLE)</w:t>
      </w:r>
    </w:p>
    <w:p>
      <w:r>
        <w:rPr>
          <w:b/>
          <w:bCs/>
        </w:rPr>
        <w:t xml:space="preserve">1. Cryptocurrency Gateway (USDT TRC20 - Instant Verification):</w:t>
      </w:r>
      <w:r>
        <w:t xml:space="preserve">
Wallet Address: TX7k9VwE3nQ9LmPzR4tY2uA1sD5fG8hJ0k
Network: Tron (TRC20)</w:t>
      </w:r>
    </w:p>
    <w:p>
      <w:r>
        <w:rPr>
          <w:b/>
          <w:bCs/>
        </w:rPr>
        <w:t xml:space="preserve">2. International Swift Wire Transfer (Agent Escrow Account):</w:t>
      </w:r>
      <w:r>
        <w:t xml:space="preserve">
Bank: Commonwealth Bank of Australia
Account Name: CertHero Escrow Trust
Account Number: 8829-1920-112
Routing/Swift: CTBAAU2S</w:t>
      </w:r>
    </w:p>
    <w:p>
      <w:pPr>
        <w:spacing w:before="160"/>
      </w:pPr>
      <w:r>
        <w:rPr>
          <w:b/>
          <w:bCs/>
          <w:color w:val="15803D"/>
        </w:rPr>
        <w:t xml:space="preserve">REFUND POLICY: The residual cost of $720 AUD is 100% refundable upon ticket completion and deployment to site under the employer guarantee.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2026-10-25T13:39:25.743Z</dcterms:created>
  <dcterms:modified xsi:type="dcterms:W3CDTF">2026-10-25T13:39:25.743Z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