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#14: CONTRACT DELIVERY 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FIFO RECRUITMENT &amp; RTO SYSTEM EMAIL DISPATCH SPECIFICATION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NUMBER: </w:t>
            </w:r>
            <w:r>
              <w:rPr>
                <w:b/>
                <w:bCs/>
                <w:color w:val="0B3486"/>
              </w:rPr>
              <w:t xml:space="preserve">#14 of 23</w:t>
            </w:r>
          </w:p>
          <w:p>
            <w:r>
              <w:rPr>
                <w:b/>
                <w:bCs/>
                <w:color w:val="1E293B"/>
              </w:rPr>
              <w:t xml:space="preserve">SENDER CLASSIFICATION: </w:t>
            </w:r>
            <w:r>
              <w:rPr>
                <w:b/>
                <w:bCs/>
              </w:rPr>
              <w:t xml:space="preserve">System - Blue - Event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Blue Collar Recruitment &lt;info@jobnexe.com&gt;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Sponsored Candidate Competency Agreement — Action Required</w:t>
            </w:r>
          </w:p>
          <w:p>
            <w:r>
              <w:rPr>
                <w:b/>
                <w:bCs/>
                <w:color w:val="1E293B"/>
              </w:rPr>
              <w:t xml:space="preserve">SYSTEM TRIGGER: </w:t>
            </w:r>
            <w:r>
              <w:rPr>
                <w:i/>
                <w:iCs/>
                <w:color w:val="64748B"/>
              </w:rPr>
              <w:t xml:space="preserve">Contract Generation Event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 official Sponsored Candidate Competency Agreement is now ready for review and ratification on your portal.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Clarification: This document is a Ticket Sponsorship &amp; Verification Agreement, not an employment contract. It guarantees that upon acquiring and verifying prerequisite tickets, MACA LIMITED will proceed with your formal visa nomination.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Refund Guarantee: Under our guarantee, 100% of your residual candidate contribution ($720 AUD) is refunded by MACA LIMITED upon arrival and site deployment.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Blue Collar Legal &amp; Compliance Office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2026-10-25T13:39:24.295Z</dcterms:created>
  <dcterms:modified xsi:type="dcterms:W3CDTF">2026-10-25T13:39:24.295Z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